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43.png" ContentType="image/png"/>
  <Override PartName="/word/media/rId51.png" ContentType="image/png"/>
  <Override PartName="/word/media/rId55.png" ContentType="image/png"/>
  <Override PartName="/word/media/rId6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42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7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9.8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2.9</m:t>
        </m:r>
        <m:r>
          <m:t>x</m:t>
        </m:r>
        <m:r>
          <m:rPr>
            <m:sty m:val="p"/>
          </m:rPr>
          <m:t>=</m:t>
        </m:r>
        <m:r>
          <m:t>0.9</m:t>
        </m:r>
        <m:r>
          <m:rPr>
            <m:sty m:val="p"/>
          </m:rPr>
          <m:t>cos</m:t>
        </m:r>
        <m:r>
          <m:t>2</m:t>
        </m:r>
        <m:r>
          <m:rPr>
            <m:sty m:val="p"/>
          </m:rPr>
          <m:t>*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29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1.4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y(start=-1.4);</w:t>
      </w:r>
      <w:r>
        <w:br/>
      </w:r>
      <w:r>
        <w:br/>
      </w:r>
      <w:r>
        <w:rPr>
          <w:rStyle w:val="VerbatimChar"/>
        </w:rPr>
        <w:t xml:space="preserve">parameter Real w = 1.7;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6" w:name="fig:001"/>
      <w:r>
        <w:drawing>
          <wp:inline>
            <wp:extent cx="5334000" cy="4324655"/>
            <wp:effectExtent b="0" l="0" r="0" t="0"/>
            <wp:docPr descr="Figure 1: График решения для случая 1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30" w:name="fig:002"/>
      <w:r>
        <w:drawing>
          <wp:inline>
            <wp:extent cx="5334000" cy="4324655"/>
            <wp:effectExtent b="0" l="0" r="0" t="0"/>
            <wp:docPr descr="Figure 2: Фазовый портрет для случая 1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0</w:t>
      </w:r>
      <w:r>
        <w:br/>
      </w:r>
      <w:r>
        <w:rPr>
          <w:rStyle w:val="VerbatimChar"/>
        </w:rPr>
        <w:t xml:space="preserve">y0 = -1.4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29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1.7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savefig("02j.png")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32" name="Picture"/>
            <a:graphic>
              <a:graphicData uri="http://schemas.openxmlformats.org/drawingml/2006/picture">
                <pic:pic>
                  <pic:nvPicPr>
                    <pic:cNvPr descr="image/01j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36" name="Picture"/>
            <a:graphic>
              <a:graphicData uri="http://schemas.openxmlformats.org/drawingml/2006/picture">
                <pic:pic>
                  <pic:nvPicPr>
                    <pic:cNvPr descr="image/02j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y(start=-1.4);</w:t>
      </w:r>
      <w:r>
        <w:br/>
      </w:r>
      <w:r>
        <w:br/>
      </w:r>
      <w:r>
        <w:rPr>
          <w:rStyle w:val="VerbatimChar"/>
        </w:rPr>
        <w:t xml:space="preserve">parameter Real w = 1;</w:t>
      </w:r>
      <w:r>
        <w:br/>
      </w:r>
      <w:r>
        <w:rPr>
          <w:rStyle w:val="VerbatimChar"/>
        </w:rPr>
        <w:t xml:space="preserve">parameter Real g = 9.8;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2" w:name="fig:005"/>
      <w:r>
        <w:drawing>
          <wp:inline>
            <wp:extent cx="5334000" cy="4324655"/>
            <wp:effectExtent b="0" l="0" r="0" t="0"/>
            <wp:docPr descr="Figure 5: График решения для случая 2" title="" id="40" name="Picture"/>
            <a:graphic>
              <a:graphicData uri="http://schemas.openxmlformats.org/drawingml/2006/picture">
                <pic:pic>
                  <pic:nvPicPr>
                    <pic:cNvPr descr="image/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46" w:name="fig:006"/>
      <w:r>
        <w:drawing>
          <wp:inline>
            <wp:extent cx="5334000" cy="4324655"/>
            <wp:effectExtent b="0" l="0" r="0" t="0"/>
            <wp:docPr descr="Figure 6: Фазовый портрет для случая 2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1</w:t>
      </w:r>
      <w:r>
        <w:br/>
      </w:r>
      <w:r>
        <w:rPr>
          <w:rStyle w:val="VerbatimChar"/>
        </w:rPr>
        <w:t xml:space="preserve">g = 9.8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savefig("04j.png")</w:t>
      </w:r>
    </w:p>
    <w:p>
      <w:pPr>
        <w:pStyle w:val="CaptionedFigure"/>
      </w:pPr>
      <w:bookmarkStart w:id="50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48" name="Picture"/>
            <a:graphic>
              <a:graphicData uri="http://schemas.openxmlformats.org/drawingml/2006/picture">
                <pic:pic>
                  <pic:nvPicPr>
                    <pic:cNvPr descr="image/03j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54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52" name="Picture"/>
            <a:graphic>
              <a:graphicData uri="http://schemas.openxmlformats.org/drawingml/2006/picture">
                <pic:pic>
                  <pic:nvPicPr>
                    <pic:cNvPr descr="image/04j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y(start=-1.4);</w:t>
      </w:r>
      <w:r>
        <w:br/>
      </w:r>
      <w:r>
        <w:br/>
      </w:r>
      <w:r>
        <w:rPr>
          <w:rStyle w:val="VerbatimChar"/>
        </w:rPr>
        <w:t xml:space="preserve">parameter Real w = 2.9;</w:t>
      </w:r>
      <w:r>
        <w:br/>
      </w:r>
      <w:r>
        <w:rPr>
          <w:rStyle w:val="VerbatimChar"/>
        </w:rPr>
        <w:t xml:space="preserve">parameter Real g = 3.9;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-g*y-w*x+0.9*cos(2*time);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58" w:name="fig:009"/>
      <w:r>
        <w:drawing>
          <wp:inline>
            <wp:extent cx="5334000" cy="4324655"/>
            <wp:effectExtent b="0" l="0" r="0" t="0"/>
            <wp:docPr descr="Figure 9: График решения для случая 3" title="" id="56" name="Picture"/>
            <a:graphic>
              <a:graphicData uri="http://schemas.openxmlformats.org/drawingml/2006/picture">
                <pic:pic>
                  <pic:nvPicPr>
                    <pic:cNvPr descr="image/0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62" w:name="fig:010"/>
      <w:r>
        <w:drawing>
          <wp:inline>
            <wp:extent cx="5334000" cy="4324655"/>
            <wp:effectExtent b="0" l="0" r="0" t="0"/>
            <wp:docPr descr="Figure 10: Фазовый портрет для случая 3" title="" id="60" name="Picture"/>
            <a:graphic>
              <a:graphicData uri="http://schemas.openxmlformats.org/drawingml/2006/picture">
                <pic:pic>
                  <pic:nvPicPr>
                    <pic:cNvPr descr="image/0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2.9</w:t>
      </w:r>
      <w:r>
        <w:br/>
      </w:r>
      <w:r>
        <w:rPr>
          <w:rStyle w:val="VerbatimChar"/>
        </w:rPr>
        <w:t xml:space="preserve">g = 3.9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0.9*cos(2*t)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savefig("05j.png")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savefig("06j.png")</w:t>
      </w:r>
    </w:p>
    <w:p>
      <w:pPr>
        <w:pStyle w:val="CaptionedFigure"/>
      </w:pPr>
      <w:bookmarkStart w:id="66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64" name="Picture"/>
            <a:graphic>
              <a:graphicData uri="http://schemas.openxmlformats.org/drawingml/2006/picture">
                <pic:pic>
                  <pic:nvPicPr>
                    <pic:cNvPr descr="image/05j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70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68" name="Picture"/>
            <a:graphic>
              <a:graphicData uri="http://schemas.openxmlformats.org/drawingml/2006/picture">
                <pic:pic>
                  <pic:nvPicPr>
                    <pic:cNvPr descr="image/06j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12: Фазовый портрет для случая 3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73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74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75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hyperlink" Id="rId74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75" Target="https://www.numamo.org/HTML/Articles/Oscillato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75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Герра Гарсия Максимиано Антонио</dc:creator>
  <dc:language>ru-RU</dc:language>
  <cp:keywords/>
  <dcterms:created xsi:type="dcterms:W3CDTF">2025-04-03T13:46:46Z</dcterms:created>
  <dcterms:modified xsi:type="dcterms:W3CDTF">2025-04-03T13:46:46Z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гармонических колебаний - вариант 42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