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9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image/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логистической кривой</w:t>
      </w:r>
    </w:p>
    <w:bookmarkEnd w:id="30"/>
    <w:bookmarkStart w:id="5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0.605</m:t>
            </m:r>
            <m:r>
              <m:rPr>
                <m:sty m:val="p"/>
              </m:rPr>
              <m:t>+</m:t>
            </m:r>
            <m:r>
              <m:t>0.000017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0.000065</m:t>
            </m:r>
            <m:r>
              <m:rPr>
                <m:sty m:val="p"/>
              </m:rPr>
              <m:t>+</m:t>
            </m:r>
            <m:r>
              <m:t>0.209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0.51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0.31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2200</m:t>
        </m:r>
      </m:oMath>
      <w:r>
        <w:t xml:space="preserve">, в начальный момент о товаре знает 21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0.605;</w:t>
      </w:r>
      <w:r>
        <w:br/>
      </w:r>
      <w:r>
        <w:rPr>
          <w:rStyle w:val="VerbatimChar"/>
        </w:rPr>
        <w:t xml:space="preserve">parameter Real b = 0.000017;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0.000065;</w:t>
      </w:r>
      <w:r>
        <w:br/>
      </w:r>
      <w:r>
        <w:rPr>
          <w:rStyle w:val="VerbatimChar"/>
        </w:rPr>
        <w:t xml:space="preserve">parameter Real b = 0.209;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0.51;</w:t>
      </w:r>
      <w:r>
        <w:br/>
      </w:r>
      <w:r>
        <w:rPr>
          <w:rStyle w:val="VerbatimChar"/>
        </w:rPr>
        <w:t xml:space="preserve">parameter Real b = 0.31;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(a*sin(time)+b*time*n)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4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32" name="Picture"/>
            <a:graphic>
              <a:graphicData uri="http://schemas.openxmlformats.org/drawingml/2006/picture">
                <pic:pic>
                  <pic:nvPicPr>
                    <pic:cNvPr descr="image/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8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36" name="Picture"/>
            <a:graphic>
              <a:graphicData uri="http://schemas.openxmlformats.org/drawingml/2006/picture">
                <pic:pic>
                  <pic:nvPicPr>
                    <pic:cNvPr descr="image/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4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0.605</w:t>
      </w:r>
      <w:r>
        <w:br/>
      </w:r>
      <w:r>
        <w:rPr>
          <w:rStyle w:val="VerbatimChar"/>
        </w:rPr>
        <w:t xml:space="preserve">b = 0.000017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0.000065</w:t>
      </w:r>
      <w:r>
        <w:br/>
      </w:r>
      <w:r>
        <w:rPr>
          <w:rStyle w:val="VerbatimChar"/>
        </w:rPr>
        <w:t xml:space="preserve">b = 0.209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0.51</w:t>
      </w:r>
      <w:r>
        <w:br/>
      </w:r>
      <w:r>
        <w:rPr>
          <w:rStyle w:val="VerbatimChar"/>
        </w:rPr>
        <w:t xml:space="preserve">b = 0.31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 = 0.3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(a*sin(t)+b*t*y[1])*(N-y[1])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46" w:name="fig:006"/>
      <w:r>
        <w:drawing>
          <wp:inline>
            <wp:extent cx="5334000" cy="3556000"/>
            <wp:effectExtent b="0" l="0" r="0" t="0"/>
            <wp:docPr descr="Figure 6: График для случая 1 Julia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для случая 2 Julia" title="" id="48" name="Picture"/>
            <a:graphic>
              <a:graphicData uri="http://schemas.openxmlformats.org/drawingml/2006/picture">
                <pic:pic>
                  <pic:nvPicPr>
                    <pic:cNvPr descr="image/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График для случая 3 Julia" title="" id="52" name="Picture"/>
            <a:graphic>
              <a:graphicData uri="http://schemas.openxmlformats.org/drawingml/2006/picture">
                <pic:pic>
                  <pic:nvPicPr>
                    <pic:cNvPr descr="image/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График для случая 3 Julia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58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59">
        <w:r>
          <w:rPr>
            <w:rStyle w:val="Hyperlink"/>
          </w:rPr>
          <w:t xml:space="preserve">Логистическая модель роста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Герра Гарсия Максимиано Антонио</dc:creator>
  <dc:language>ru-RU</dc:language>
  <cp:keywords/>
  <dcterms:created xsi:type="dcterms:W3CDTF">2025-05-14T06:40:47Z</dcterms:created>
  <dcterms:modified xsi:type="dcterms:W3CDTF">2025-05-14T06:40:47Z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распространения рекламы - вариант 42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