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 intriga, en dos programas</w:t>
      </w:r>
    </w:p>
    <w:p>
      <w:pPr>
        <w:jc w:val="center"/>
      </w:pPr>
      <w:r>
        <w:rPr>
          <w:i w:val="0"/>
          <w:sz w:val="22"/>
        </w:rPr>
        <w:t>Versión 5.2</w:t>
      </w:r>
    </w:p>
    <w:p>
      <w:pPr/>
      <w:r>
        <w:rPr>
          <w:i w:val="0"/>
        </w:rPr>
        <w:t>La pregunta central, en su forma más limpia tras nueve rondas de auditoría:</w:t>
      </w:r>
    </w:p>
    <w:p>
      <w:pPr>
        <w:pStyle w:val="Quote"/>
      </w:pPr>
      <w:r>
        <w:rPr>
          <w:i w:val="0"/>
        </w:rPr>
        <w:t>¿Por qué el costo descriptivo de las regularidades físicas crece tan lentamente frente a la cantidad, diversidad y precisión del mundo que explican?</w:t>
      </w:r>
    </w:p>
    <w:p>
      <w:pPr/>
      <w:r>
        <w:rPr>
          <w:i w:val="0"/>
        </w:rPr>
        <w:t>Esta versión no depende de Koide, del paisaje, de Penrose, de la unitariedad ni de que el universo completo sea comprimible. El fenómeno empírico previo a todas esas preguntas es más modesto y más resistente: una enorme cantidad de regularidades físicas admite descripciones relativamente cortas con poder predictivo.</w:t>
      </w:r>
    </w:p>
    <w:p>
      <w:pPr/>
      <w:r>
        <w:rPr>
          <w:i w:val="0"/>
        </w:rPr>
        <w:t>La pregunta tiene forma operacional: estudiar una superficie o familia de curvas de escalamiento descriptivo cuando crecen la cantidad de datos, su diversidad y la resolución exigida, sin presuponer una ley de potencia ni un exponente universal.</w:t>
      </w:r>
    </w:p>
    <w:p>
      <w:pPr/>
      <w:r>
        <w:rPr>
          <w:b/>
        </w:rPr>
        <w:t>Arquitectura:</w:t>
      </w:r>
      <w:r/>
    </w:p>
    <w:p>
      <w:pPr>
        <w:pStyle w:val="ListBullet"/>
      </w:pPr>
      <w:r>
        <w:rPr>
          <w:i w:val="0"/>
        </w:rPr>
        <w:t>Programa I — Compresibilidad de las regularidades: pregunta por qué las regularidades observadas admiten descripciones tan cortas y generalizan fuera de los datos usados para construirlas.</w:t>
      </w:r>
    </w:p>
    <w:p>
      <w:pPr>
        <w:pStyle w:val="ListBullet"/>
      </w:pPr>
      <w:r>
        <w:rPr>
          <w:i w:val="0"/>
        </w:rPr>
        <w:t>Programa II — Compresibilidad de la historia completa: pregunta cuánto habría que especificar, además de las regularidades, para describir nuestra historia cósmica particular.</w:t>
      </w:r>
    </w:p>
    <w:p>
      <w:pPr/>
      <w:r>
        <w:rPr>
          <w:i w:val="0"/>
        </w:rPr>
        <w:t>El Programa II debe reproducir las regularidades que estudia el Programa I y ser compatible con sus resultados. Pero no se presupone que una descripción mínima de la historia completa pueda factorizarse literalmente en una subrutina separable llamada “ley” más otra llamada “estado inicial”. El Programa I no presupone el II.</w:t>
      </w:r>
    </w:p>
    <w:p>
      <w:pPr>
        <w:pStyle w:val="Heading1"/>
      </w:pPr>
      <w:r>
        <w:rPr>
          <w:i w:val="0"/>
        </w:rPr>
        <w:t>Programa I — Compresibilidad de las regularidades</w:t>
      </w:r>
    </w:p>
    <w:p>
      <w:pPr/>
      <w:r>
        <w:rPr>
          <w:i/>
        </w:rPr>
        <w:t>Empírico, atacable, con MDL, resolución y generalización</w:t>
      </w:r>
    </w:p>
    <w:p>
      <w:pPr>
        <w:pStyle w:val="Heading2"/>
      </w:pPr>
      <w:r>
        <w:rPr>
          <w:i w:val="0"/>
        </w:rPr>
        <w:t>1. El núcleo que resiste</w:t>
      </w:r>
    </w:p>
    <w:p>
      <w:pPr>
        <w:pStyle w:val="Quote"/>
      </w:pPr>
      <w:r>
        <w:rPr>
          <w:i w:val="0"/>
        </w:rPr>
        <w:t>Existen descripciones relativamente cortas que comprimen grandes conjuntos de regularidades físicas, y algunas han permitido anticipar fenómenos que no participaron de su construcción.</w:t>
      </w:r>
    </w:p>
    <w:p>
      <w:pPr/>
      <w:r>
        <w:rPr>
          <w:i w:val="0"/>
        </w:rPr>
        <w:t>Esto no requiere afirmar que conocemos el estado completo del universo, que las condiciones iniciales son simples, que todos los parámetros son reducibles, que la realidad es matemática ni que conocemos K(U).</w:t>
      </w:r>
    </w:p>
    <w:p>
      <w:pPr/>
      <w:r>
        <w:rPr>
          <w:i w:val="0"/>
        </w:rPr>
        <w:t>Ninguna hipótesis posterior tiene este mismo estatus.</w:t>
      </w:r>
    </w:p>
    <w:p>
      <w:pPr/>
      <w:r>
        <w:rPr>
          <w:i w:val="0"/>
        </w:rPr>
        <w:t>La cuestión mínima es:</w:t>
      </w:r>
    </w:p>
    <w:p>
      <w:pPr>
        <w:pStyle w:val="Quote"/>
      </w:pPr>
      <w:r>
        <w:rPr>
          <w:i w:val="0"/>
        </w:rPr>
        <w:t>¿Por qué una descripción que ocupa relativamente poca información sigue explicando cantidades cada vez mayores de observaciones?</w:t>
      </w:r>
    </w:p>
    <w:p>
      <w:pPr>
        <w:pStyle w:val="Heading2"/>
      </w:pPr>
      <w:r>
        <w:rPr>
          <w:i w:val="0"/>
        </w:rPr>
        <w:t>2. La función de compresión: fidelidad, cuantización y bits</w:t>
      </w:r>
    </w:p>
    <w:p>
      <w:pPr/>
      <w:r>
        <w:rPr>
          <w:i w:val="0"/>
        </w:rPr>
        <w:t>Los datos físicos no tienen una longitud informativa independiente de la precisión con que se los quiera reproducir. No es lo mismo especificar x = 1,2 ± 0,5 que x = 1,234 ± 0,001; tampoco es lo mismo describir una galaxia como “espiral” que especificar la posición de cada uno de sus átomos.</w:t>
      </w:r>
    </w:p>
    <w:p>
      <w:pPr/>
      <w:r>
        <w:rPr>
          <w:i w:val="0"/>
        </w:rPr>
        <w:t>Por eso v5.2 separa explícitamente tres decisiones que antes estaban mezcladas: qué diferencias importan, cómo se discretiza una observación continua y con qué código se contabilizan los bits.</w:t>
      </w:r>
    </w:p>
    <w:p>
      <w:pPr>
        <w:pStyle w:val="Heading3"/>
      </w:pPr>
      <w:r>
        <w:rPr>
          <w:i w:val="0"/>
        </w:rPr>
        <w:t>Capa A — fidelidad (rate-distortion)</w:t>
      </w:r>
    </w:p>
    <w:p>
      <w:pPr/>
      <w:r>
        <w:rPr>
          <w:i w:val="0"/>
        </w:rPr>
        <w:t>Para cada dominio se fijan una métrica de distorsión d, una tolerancia ε y un cuantizador Q(d,ε) pre-registrado. La discretización debe satisfacer:</w:t>
      </w:r>
    </w:p>
    <w:p>
      <w:pPr>
        <w:spacing w:before="60" w:after="140"/>
        <w:jc w:val="center"/>
      </w:pPr>
      <w:r>
        <w:rPr>
          <w:rFonts w:ascii="Cambria Math" w:hAnsi="Cambria Math"/>
          <w:sz w:val="22"/>
        </w:rPr>
        <w:t>d[D, Q(d,ε)(D)] ≤ ε</w:t>
      </w:r>
    </w:p>
    <w:p>
      <w:pPr/>
      <w:r>
        <w:rPr>
          <w:i w:val="0"/>
        </w:rPr>
        <w:t>La función d especifica qué diferencias cuentan como pérdida física; ε fija la tolerancia; Q(d,ε) convierte esa tolerancia en celdas o símbolos discretos.</w:t>
      </w:r>
    </w:p>
    <w:p>
      <w:pPr>
        <w:pStyle w:val="Heading3"/>
      </w:pPr>
      <w:r>
        <w:rPr>
          <w:i w:val="0"/>
        </w:rPr>
        <w:t>Capa B — contabilidad (MDL)</w:t>
      </w:r>
    </w:p>
    <w:p>
      <w:pPr/>
      <w:r>
        <w:rPr>
          <w:i w:val="0"/>
        </w:rPr>
        <w:t>Una vez discretizado el dato, la teoría debe pagar los bits del residuo. Si T induce una distribución predictiva, la longitud natural es:</w:t>
      </w:r>
    </w:p>
    <w:p>
      <w:pPr>
        <w:spacing w:before="60" w:after="140"/>
        <w:jc w:val="center"/>
      </w:pPr>
      <w:r>
        <w:rPr>
          <w:rFonts w:ascii="Cambria Math" w:hAnsi="Cambria Math"/>
          <w:sz w:val="22"/>
        </w:rPr>
        <w:t>L(Dε | T) = −log₂ P_T[Q(d,ε)(D)]</w:t>
      </w:r>
    </w:p>
    <w:p>
      <w:pPr/>
      <w:r>
        <w:rPr>
          <w:i w:val="0"/>
        </w:rPr>
        <w:t>Si T usa una densidad continua, P_T[Q(d,ε)(D)] significa la masa de probabilidad integrada sobre la celda de cuantización correspondiente, no el valor puntual de la densidad.</w:t>
      </w:r>
    </w:p>
    <w:p>
      <w:pPr/>
      <w:r>
        <w:rPr>
          <w:i w:val="0"/>
        </w:rPr>
        <w:t>Así, rate-distortion y MDL cumplen papeles diferentes: la primera fija qué fidelidad se exige; MDL decide cuántos bits cuesta alcanzarla. El puente formal es:</w:t>
      </w:r>
    </w:p>
    <w:p>
      <w:pPr>
        <w:spacing w:before="60" w:after="140"/>
        <w:jc w:val="center"/>
      </w:pPr>
      <w:r>
        <w:rPr>
          <w:rFonts w:ascii="Cambria Math" w:hAnsi="Cambria Math"/>
          <w:sz w:val="22"/>
        </w:rPr>
        <w:t>d  →  Q(d,ε)  →  P_T[Q(d,ε)(D)]  →  −log₂ P</w:t>
      </w:r>
    </w:p>
    <w:p>
      <w:pPr>
        <w:pStyle w:val="Heading3"/>
      </w:pPr>
      <w:r>
        <w:rPr>
          <w:i w:val="0"/>
        </w:rPr>
        <w:t>Capa C — código de referencia</w:t>
      </w:r>
    </w:p>
    <w:p>
      <w:pPr/>
      <w:r>
        <w:rPr>
          <w:i w:val="0"/>
        </w:rPr>
        <w:t>El Programa I fija antes del análisis una pila de referencia Uref:</w:t>
      </w:r>
    </w:p>
    <w:p>
      <w:pPr>
        <w:spacing w:before="60" w:after="140"/>
        <w:jc w:val="center"/>
      </w:pPr>
      <w:r>
        <w:rPr>
          <w:rFonts w:ascii="Cambria Math" w:hAnsi="Cambria Math"/>
          <w:sz w:val="22"/>
        </w:rPr>
        <w:t>Uref = intérprete fijo + primitivas comunes + bibliotecas contabilizadas</w:t>
      </w:r>
    </w:p>
    <w:p>
      <w:pPr/>
      <w:r>
        <w:rPr>
          <w:i w:val="0"/>
        </w:rPr>
        <w:t>Las bibliotecas específicas de dominio pagan su longitud. Las bibliotecas compartidas sólo se amortizan según una regla fijada de antemano. La gramática no puede modificarse después de observar D_test para esconder información en la sintaxis.</w:t>
      </w:r>
    </w:p>
    <w:p>
      <w:pPr/>
      <w:r>
        <w:rPr>
          <w:i w:val="0"/>
        </w:rPr>
        <w:t>Para controlar la constante de invariancia de Kolmogórov, los resultados deben reportarse bajo más de una pila de referencia razonable y comprobar que la separación de escalas sobreviva al cambio de lenguaje.</w:t>
      </w:r>
    </w:p>
    <w:p>
      <w:pPr/>
      <w:r>
        <w:rPr>
          <w:i w:val="0"/>
        </w:rPr>
        <w:t>Con estas convenciones, la función de compresión operacional queda:</w:t>
      </w:r>
    </w:p>
    <w:p>
      <w:pPr>
        <w:spacing w:before="60" w:after="140"/>
        <w:jc w:val="center"/>
      </w:pPr>
      <w:r>
        <w:rPr>
          <w:rFonts w:ascii="Cambria Math" w:hAnsi="Cambria Math"/>
          <w:sz w:val="22"/>
        </w:rPr>
        <w:t>C(d,Uref; D,ε) = min_T [ L_Uref(T) + L_Uref(Q(d,ε)(D) | T) ]</w:t>
      </w:r>
    </w:p>
    <w:p>
      <w:pPr>
        <w:pStyle w:val="Heading2"/>
      </w:pPr>
      <w:r>
        <w:rPr>
          <w:i w:val="0"/>
        </w:rPr>
        <w:t>3. La regla contable general</w:t>
      </w:r>
    </w:p>
    <w:p>
      <w:pPr/>
      <w:r>
        <w:rPr>
          <w:i w:val="0"/>
        </w:rPr>
        <w:t>Encontrar una relación entre parámetros no equivale automáticamente a comprimir. Si una teoría elimina 100 bits de datos pero exige 500 bits nuevos de maquinaria teórica, la descripción total empeoró.</w:t>
      </w:r>
    </w:p>
    <w:p>
      <w:pPr>
        <w:spacing w:before="60" w:after="140"/>
        <w:jc w:val="center"/>
      </w:pPr>
      <w:r>
        <w:rPr>
          <w:rFonts w:ascii="Cambria Math" w:hAnsi="Cambria Math"/>
          <w:sz w:val="22"/>
        </w:rPr>
        <w:t>ΔC = C_nuevo − C_anterior</w:t>
      </w:r>
    </w:p>
    <w:p>
      <w:pPr/>
      <w:r>
        <w:rPr>
          <w:i w:val="0"/>
        </w:rPr>
        <w:t>Sólo existe compresión efectiva si:</w:t>
      </w:r>
    </w:p>
    <w:p>
      <w:pPr>
        <w:spacing w:before="60" w:after="140"/>
        <w:jc w:val="center"/>
      </w:pPr>
      <w:r>
        <w:rPr>
          <w:rFonts w:ascii="Cambria Math" w:hAnsi="Cambria Math"/>
          <w:sz w:val="22"/>
        </w:rPr>
        <w:t>ΔC &lt; 0</w:t>
      </w:r>
    </w:p>
    <w:p>
      <w:pPr>
        <w:pStyle w:val="Quote"/>
      </w:pPr>
      <w:r>
        <w:rPr>
          <w:i w:val="0"/>
        </w:rPr>
        <w:t>menos parámetros no significa necesariamente una teoría más simple.</w:t>
      </w:r>
    </w:p>
    <w:p>
      <w:pPr/>
      <w:r>
        <w:rPr>
          <w:i w:val="0"/>
        </w:rPr>
        <w:t>Lo que cuenta es modelo + residuo, bajo el mismo código de referencia y la misma regla de fidelidad. Éste es el criterio MDL que gobierna el Programa I.</w:t>
      </w:r>
    </w:p>
    <w:p>
      <w:pPr>
        <w:pStyle w:val="Heading2"/>
      </w:pPr>
      <w:r>
        <w:rPr>
          <w:i w:val="0"/>
        </w:rPr>
        <w:t>4. La curva de escalamiento y el control de precisión</w:t>
      </w:r>
    </w:p>
    <w:p>
      <w:pPr/>
      <w:r>
        <w:rPr>
          <w:i w:val="0"/>
        </w:rPr>
        <w:t>Sea n la cantidad o diversidad de observaciones incorporadas. Interesa estudiar C(d,Uref; Dₙ,ε) sin suponer de antemano su forma funcional. La curva puede saturarse, crecer logarítmicamente, seguir una potencia, cambiar de régimen, presentar saltos cuando aparece una teoría más general o crecer casi tan rápido como los propios datos.</w:t>
      </w:r>
    </w:p>
    <w:p>
      <w:pPr/>
      <w:r>
        <w:rPr>
          <w:i w:val="0"/>
        </w:rPr>
        <w:t>La señal de comprimibilidad extraordinaria sería una separación persistente:</w:t>
      </w:r>
    </w:p>
    <w:p>
      <w:pPr>
        <w:spacing w:before="60" w:after="140"/>
        <w:jc w:val="center"/>
      </w:pPr>
      <w:r>
        <w:rPr>
          <w:rFonts w:ascii="Cambria Math" w:hAnsi="Cambria Math"/>
          <w:sz w:val="22"/>
        </w:rPr>
        <w:t>C(d,Uref; Dₙ,ε) ≪ L_Uref(Dₙ,ε)</w:t>
      </w:r>
    </w:p>
    <w:p>
      <w:pPr/>
      <w:r>
        <w:rPr>
          <w:i w:val="0"/>
        </w:rPr>
        <w:t>Pero esa comparación sólo es válida si la precisión se paga en ambos lados.</w:t>
      </w:r>
    </w:p>
    <w:p>
      <w:pPr>
        <w:pStyle w:val="Heading3"/>
      </w:pPr>
      <w:r>
        <w:rPr>
          <w:i w:val="0"/>
        </w:rPr>
        <w:t>Control asintótico de la precisión</w:t>
      </w:r>
    </w:p>
    <w:p>
      <w:pPr/>
      <w:r>
        <w:rPr>
          <w:i w:val="0"/>
        </w:rPr>
        <w:t>Para variables continuas, refinar ε hace crecer la longitud literal aproximadamente como log₂(1/ε) por grado de libertad. Sin embargo, L(T) tampoco puede tratarse como constante si T contiene parámetros reales cuya precisión debe aumentar: una codificación directa añade términos del orden de k·log₂(1/ε_T), y MDL paramétrico introduce penalizaciones equivalentes dependientes de la precisión y del tamaño muestral.</w:t>
      </w:r>
    </w:p>
    <w:p>
      <w:pPr/>
      <w:r>
        <w:rPr>
          <w:i w:val="0"/>
        </w:rPr>
        <w:t>Por eso v5.2 no interpreta ρ en el límite ε→0 de manera aislada. Si un modelo mantiene residuo pequeño sólo porque sus parámetros absorben cada nuevo dígito, esos bits deben pagarse en L(T). Si una regla finita predice nuevos dígitos sin aumentar comparablemente su descripción, una caída de la razón sí representa compresión estructural.</w:t>
      </w:r>
    </w:p>
    <w:p>
      <w:pPr/>
      <w:r>
        <w:rPr>
          <w:i w:val="0"/>
        </w:rPr>
        <w:t>Además de la razón global se miden pendientes de resolución —o diferencias finitas en la práctica—:</w:t>
      </w:r>
    </w:p>
    <w:p>
      <w:pPr>
        <w:spacing w:before="60" w:after="140"/>
        <w:jc w:val="center"/>
      </w:pPr>
      <w:r>
        <w:rPr>
          <w:rFonts w:ascii="Cambria Math" w:hAnsi="Cambria Math"/>
          <w:sz w:val="22"/>
        </w:rPr>
        <w:t>sC(n,ε) = ∂C(d,Uref; Dₙ,ε) / ∂log₂(1/ε)</w:t>
      </w:r>
    </w:p>
    <w:p>
      <w:pPr>
        <w:spacing w:before="60" w:after="140"/>
        <w:jc w:val="center"/>
      </w:pPr>
      <w:r>
        <w:rPr>
          <w:rFonts w:ascii="Cambria Math" w:hAnsi="Cambria Math"/>
          <w:sz w:val="22"/>
        </w:rPr>
        <w:t>sD(n,ε) = ∂L_Uref(Dₙ,ε) / ∂log₂(1/ε)</w:t>
      </w:r>
    </w:p>
    <w:p>
      <w:pPr>
        <w:spacing w:before="60" w:after="140"/>
        <w:jc w:val="center"/>
      </w:pPr>
      <w:r>
        <w:rPr>
          <w:rFonts w:ascii="Cambria Math" w:hAnsi="Cambria Math"/>
          <w:sz w:val="22"/>
        </w:rPr>
        <w:t>ηε(n) = sC(n,ε) / sD(n,ε)</w:t>
      </w:r>
    </w:p>
    <w:p>
      <w:pPr/>
      <w:r>
        <w:rPr>
          <w:i w:val="0"/>
        </w:rPr>
        <w:t>ηε mide qué fracción de los nuevos bits exigidos por mayor resolución debe incorporarse también a la mejor descripción generalizable. ρ y ηε se interpretan juntos; ninguna tendencia asintótica aislada basta.</w:t>
      </w:r>
    </w:p>
    <w:p>
      <w:pPr>
        <w:pStyle w:val="Quote"/>
      </w:pPr>
      <w:r>
        <w:rPr>
          <w:i w:val="0"/>
        </w:rPr>
        <w:t>¿Cómo crece el costo descriptivo óptimo —y cuánto de cada nuevo bit de resolución debe pagar también la teoría— cuando aumentamos cantidad, diversidad y precisión de las observaciones?</w:t>
      </w:r>
    </w:p>
    <w:p>
      <w:pPr>
        <w:pStyle w:val="Heading2"/>
      </w:pPr>
      <w:r>
        <w:rPr>
          <w:i w:val="0"/>
        </w:rPr>
        <w:t>5. Generalización: compresión fuera de muestra</w:t>
      </w:r>
    </w:p>
    <w:p>
      <w:pPr/>
      <w:r>
        <w:rPr>
          <w:i w:val="0"/>
        </w:rPr>
        <w:t>Una gramática puede construirse retrospectivamente para comprimir lo que ya vio. El criterio más fuerte es que siga comprimiendo información nueva.</w:t>
      </w:r>
    </w:p>
    <w:p>
      <w:pPr>
        <w:spacing w:before="60" w:after="140"/>
        <w:jc w:val="center"/>
      </w:pPr>
      <w:r>
        <w:rPr>
          <w:rFonts w:ascii="Cambria Math" w:hAnsi="Cambria Math"/>
          <w:sz w:val="22"/>
        </w:rPr>
        <w:t>D = D_train ∪ D_test</w:t>
      </w:r>
    </w:p>
    <w:p>
      <w:pPr/>
      <w:r>
        <w:rPr>
          <w:i w:val="0"/>
        </w:rPr>
        <w:t>Se construye T únicamente con D_train, se congela el modelo y luego se evalúa:</w:t>
      </w:r>
    </w:p>
    <w:p>
      <w:pPr>
        <w:spacing w:before="60" w:after="140"/>
        <w:jc w:val="center"/>
      </w:pPr>
      <w:r>
        <w:rPr>
          <w:rFonts w:ascii="Cambria Math" w:hAnsi="Cambria Math"/>
          <w:sz w:val="22"/>
        </w:rPr>
        <w:t>G(T) = L(D_test | T)</w:t>
      </w:r>
    </w:p>
    <w:p>
      <w:pPr/>
      <w:r>
        <w:rPr>
          <w:i w:val="0"/>
        </w:rPr>
        <w:t>Una teoría científicamente valiosa debería obtener simultáneamente una descripción corta del corpus conocido y un costo condicional pequeño para datos nuevos.</w:t>
      </w:r>
    </w:p>
    <w:p>
      <w:pPr/>
      <w:r>
        <w:rPr>
          <w:i w:val="0"/>
        </w:rPr>
        <w:t>La ciencia histórica no ofrece particiones train/test perfectas: las teorías se modifican, refinan y reinterpretan. Por eso los casos históricos son aproximaciones al criterio fuera de muestra, no validaciones cruzadas literales.</w:t>
      </w:r>
    </w:p>
    <w:p>
      <w:pPr/>
      <w:r>
        <w:rPr>
          <w:i w:val="0"/>
        </w:rPr>
        <w:t>El positrón es un caso particularmente fuerte: la estructura de la teoría de Dirac precedió a su observación. El Higgs también constituye un caso importante respecto de la necesidad de un campo o mecanismo de ese tipo, pero no respecto de su masa: el Modelo Estándar no predijo m_H; esa masa permaneció como parámetro libre hasta ser medida. La predicción próxima a 126 GeV de Shaposhnikov-Wetterich fue un resultado distinto y fuertemente condicionado.</w:t>
      </w:r>
    </w:p>
    <w:p>
      <w:pPr>
        <w:pStyle w:val="Quote"/>
      </w:pPr>
      <w:r>
        <w:rPr>
          <w:i w:val="0"/>
        </w:rPr>
        <w:t>la predicción científica puede interpretarse operacionalmente como compresión que generaliza fuera de muestra.</w:t>
      </w:r>
    </w:p>
    <w:p>
      <w:pPr/>
      <w:r>
        <w:rPr>
          <w:i w:val="0"/>
        </w:rPr>
        <w:t>Eso no prueba que la compresibilidad pertenezca ontológicamente al mundo, pero dificulta reducirla a simple ajuste retrospectivo del lenguaje.</w:t>
      </w:r>
    </w:p>
    <w:p>
      <w:pPr>
        <w:pStyle w:val="Heading2"/>
      </w:pPr>
      <w:r>
        <w:rPr>
          <w:i w:val="0"/>
        </w:rPr>
        <w:t>6. Solomonoff: computabilidad y simplicidad son preguntas distintas</w:t>
      </w:r>
    </w:p>
    <w:p>
      <w:pPr/>
      <w:r>
        <w:rPr>
          <w:i w:val="0"/>
        </w:rPr>
        <w:t>La inducción universal de Solomonoff proporciona resultados de convergencia bajo el supuesto de que la fuente generadora sea computable. Pero deben separarse dos cuestiones:</w:t>
      </w:r>
    </w:p>
    <w:p>
      <w:pPr>
        <w:pStyle w:val="Quote"/>
      </w:pPr>
      <w:r>
        <w:rPr>
          <w:i w:val="0"/>
        </w:rPr>
        <w:t>¿por qué las regularidades físicas parecen computables?</w:t>
      </w:r>
    </w:p>
    <w:p>
      <w:pPr>
        <w:pStyle w:val="Quote"/>
      </w:pPr>
      <w:r>
        <w:rPr>
          <w:i w:val="0"/>
        </w:rPr>
        <w:t>¿por qué muchas parecen computables mediante descripciones tan cortas?</w:t>
      </w:r>
    </w:p>
    <w:p>
      <w:pPr/>
      <w:r>
        <w:rPr>
          <w:i w:val="0"/>
        </w:rPr>
        <w:t>La computabilidad permite convergencia universal bajo las condiciones del teorema. La baja complejidad de la fuente es otra propiedad: afecta cuánto cuesta identificarla y cuán fuerte puede ser la ventaja de una descripción corta.</w:t>
      </w:r>
    </w:p>
    <w:p>
      <w:pPr/>
      <w:r>
        <w:rPr>
          <w:i w:val="0"/>
        </w:rPr>
        <w:t>Un proceso puede ser perfectamente computable y requerir, sin embargo, una descripción astronómicamente larga.</w:t>
      </w:r>
    </w:p>
    <w:p>
      <w:pPr/>
      <w:r>
        <w:rPr>
          <w:i w:val="0"/>
        </w:rPr>
        <w:t>Lo que podemos afirmar empíricamente es más limitado:</w:t>
      </w:r>
    </w:p>
    <w:p>
      <w:pPr>
        <w:pStyle w:val="Quote"/>
      </w:pPr>
      <w:r>
        <w:rPr>
          <w:i w:val="0"/>
        </w:rPr>
        <w:t>algunos sectores fundamentales del mundo observados hasta ahora poseen regularidades que admiten descripciones sorprendentemente compactas.</w:t>
      </w:r>
    </w:p>
    <w:p>
      <w:pPr/>
      <w:r>
        <w:rPr>
          <w:i w:val="0"/>
        </w:rPr>
        <w:t>No sabemos si la fuente completa U posee esa propiedad.</w:t>
      </w:r>
    </w:p>
    <w:p>
      <w:pPr>
        <w:pStyle w:val="Heading2"/>
      </w:pPr>
      <w:r>
        <w:rPr>
          <w:i w:val="0"/>
        </w:rPr>
        <w:t>7. Estratigrafía de la comprimibilidad</w:t>
      </w:r>
    </w:p>
    <w:p>
      <w:pPr/>
      <w:r>
        <w:rPr>
          <w:i w:val="0"/>
        </w:rPr>
        <w:t>El viejo “censo de lo no matematizable” estaba mal planteado. La pregunta operacional no es si un dominio es matemático o no, sino cuánto se deja comprimir bajo una representación, una distorsión, una resolución y un código declarados.</w:t>
      </w:r>
    </w:p>
    <w:p>
      <w:pPr/>
      <w:r>
        <w:rPr>
          <w:i w:val="0"/>
        </w:rPr>
        <w:t>Definimos una razón de compresión diagnóstica:</w:t>
      </w:r>
    </w:p>
    <w:p>
      <w:pPr>
        <w:spacing w:before="60" w:after="140"/>
        <w:jc w:val="center"/>
      </w:pPr>
      <w:r>
        <w:rPr>
          <w:rFonts w:ascii="Cambria Math" w:hAnsi="Cambria Math"/>
          <w:sz w:val="22"/>
        </w:rPr>
        <w:t>ρ(d,ε,Uref; D) = C(d,Uref; D,ε) / L_Uref(Dε)</w:t>
      </w:r>
    </w:p>
    <w:p>
      <w:pPr/>
      <w:r>
        <w:rPr>
          <w:i w:val="0"/>
        </w:rPr>
        <w:t>La clase de modelos incluye siempre un modelo nulo o literal que codifica directamente Dε. Así, salvo overhead fijo, C(d,Uref;D,ε) ≤ L_Uref(Dε)+O(1), y ρ≈1 adquiere el significado operativo de “no se encontró compresión útil”.</w:t>
      </w:r>
    </w:p>
    <w:p>
      <w:pPr/>
      <w:r>
        <w:rPr>
          <w:i w:val="0"/>
        </w:rPr>
        <w:t>Valores pequeños de ρ indican que una descripción corta absorbe gran parte de la información literal. Pero ρ no se interpreta sola: se acompaña con ηε, con la contabilidad precision-aware de los parámetros y con robustez frente al cambio de Uref.</w:t>
      </w:r>
    </w:p>
    <w:p>
      <w:pPr/>
      <w:r>
        <w:rPr>
          <w:i w:val="0"/>
        </w:rPr>
        <w:t>La conjetura inicial es que pueden existir estratos diferentes:</w:t>
      </w:r>
    </w:p>
    <w:p>
      <w:pPr>
        <w:pStyle w:val="ListBullet"/>
      </w:pPr>
      <w:r>
        <w:rPr>
          <w:i w:val="0"/>
        </w:rPr>
        <w:t>física fundamental: ρ muy pequeño;</w:t>
      </w:r>
    </w:p>
    <w:p>
      <w:pPr>
        <w:pStyle w:val="ListBullet"/>
      </w:pPr>
      <w:r>
        <w:rPr>
          <w:i w:val="0"/>
        </w:rPr>
        <w:t>sistemas complejos dinámicos: mayor;</w:t>
      </w:r>
    </w:p>
    <w:p>
      <w:pPr>
        <w:pStyle w:val="ListBullet"/>
      </w:pPr>
      <w:r>
        <w:rPr>
          <w:i w:val="0"/>
        </w:rPr>
        <w:t>meteorología: mayor todavía a determinadas escalas;</w:t>
      </w:r>
    </w:p>
    <w:p>
      <w:pPr>
        <w:pStyle w:val="ListBullet"/>
      </w:pPr>
      <w:r>
        <w:rPr>
          <w:i w:val="0"/>
        </w:rPr>
        <w:t>biología histórica: posiblemente mayor;</w:t>
      </w:r>
    </w:p>
    <w:p>
      <w:pPr>
        <w:pStyle w:val="ListBullet"/>
      </w:pPr>
      <w:r>
        <w:rPr>
          <w:i w:val="0"/>
        </w:rPr>
        <w:t>historias individuales: quizá muy alto;</w:t>
      </w:r>
    </w:p>
    <w:p>
      <w:pPr>
        <w:pStyle w:val="ListBullet"/>
      </w:pPr>
      <w:r>
        <w:rPr>
          <w:i w:val="0"/>
        </w:rPr>
        <w:t>ruido algorítmicamente incomprimible: ρ próximo a 1.</w:t>
      </w:r>
    </w:p>
    <w:p>
      <w:pPr/>
      <w:r>
        <w:rPr>
          <w:i w:val="0"/>
        </w:rPr>
        <w:t>Esto es una hipótesis a medir, no un resultado conocido.</w:t>
      </w:r>
    </w:p>
    <w:p>
      <w:pPr>
        <w:pStyle w:val="Heading3"/>
      </w:pPr>
      <w:r>
        <w:rPr>
          <w:i w:val="0"/>
        </w:rPr>
        <w:t>Condiciones para comparar dominios</w:t>
      </w:r>
    </w:p>
    <w:p>
      <w:pPr/>
      <w:r>
        <w:rPr>
          <w:i w:val="0"/>
        </w:rPr>
        <w:t>La comparación sólo tiene sentido si se pre-registran:</w:t>
      </w:r>
    </w:p>
    <w:p>
      <w:pPr>
        <w:ind w:left="216" w:hanging="72"/>
      </w:pPr>
      <w:r>
        <w:t>1.  Representación: qué constituye un dato en cada dominio.</w:t>
      </w:r>
    </w:p>
    <w:p>
      <w:pPr>
        <w:ind w:left="216" w:hanging="72"/>
      </w:pPr>
      <w:r>
        <w:t>2.  Distorsión d: qué diferencias importan físicamente.</w:t>
      </w:r>
    </w:p>
    <w:p>
      <w:pPr>
        <w:ind w:left="216" w:hanging="72"/>
      </w:pPr>
      <w:r>
        <w:t>3.  Cuantizador Q(d,ε): cómo la tolerancia se transforma en símbolos discretos.</w:t>
      </w:r>
    </w:p>
    <w:p>
      <w:pPr>
        <w:ind w:left="216" w:hanging="72"/>
      </w:pPr>
      <w:r>
        <w:t>4.  Resolución ε y regla de precisión para parámetros continuos de T.</w:t>
      </w:r>
    </w:p>
    <w:p>
      <w:pPr>
        <w:ind w:left="216" w:hanging="72"/>
      </w:pPr>
      <w:r>
        <w:t>5.  Pila Uref: intérprete, primitivas y bibliotecas contabilizadas.</w:t>
      </w:r>
    </w:p>
    <w:p>
      <w:pPr>
        <w:ind w:left="216" w:hanging="72"/>
      </w:pPr>
      <w:r>
        <w:t>6.  Código literal o modelo nulo contra el que se normaliza la ganancia.</w:t>
      </w:r>
    </w:p>
    <w:p>
      <w:pPr>
        <w:ind w:left="216" w:hanging="72"/>
      </w:pPr>
      <w:r>
        <w:t>7.  Familia de modelos o compresores permitidos.</w:t>
      </w:r>
    </w:p>
    <w:p>
      <w:pPr>
        <w:ind w:left="216" w:hanging="72"/>
      </w:pPr>
      <w:r>
        <w:t>8.  Tamaño y diversidad n del corpus.</w:t>
      </w:r>
    </w:p>
    <w:p>
      <w:pPr>
        <w:ind w:left="216" w:hanging="72"/>
      </w:pPr>
      <w:r>
        <w:t>9.  Separación D_train/D_test y regla de congelamiento del modelo antes de D_test.</w:t>
      </w:r>
    </w:p>
    <w:p>
      <w:pPr/>
      <w:r>
        <w:rPr>
          <w:i w:val="0"/>
        </w:rPr>
        <w:t>Sin estas decisiones, una diferencia de ρ o ηε podría medir únicamente una diferencia de representación, cuantización o sintaxis. El protocolo debe publicarse antes de comparar dominios.</w:t>
      </w:r>
    </w:p>
    <w:p>
      <w:pPr/>
      <w:r>
        <w:rPr>
          <w:i w:val="0"/>
        </w:rPr>
        <w:t>La distancia de compresión normalizada de Cilibrasi-Vitányi sigue siendo útil para similitud entre objetos, pero no fundamenta esta razón de compresión. Para este programa los anclajes formales principales son MDL, estadística algorítmica y rate-distortion algorítmico, con el puente d→Q(d,ε)→−log₂P explicitado.</w:t>
      </w:r>
    </w:p>
    <w:p>
      <w:pPr>
        <w:pStyle w:val="Heading1"/>
      </w:pPr>
      <w:r>
        <w:rPr>
          <w:i w:val="0"/>
        </w:rPr>
        <w:t>Programa II — Compresibilidad de la historia completa</w:t>
      </w:r>
    </w:p>
    <w:p>
      <w:pPr/>
      <w:r>
        <w:rPr>
          <w:i/>
        </w:rPr>
        <w:t>Fundacional: condición inicial, contingencia, unitariedad, observabilidad y U</w:t>
      </w:r>
    </w:p>
    <w:p>
      <w:pPr>
        <w:pStyle w:val="Heading2"/>
      </w:pPr>
      <w:r>
        <w:rPr>
          <w:i w:val="0"/>
        </w:rPr>
        <w:t>8. La función objetivo fuerte</w:t>
      </w:r>
    </w:p>
    <w:p>
      <w:pPr/>
      <w:r>
        <w:rPr>
          <w:i w:val="0"/>
        </w:rPr>
        <w:t>El Programa II intenta ir más allá de las regularidades y preguntar cuánto habría que especificar para reconstruir nuestra historia concreta:</w:t>
      </w:r>
    </w:p>
    <w:p>
      <w:pPr>
        <w:spacing w:before="60" w:after="140"/>
        <w:jc w:val="center"/>
      </w:pPr>
      <w:r>
        <w:rPr>
          <w:rFonts w:ascii="Cambria Math" w:hAnsi="Cambria Math"/>
          <w:sz w:val="22"/>
        </w:rPr>
        <w:t>min_{T,S₀,C} [ K(T) + K(S₀|T) + K(C|T,S₀) + K(D|T,S₀,C) ]</w:t>
      </w:r>
    </w:p>
    <w:p>
      <w:pPr/>
      <w:r>
        <w:rPr>
          <w:i w:val="0"/>
        </w:rPr>
        <w:t>donde T es la estructura dinámica o teoría; S₀ la condición inicial; C la contingencia fundamental adicional, si existe; y D las observaciones efectivamente realizadas.</w:t>
      </w:r>
    </w:p>
    <w:p>
      <w:pPr/>
      <w:r>
        <w:rPr>
          <w:i w:val="0"/>
        </w:rPr>
        <w:t>Para datos con ruido puede utilizarse el término probabilístico:</w:t>
      </w:r>
    </w:p>
    <w:p>
      <w:pPr>
        <w:spacing w:before="60" w:after="140"/>
        <w:jc w:val="center"/>
      </w:pPr>
      <w:r>
        <w:rPr>
          <w:rFonts w:ascii="Cambria Math" w:hAnsi="Cambria Math"/>
          <w:sz w:val="22"/>
        </w:rPr>
        <w:t>−log P(D | T,S₀,C)</w:t>
      </w:r>
    </w:p>
    <w:p>
      <w:pPr/>
      <w:r>
        <w:rPr>
          <w:b/>
        </w:rPr>
        <w:t>Advertencia permanente:</w:t>
      </w:r>
      <w:r/>
    </w:p>
    <w:p>
      <w:pPr/>
      <w:r>
        <w:rPr>
          <w:i w:val="0"/>
        </w:rPr>
        <w:t>D significa D_medido, no acceso directo al universo. La cadena real es:</w:t>
      </w:r>
    </w:p>
    <w:p>
      <w:pPr>
        <w:spacing w:before="60" w:after="140"/>
        <w:jc w:val="center"/>
      </w:pPr>
      <w:r>
        <w:rPr>
          <w:rFonts w:ascii="Cambria Math" w:hAnsi="Cambria Math"/>
          <w:sz w:val="22"/>
        </w:rPr>
        <w:t>U → observables → aparatos → D_medido</w:t>
      </w:r>
    </w:p>
    <w:p>
      <w:pPr/>
      <w:r>
        <w:rPr>
          <w:i w:val="0"/>
        </w:rPr>
        <w:t>Por tanto esta función busca una descripción corta que explique nuestros datos; no demuestra que hayamos encontrado el programa mínimo que genera U.</w:t>
      </w:r>
    </w:p>
    <w:p>
      <w:pPr/>
      <w:r>
        <w:rPr>
          <w:i w:val="0"/>
        </w:rPr>
        <w:t>Además, K es incomputable. Encontrar un programa sólo establece una cota superior K(x) ≤ |p|; una descripción de un millón de bits no excluye que exista otra de cien bits todavía desconocida. “Descripción mínima” es el objetivo ideal, no una cantidad generalmente calculable.</w:t>
      </w:r>
    </w:p>
    <w:p>
      <w:pPr>
        <w:pStyle w:val="Heading2"/>
      </w:pPr>
      <w:r>
        <w:rPr>
          <w:i w:val="0"/>
        </w:rPr>
        <w:t>9. El residuo: tres clases, una frontera y una moneda</w:t>
      </w:r>
    </w:p>
    <w:p>
      <w:pPr>
        <w:pStyle w:val="Heading3"/>
      </w:pPr>
      <w:r>
        <w:rPr>
          <w:i w:val="0"/>
        </w:rPr>
        <w:t>Nivel 1 — Bits candidatos de la descripción</w:t>
      </w:r>
    </w:p>
    <w:p>
      <w:pPr/>
      <w:r>
        <w:rPr>
          <w:b/>
        </w:rPr>
        <w:t>R_libres</w:t>
      </w:r>
      <w:r/>
    </w:p>
    <w:p>
      <w:pPr/>
      <w:r>
        <w:rPr>
          <w:i w:val="0"/>
        </w:rPr>
        <w:t>Parámetros que todavía no conseguimos derivar. El nombre es deliberadamente neutro: llamarlos “ley” prejuzgaría el resultado.</w:t>
      </w:r>
    </w:p>
    <w:p>
      <w:pPr/>
      <w:r>
        <w:rPr>
          <w:b/>
        </w:rPr>
        <w:t>R_estado</w:t>
      </w:r>
      <w:r/>
    </w:p>
    <w:p>
      <w:pPr/>
      <w:r>
        <w:rPr>
          <w:i w:val="0"/>
        </w:rPr>
        <w:t>Información necesaria para seleccionar la condición inicial o el estado particular. Si los parámetros de baja energía fueran selección de vacío en un paisaje, parte de lo que hoy llamamos “constantes” migraría aquí.</w:t>
      </w:r>
    </w:p>
    <w:p>
      <w:pPr/>
      <w:r>
        <w:rPr>
          <w:b/>
        </w:rPr>
        <w:t>R_contingencia</w:t>
      </w:r>
      <w:r/>
    </w:p>
    <w:p>
      <w:pPr/>
      <w:r>
        <w:rPr>
          <w:i w:val="0"/>
        </w:rPr>
        <w:t>Información producida durante la historia si existieran procesos físicamente irreductibles a la evolución previa, por ejemplo alguna forma de colapso objetivo fundamental.</w:t>
      </w:r>
    </w:p>
    <w:p>
      <w:pPr>
        <w:pStyle w:val="Heading3"/>
      </w:pPr>
      <w:r>
        <w:rPr>
          <w:i w:val="0"/>
        </w:rPr>
        <w:t>Nivel 2 — Frontera epistemológica</w:t>
      </w:r>
    </w:p>
    <w:p>
      <w:pPr/>
      <w:r>
        <w:rPr>
          <w:b/>
        </w:rPr>
        <w:t>R_observabilidad</w:t>
      </w:r>
      <w:r/>
    </w:p>
    <w:p>
      <w:pPr/>
      <w:r>
        <w:rPr>
          <w:i w:val="0"/>
        </w:rPr>
        <w:t>No es una porción adicional de K(U). Es la brecha entre lo que nuestros datos D permiten inferir y lo que el universo U sea realmente.</w:t>
      </w:r>
    </w:p>
    <w:p>
      <w:pPr>
        <w:spacing w:before="60" w:after="140"/>
        <w:jc w:val="center"/>
      </w:pPr>
      <w:r>
        <w:rPr>
          <w:rFonts w:ascii="Cambria Math" w:hAnsi="Cambria Math"/>
          <w:sz w:val="22"/>
        </w:rPr>
        <w:t>K(D) pequeño  ⇏  K(U) pequeño</w:t>
      </w:r>
    </w:p>
    <w:p>
      <w:pPr/>
      <w:r>
        <w:rPr>
          <w:b/>
        </w:rPr>
        <w:t>R_indexical</w:t>
      </w:r>
      <w:r>
        <w:t xml:space="preserve"> ⊂ R_observabilidad</w:t>
      </w:r>
    </w:p>
    <w:p>
      <w:pPr/>
      <w:r>
        <w:rPr>
          <w:i w:val="0"/>
        </w:rPr>
        <w:t>Subcuenta necesaria cuando una teoría global no selecciona un único resultado observado. Contiene los bits requeridos para identificar nuestro registro observacional relativo dentro de una descripción global compatible con varios registros. No son bits creados por la dinámica; son bits de localización epistémica.</w:t>
      </w:r>
    </w:p>
    <w:p>
      <w:pPr>
        <w:pStyle w:val="Heading3"/>
      </w:pPr>
      <w:r>
        <w:rPr>
          <w:i w:val="0"/>
        </w:rPr>
        <w:t>Nivel 3 — Convención descriptiva</w:t>
      </w:r>
    </w:p>
    <w:p>
      <w:pPr/>
      <w:r>
        <w:rPr>
          <w:b/>
        </w:rPr>
        <w:t>R_lenguaje</w:t>
      </w:r>
      <w:r/>
    </w:p>
    <w:p>
      <w:pPr/>
      <w:r>
        <w:rPr>
          <w:i w:val="0"/>
        </w:rPr>
        <w:t>No es otro conjunto de bits del universo, sino la moneda de la contabilidad: máquina universal, lenguaje, biblioteca matemática y codificación.</w:t>
      </w:r>
    </w:p>
    <w:p>
      <w:pPr/>
      <w:r>
        <w:rPr>
          <w:i w:val="0"/>
        </w:rPr>
        <w:t>La dependencia de máquina sólo cambia K hasta una constante aditiva, pero para descripciones cortas esa constante puede dominar. La salida operacional consiste en pre-registrar Uref y exigir que las separaciones de escala sobrevivan a pilas de referencia razonables.</w:t>
      </w:r>
    </w:p>
    <w:p>
      <w:pPr>
        <w:pStyle w:val="Heading3"/>
      </w:pPr>
      <w:r>
        <w:rPr>
          <w:i w:val="0"/>
        </w:rPr>
        <w:t>El suelo</w:t>
      </w:r>
    </w:p>
    <w:p>
      <w:pPr/>
      <w:r>
        <w:rPr>
          <w:i w:val="0"/>
        </w:rPr>
        <w:t>Debajo de toda esta contabilidad permanece una pregunta anterior:</w:t>
      </w:r>
    </w:p>
    <w:p>
      <w:pPr>
        <w:pStyle w:val="Quote"/>
      </w:pPr>
      <w:r>
        <w:rPr>
          <w:i w:val="0"/>
        </w:rPr>
        <w:t>¿Existe una representación físicamente privilegiada o suficientemente bien definida del “estado completo del universo” U sobre la cual tenga sentido preguntar K(U)?</w:t>
      </w:r>
    </w:p>
    <w:p>
      <w:pPr/>
      <w:r>
        <w:rPr>
          <w:i w:val="0"/>
        </w:rPr>
        <w:t>Éste sigue siendo el supuesto ontológico más profundo del programa.</w:t>
      </w:r>
    </w:p>
    <w:p>
      <w:pPr>
        <w:pStyle w:val="Heading2"/>
      </w:pPr>
      <w:r>
        <w:rPr>
          <w:i w:val="0"/>
        </w:rPr>
        <w:t>10. Migración de bits y categorías</w:t>
      </w:r>
    </w:p>
    <w:p>
      <w:pPr/>
      <w:r>
        <w:rPr>
          <w:i w:val="0"/>
        </w:rPr>
        <w:t>La clasificación es relativa a una teoría T. Una nueva teoría puede hacer que algo que hoy figura en R_libres:</w:t>
      </w:r>
    </w:p>
    <w:p>
      <w:pPr>
        <w:ind w:left="216" w:hanging="72"/>
      </w:pPr>
      <w:r>
        <w:t>1.  pase a K(T) como consecuencia derivada;</w:t>
      </w:r>
    </w:p>
    <w:p>
      <w:pPr>
        <w:ind w:left="216" w:hanging="72"/>
      </w:pPr>
      <w:r>
        <w:t>2.  pase a R_estado como selección de una solución o vacío;</w:t>
      </w:r>
    </w:p>
    <w:p>
      <w:pPr>
        <w:ind w:left="216" w:hanging="72"/>
      </w:pPr>
      <w:r>
        <w:t>3.  permanezca como parámetro irreducido.</w:t>
      </w:r>
    </w:p>
    <w:p>
      <w:pPr/>
      <w:r>
        <w:rPr>
          <w:i w:val="0"/>
        </w:rPr>
        <w:t>La migración histórica demuestra que nuestras categorías actuales dependen del marco teórico. No demuestra que no existan categorías fundamentales en la naturaleza.</w:t>
      </w:r>
    </w:p>
    <w:p>
      <w:pPr>
        <w:pStyle w:val="Quote"/>
      </w:pPr>
      <w:r>
        <w:rPr>
          <w:i w:val="0"/>
        </w:rPr>
        <w:t>La migración audita el mapa; no legisla el territorio.</w:t>
      </w:r>
    </w:p>
    <w:p>
      <w:pPr>
        <w:pStyle w:val="Heading2"/>
      </w:pPr>
      <w:r>
        <w:rPr>
          <w:i w:val="0"/>
        </w:rPr>
        <w:t>11. El caso de los parámetros actuales</w:t>
      </w:r>
    </w:p>
    <w:p>
      <w:pPr/>
      <w:r>
        <w:rPr>
          <w:i w:val="0"/>
        </w:rPr>
        <w:t>La partición entre ley / domicilio / hecho bruto continúa siendo una conjetura interna del Programa II.</w:t>
      </w:r>
    </w:p>
    <w:p>
      <w:pPr>
        <w:pStyle w:val="Heading3"/>
      </w:pPr>
      <w:r>
        <w:rPr>
          <w:i w:val="0"/>
        </w:rPr>
        <w:t>Koide</w:t>
      </w:r>
    </w:p>
    <w:p>
      <w:pPr/>
      <w:r>
        <w:rPr>
          <w:i w:val="0"/>
        </w:rPr>
        <w:t>La relación de Koide se cumple aproximadamente a 10⁻⁵ usando masas polo, pero con masas corridas a una escala común M_Z se degrada aproximadamente dos órdenes de magnitud, hasta Q(M_Z)≈0,6679.</w:t>
      </w:r>
    </w:p>
    <w:p>
      <w:pPr/>
      <w:r>
        <w:rPr>
          <w:i w:val="0"/>
        </w:rPr>
        <w:t>Por tanto ya no debe presentarse meramente como una relación misteriosamente perfecta. La pregunta interesante es:</w:t>
      </w:r>
    </w:p>
    <w:p>
      <w:pPr>
        <w:pStyle w:val="Quote"/>
      </w:pPr>
      <w:r>
        <w:rPr>
          <w:i w:val="0"/>
        </w:rPr>
        <w:t>¿por qué aparece con esa precisión para masas polo y no para las cantidades corridas donde uno podría esperar una relación más fundamental?</w:t>
      </w:r>
    </w:p>
    <w:p>
      <w:pPr/>
      <w:r>
        <w:rPr>
          <w:i w:val="0"/>
        </w:rPr>
        <w:t>El mecanismo de Sumino intenta responder precisamente a esa dificultad.</w:t>
      </w:r>
    </w:p>
    <w:p>
      <w:pPr>
        <w:pStyle w:val="Heading3"/>
      </w:pPr>
      <w:r>
        <w:rPr>
          <w:i w:val="0"/>
        </w:rPr>
        <w:t>Weinberg y Λ</w:t>
      </w:r>
    </w:p>
    <w:p>
      <w:pPr/>
      <w:r>
        <w:rPr>
          <w:i w:val="0"/>
        </w:rPr>
        <w:t>El resultado de Weinberg de 1987 fue una cota antrópica, no una predicción numérica precisa del valor actualmente observado. La predicción probabilística posterior requiere hipótesis de selección adicionales.</w:t>
      </w:r>
    </w:p>
    <w:p>
      <w:pPr>
        <w:pStyle w:val="Heading3"/>
      </w:pPr>
      <w:r>
        <w:rPr>
          <w:i w:val="0"/>
        </w:rPr>
        <w:t>Higgs</w:t>
      </w:r>
    </w:p>
    <w:p>
      <w:pPr/>
      <w:r>
        <w:rPr>
          <w:i w:val="0"/>
        </w:rPr>
        <w:t>Shaposhnikov-Wetterich obtuvieron aproximadamente 126 GeV antes del descubrimiento, pero bajo supuestos fuertes sobre asymptotic safety, ausencia de nueva física hasta Planck y propiedades del flujo renormalizable. Estos casos siguen siendo sugestivos, pero ninguno sirve como “testigo estrella” de la partición.</w:t>
      </w:r>
    </w:p>
    <w:p>
      <w:pPr>
        <w:pStyle w:val="Heading2"/>
      </w:pPr>
      <w:r>
        <w:rPr>
          <w:i w:val="0"/>
        </w:rPr>
        <w:t>12. Estado experimental de R_contingencia</w:t>
      </w:r>
    </w:p>
    <w:p>
      <w:pPr/>
      <w:r>
        <w:rPr>
          <w:i w:val="0"/>
        </w:rPr>
        <w:t>La versión natural sin parámetro libre del modelo Diósi-Penrose fue descartada por el experimento de Donadi et al. publicado en Nature Physics en 2021. Versiones regularizadas con parámetro libre sobreviven.</w:t>
      </w:r>
    </w:p>
    <w:p>
      <w:pPr/>
      <w:r>
        <w:rPr>
          <w:i w:val="0"/>
        </w:rPr>
        <w:t>En modelos CSL, grandes regiones del espacio de parámetros (λ,r_C) han sido excluidas por experimentos de emisión espontánea, detectores de baja radiación y otros sistemas.</w:t>
      </w:r>
    </w:p>
    <w:p>
      <w:pPr/>
      <w:r>
        <w:rPr>
          <w:i w:val="0"/>
        </w:rPr>
        <w:t>La inferencia correcta es limitada:</w:t>
      </w:r>
    </w:p>
    <w:p>
      <w:pPr>
        <w:pStyle w:val="Quote"/>
      </w:pPr>
      <w:r>
        <w:rPr>
          <w:i w:val="0"/>
        </w:rPr>
        <w:t>excluir una teoría de colapso reduce el espacio de mecanismos especificados compatibles con R_contingencia &gt; 0.</w:t>
      </w:r>
    </w:p>
    <w:p>
      <w:pPr/>
      <w:r>
        <w:rPr>
          <w:i w:val="0"/>
        </w:rPr>
        <w:t>No aumenta por sí mismo la probabilidad de la unitariedad, porque eso exigiría una distribución previa sobre un espacio completo de alternativas que no poseemos.</w:t>
      </w:r>
    </w:p>
    <w:p>
      <w:pPr>
        <w:pStyle w:val="Heading3"/>
      </w:pPr>
      <w:r>
        <w:rPr>
          <w:i w:val="0"/>
        </w:rPr>
        <w:t>12.1. ¿Dónde quedan los bits de cada resultado si R_contingencia = 0?</w:t>
      </w:r>
    </w:p>
    <w:p>
      <w:pPr/>
      <w:r>
        <w:rPr>
          <w:i w:val="0"/>
        </w:rPr>
        <w:t>Que la dinámica fundamental no genere contingencia no implica que la aleatoriedad observada “desaparezca” ni que K(D|T,S₀) sea cero. Los bits de un resultado individual siguen necesitando una ubicación contable, y esa ubicación depende de la ontología de la teoría:</w:t>
      </w:r>
    </w:p>
    <w:tbl>
      <w:tblPr>
        <w:tblStyle w:val="TableGrid"/>
        <w:tblW w:type="auto" w:w="0"/>
        <w:jc w:val="center"/>
        <w:tblLook w:firstColumn="1" w:firstRow="1" w:lastColumn="0" w:lastRow="0" w:noHBand="0" w:noVBand="1" w:val="04A0"/>
      </w:tblPr>
      <w:tblGrid>
        <w:gridCol w:w="5083"/>
        <w:gridCol w:w="5083"/>
      </w:tblGrid>
      <w:tr>
        <w:trPr>
          <w:cantSplit/>
          <w:cantSplit/>
          <w:tblHeader w:val="true"/>
        </w:trPr>
        <w:tc>
          <w:tcPr>
            <w:tcW w:type="dxa" w:w="3096"/>
            <w:vAlign w:val="center"/>
            <w:shd w:fill="E6EBF2"/>
          </w:tcPr>
          <w:p>
            <w:r>
              <w:rPr>
                <w:rFonts w:ascii="Georgia" w:hAnsi="Georgia"/>
                <w:b/>
                <w:sz w:val="17"/>
              </w:rPr>
              <w:t>Marco</w:t>
            </w:r>
          </w:p>
        </w:tc>
        <w:tc>
          <w:tcPr>
            <w:tcW w:type="dxa" w:w="6552"/>
            <w:vAlign w:val="center"/>
            <w:shd w:fill="E6EBF2"/>
          </w:tcPr>
          <w:p>
            <w:r>
              <w:rPr>
                <w:rFonts w:ascii="Georgia" w:hAnsi="Georgia"/>
                <w:b/>
                <w:sz w:val="17"/>
              </w:rPr>
              <w:t>Destino contable del resultado particular</w:t>
            </w:r>
          </w:p>
        </w:tc>
      </w:tr>
      <w:tr>
        <w:trPr>
          <w:cantSplit/>
          <w:cantSplit/>
        </w:trPr>
        <w:tc>
          <w:tcPr>
            <w:tcW w:type="dxa" w:w="3096"/>
            <w:vAlign w:val="center"/>
          </w:tcPr>
          <w:p>
            <w:r>
              <w:rPr>
                <w:rFonts w:ascii="Georgia" w:hAnsi="Georgia"/>
                <w:sz w:val="17"/>
              </w:rPr>
              <w:t>Colapso objetivo</w:t>
            </w:r>
          </w:p>
        </w:tc>
        <w:tc>
          <w:tcPr>
            <w:tcW w:type="dxa" w:w="6552"/>
            <w:vAlign w:val="center"/>
          </w:tcPr>
          <w:p>
            <w:r>
              <w:rPr>
                <w:rFonts w:ascii="Georgia" w:hAnsi="Georgia"/>
                <w:sz w:val="17"/>
              </w:rPr>
              <w:t>R_contingencia: el resultado introduce contingencia fundamental no fijada por la evolución previa.</w:t>
            </w:r>
          </w:p>
        </w:tc>
      </w:tr>
      <w:tr>
        <w:trPr>
          <w:cantSplit/>
          <w:cantSplit/>
        </w:trPr>
        <w:tc>
          <w:tcPr>
            <w:tcW w:type="dxa" w:w="3096"/>
            <w:vAlign w:val="center"/>
          </w:tcPr>
          <w:p>
            <w:r>
              <w:rPr>
                <w:rFonts w:ascii="Georgia" w:hAnsi="Georgia"/>
                <w:sz w:val="17"/>
              </w:rPr>
              <w:t>Dinámica determinista con variables adicionales (tipo Bohm)</w:t>
            </w:r>
          </w:p>
        </w:tc>
        <w:tc>
          <w:tcPr>
            <w:tcW w:type="dxa" w:w="6552"/>
            <w:vAlign w:val="center"/>
          </w:tcPr>
          <w:p>
            <w:r>
              <w:rPr>
                <w:rFonts w:ascii="Georgia" w:hAnsi="Georgia"/>
                <w:sz w:val="17"/>
              </w:rPr>
              <w:t>R_estado: el resultado queda fijado por la configuración o estado inicial completo, aunque sea desconocido para el observador.</w:t>
            </w:r>
          </w:p>
        </w:tc>
      </w:tr>
      <w:tr>
        <w:trPr>
          <w:cantSplit/>
          <w:cantSplit/>
        </w:trPr>
        <w:tc>
          <w:tcPr>
            <w:tcW w:type="dxa" w:w="3096"/>
            <w:vAlign w:val="center"/>
          </w:tcPr>
          <w:p>
            <w:r>
              <w:rPr>
                <w:rFonts w:ascii="Georgia" w:hAnsi="Georgia"/>
                <w:sz w:val="17"/>
              </w:rPr>
              <w:t>Everett / evolución unitaria sin selección de rama</w:t>
            </w:r>
          </w:p>
        </w:tc>
        <w:tc>
          <w:tcPr>
            <w:tcW w:type="dxa" w:w="6552"/>
            <w:vAlign w:val="center"/>
          </w:tcPr>
          <w:p>
            <w:r>
              <w:rPr>
                <w:rFonts w:ascii="Georgia" w:hAnsi="Georgia"/>
                <w:sz w:val="17"/>
              </w:rPr>
              <w:t>R_indexical ⊂ R_observabilidad: el estado global contiene los distintos registros; no hay una rama físicamente elegida. Los bits identifican qué registro relativo corresponde a nuestra historia observada.</w:t>
            </w:r>
          </w:p>
        </w:tc>
      </w:tr>
    </w:tbl>
    <w:p/>
    <w:p>
      <w:pPr/>
      <w:r>
        <w:rPr>
          <w:i w:val="0"/>
        </w:rPr>
        <w:t>Por tanto, R_contingencia = 0 significa “no se generaron bits estocásticos fundamentales”, no “no hacen falta bits para especificar lo que observamos”. En una descripción everettiana esos bits permanecen en K(D|T,S₀,C) como información del registro relativo, no como selección dinámica de una rama.</w:t>
      </w:r>
    </w:p>
    <w:p>
      <w:pPr>
        <w:pStyle w:val="Heading2"/>
      </w:pPr>
      <w:r>
        <w:rPr>
          <w:i w:val="0"/>
        </w:rPr>
        <w:t>13. Historia como ejecución: candidatura, no conclusión</w:t>
      </w:r>
    </w:p>
    <w:p>
      <w:pPr/>
      <w:r>
        <w:rPr>
          <w:i w:val="0"/>
        </w:rPr>
        <w:t>Bajo dinámica determinista computable:</w:t>
      </w:r>
    </w:p>
    <w:p>
      <w:pPr>
        <w:spacing w:before="60" w:after="140"/>
        <w:jc w:val="center"/>
      </w:pPr>
      <w:r>
        <w:rPr>
          <w:rFonts w:ascii="Cambria Math" w:hAnsi="Cambria Math"/>
          <w:sz w:val="22"/>
        </w:rPr>
        <w:t>K(S_t) ≲ K(S₀) + K(L) + K(t) + c</w:t>
      </w:r>
    </w:p>
    <w:p>
      <w:pPr/>
      <w:r>
        <w:rPr>
          <w:i w:val="0"/>
        </w:rPr>
        <w:t>Por tanto una historia visualmente extremadamente compleja no necesita contener una cantidad comparable de nueva complejidad algorítmica fundamental.</w:t>
      </w:r>
    </w:p>
    <w:p>
      <w:pPr/>
      <w:r>
        <w:rPr>
          <w:i w:val="0"/>
        </w:rPr>
        <w:t>Eso no implica automáticamente que lo que aumenta sea la profundidad lógica. La profundidad lógica de Bennett es una candidata natural para representar parte de la complejidad histórica organizada: cuánto cómputo requieren descripciones suficientemente cortas para producir determinado objeto.</w:t>
      </w:r>
    </w:p>
    <w:p>
      <w:pPr>
        <w:pStyle w:val="Quote"/>
      </w:pPr>
      <w:r>
        <w:rPr>
          <w:i w:val="0"/>
        </w:rPr>
        <w:t>su aplicación al universo es una interpretación productiva, no un teorema cosmológico.</w:t>
      </w:r>
    </w:p>
    <w:p>
      <w:pPr/>
      <w:r>
        <w:rPr>
          <w:i w:val="0"/>
        </w:rPr>
        <w:t>Lo mismo ocurre con el estado inicial. Que el universo temprano tuviera entropía mucho menor está fuertemente inferido a partir de la flecha termodinámica y de la cosmología observada; no equivale a demostrar K(S₀) pequeño. La simplicidad algorítmica del estado inicial sigue siendo una hipótesis independiente.</w:t>
      </w:r>
    </w:p>
    <w:p>
      <w:pPr>
        <w:pStyle w:val="Heading1"/>
      </w:pPr>
      <w:r>
        <w:rPr>
          <w:i w:val="0"/>
        </w:rPr>
        <w:t>Niveles de solidez</w:t>
      </w:r>
    </w:p>
    <w:tbl>
      <w:tblPr>
        <w:tblStyle w:val="TableGrid"/>
        <w:tblW w:type="auto" w:w="0"/>
        <w:jc w:val="center"/>
        <w:tblLook w:firstColumn="1" w:firstRow="1" w:lastColumn="0" w:lastRow="0" w:noHBand="0" w:noVBand="1" w:val="04A0"/>
      </w:tblPr>
      <w:tblGrid>
        <w:gridCol w:w="5083"/>
        <w:gridCol w:w="5083"/>
      </w:tblGrid>
      <w:tr>
        <w:trPr>
          <w:cantSplit/>
          <w:cantSplit/>
          <w:tblHeader w:val="true"/>
        </w:trPr>
        <w:tc>
          <w:tcPr>
            <w:tcW w:type="dxa" w:w="2376"/>
            <w:vAlign w:val="center"/>
            <w:shd w:fill="E6EBF2"/>
          </w:tcPr>
          <w:p>
            <w:r>
              <w:rPr>
                <w:rFonts w:ascii="Georgia" w:hAnsi="Georgia"/>
                <w:b/>
                <w:sz w:val="18"/>
              </w:rPr>
              <w:t>Nivel</w:t>
            </w:r>
          </w:p>
        </w:tc>
        <w:tc>
          <w:tcPr>
            <w:tcW w:type="dxa" w:w="7272"/>
            <w:vAlign w:val="center"/>
            <w:shd w:fill="E6EBF2"/>
          </w:tcPr>
          <w:p>
            <w:r>
              <w:rPr>
                <w:rFonts w:ascii="Georgia" w:hAnsi="Georgia"/>
                <w:b/>
                <w:sz w:val="18"/>
              </w:rPr>
              <w:t>Contenido</w:t>
            </w:r>
          </w:p>
        </w:tc>
      </w:tr>
      <w:tr>
        <w:trPr>
          <w:cantSplit/>
          <w:cantSplit/>
        </w:trPr>
        <w:tc>
          <w:tcPr>
            <w:tcW w:type="dxa" w:w="2376"/>
            <w:vAlign w:val="center"/>
          </w:tcPr>
          <w:p>
            <w:r>
              <w:rPr>
                <w:rFonts w:ascii="Georgia" w:hAnsi="Georgia"/>
                <w:sz w:val="18"/>
              </w:rPr>
              <w:t>Muy sólido</w:t>
            </w:r>
          </w:p>
        </w:tc>
        <w:tc>
          <w:tcPr>
            <w:tcW w:type="dxa" w:w="7272"/>
            <w:vAlign w:val="center"/>
          </w:tcPr>
          <w:p>
            <w:r>
              <w:rPr>
                <w:rFonts w:ascii="Georgia" w:hAnsi="Georgia"/>
                <w:sz w:val="18"/>
              </w:rPr>
              <w:t>Las regularidades físicas poseen descripciones relativamente cortas con gran capacidad explicativa y predictiva; MDL es una herramienta legítima para contabilizar modelo + residuo.</w:t>
            </w:r>
          </w:p>
        </w:tc>
      </w:tr>
      <w:tr>
        <w:trPr>
          <w:cantSplit/>
          <w:cantSplit/>
        </w:trPr>
        <w:tc>
          <w:tcPr>
            <w:tcW w:type="dxa" w:w="2376"/>
            <w:vAlign w:val="center"/>
          </w:tcPr>
          <w:p>
            <w:r>
              <w:rPr>
                <w:rFonts w:ascii="Georgia" w:hAnsi="Georgia"/>
                <w:sz w:val="18"/>
              </w:rPr>
              <w:t>Sólido con condiciones</w:t>
            </w:r>
          </w:p>
        </w:tc>
        <w:tc>
          <w:tcPr>
            <w:tcW w:type="dxa" w:w="7272"/>
            <w:vAlign w:val="center"/>
          </w:tcPr>
          <w:p>
            <w:r>
              <w:rPr>
                <w:rFonts w:ascii="Georgia" w:hAnsi="Georgia"/>
                <w:sz w:val="18"/>
              </w:rPr>
              <w:t>La cota sobre K(S_t) para dinámicas deterministas computables; convergencia de Solomonoff para fuentes computables bajo sus hipótesis.</w:t>
            </w:r>
          </w:p>
        </w:tc>
      </w:tr>
      <w:tr>
        <w:trPr>
          <w:cantSplit/>
          <w:cantSplit/>
        </w:trPr>
        <w:tc>
          <w:tcPr>
            <w:tcW w:type="dxa" w:w="2376"/>
            <w:vAlign w:val="center"/>
          </w:tcPr>
          <w:p>
            <w:r>
              <w:rPr>
                <w:rFonts w:ascii="Georgia" w:hAnsi="Georgia"/>
                <w:sz w:val="18"/>
              </w:rPr>
              <w:t>Hipótesis empíricas atacables</w:t>
            </w:r>
          </w:p>
        </w:tc>
        <w:tc>
          <w:tcPr>
            <w:tcW w:type="dxa" w:w="7272"/>
            <w:vAlign w:val="center"/>
          </w:tcPr>
          <w:p>
            <w:r>
              <w:rPr>
                <w:rFonts w:ascii="Georgia" w:hAnsi="Georgia"/>
                <w:sz w:val="18"/>
              </w:rPr>
              <w:t>Existencia de una estratigrafía de ρ(d,ε,Uref) robusta a precisión y lenguaje; baja pendiente descriptiva particularmente extrema en física fundamental; reducción futura de parámetros libres.</w:t>
            </w:r>
          </w:p>
        </w:tc>
      </w:tr>
      <w:tr>
        <w:trPr>
          <w:cantSplit/>
          <w:cantSplit/>
        </w:trPr>
        <w:tc>
          <w:tcPr>
            <w:tcW w:type="dxa" w:w="2376"/>
            <w:vAlign w:val="center"/>
          </w:tcPr>
          <w:p>
            <w:r>
              <w:rPr>
                <w:rFonts w:ascii="Georgia" w:hAnsi="Georgia"/>
                <w:sz w:val="18"/>
              </w:rPr>
              <w:t>Hipótesis productivas</w:t>
            </w:r>
          </w:p>
        </w:tc>
        <w:tc>
          <w:tcPr>
            <w:tcW w:type="dxa" w:w="7272"/>
            <w:vAlign w:val="center"/>
          </w:tcPr>
          <w:p>
            <w:r>
              <w:rPr>
                <w:rFonts w:ascii="Georgia" w:hAnsi="Georgia"/>
                <w:sz w:val="18"/>
              </w:rPr>
              <w:t>Profundidad lógica cosmológica; simplicidad algorítmica del estado inicial; partición ley/domicilio/bruto; contingencia física fundamental.</w:t>
            </w:r>
          </w:p>
        </w:tc>
      </w:tr>
      <w:tr>
        <w:trPr>
          <w:cantSplit/>
          <w:cantSplit/>
        </w:trPr>
        <w:tc>
          <w:tcPr>
            <w:tcW w:type="dxa" w:w="2376"/>
            <w:vAlign w:val="center"/>
          </w:tcPr>
          <w:p>
            <w:r>
              <w:rPr>
                <w:rFonts w:ascii="Georgia" w:hAnsi="Georgia"/>
                <w:sz w:val="18"/>
              </w:rPr>
              <w:t>Frontera filosófico-física</w:t>
            </w:r>
          </w:p>
        </w:tc>
        <w:tc>
          <w:tcPr>
            <w:tcW w:type="dxa" w:w="7272"/>
            <w:vAlign w:val="center"/>
          </w:tcPr>
          <w:p>
            <w:r>
              <w:rPr>
                <w:rFonts w:ascii="Georgia" w:hAnsi="Georgia"/>
                <w:sz w:val="18"/>
              </w:rPr>
              <w:t>Si U posee representación canónica; si la comprimibilidad de D dice algo fuerte sobre U; si la simplicidad observada pertenece finalmente al mundo o a nuestra representación.</w:t>
            </w:r>
          </w:p>
        </w:tc>
      </w:tr>
    </w:tbl>
    <w:p/>
    <w:p>
      <w:pPr>
        <w:pStyle w:val="Heading1"/>
      </w:pPr>
      <w:r>
        <w:rPr>
          <w:i w:val="0"/>
        </w:rPr>
        <w:t>Los nueve supuestos, reasignados</w:t>
      </w:r>
    </w:p>
    <w:tbl>
      <w:tblPr>
        <w:tblStyle w:val="TableGrid"/>
        <w:tblW w:type="auto" w:w="0"/>
        <w:jc w:val="center"/>
        <w:tblLook w:firstColumn="1" w:firstRow="1" w:lastColumn="0" w:lastRow="0" w:noHBand="0" w:noVBand="1" w:val="04A0"/>
      </w:tblPr>
      <w:tblGrid>
        <w:gridCol w:w="2541"/>
        <w:gridCol w:w="2541"/>
        <w:gridCol w:w="2541"/>
        <w:gridCol w:w="2541"/>
      </w:tblGrid>
      <w:tr>
        <w:trPr>
          <w:cantSplit/>
          <w:cantSplit/>
          <w:tblHeader w:val="true"/>
        </w:trPr>
        <w:tc>
          <w:tcPr>
            <w:tcW w:type="dxa" w:w="504"/>
            <w:vAlign w:val="center"/>
            <w:shd w:fill="E6EBF2"/>
          </w:tcPr>
          <w:p>
            <w:r>
              <w:rPr>
                <w:rFonts w:ascii="Georgia" w:hAnsi="Georgia"/>
                <w:b/>
                <w:sz w:val="15"/>
              </w:rPr>
              <w:t>#</w:t>
            </w:r>
          </w:p>
        </w:tc>
        <w:tc>
          <w:tcPr>
            <w:tcW w:type="dxa" w:w="3672"/>
            <w:vAlign w:val="center"/>
            <w:shd w:fill="E6EBF2"/>
          </w:tcPr>
          <w:p>
            <w:r>
              <w:rPr>
                <w:rFonts w:ascii="Georgia" w:hAnsi="Georgia"/>
                <w:b/>
                <w:sz w:val="15"/>
              </w:rPr>
              <w:t>Supuesto</w:t>
            </w:r>
          </w:p>
        </w:tc>
        <w:tc>
          <w:tcPr>
            <w:tcW w:type="dxa" w:w="1008"/>
            <w:vAlign w:val="center"/>
            <w:shd w:fill="E6EBF2"/>
          </w:tcPr>
          <w:p>
            <w:r>
              <w:rPr>
                <w:rFonts w:ascii="Georgia" w:hAnsi="Georgia"/>
                <w:b/>
                <w:sz w:val="15"/>
              </w:rPr>
              <w:t>Programa</w:t>
            </w:r>
          </w:p>
        </w:tc>
        <w:tc>
          <w:tcPr>
            <w:tcW w:type="dxa" w:w="4464"/>
            <w:vAlign w:val="center"/>
            <w:shd w:fill="E6EBF2"/>
          </w:tcPr>
          <w:p>
            <w:r>
              <w:rPr>
                <w:rFonts w:ascii="Georgia" w:hAnsi="Georgia"/>
                <w:b/>
                <w:sz w:val="15"/>
              </w:rPr>
              <w:t>Estado</w:t>
            </w:r>
          </w:p>
        </w:tc>
      </w:tr>
      <w:tr>
        <w:trPr>
          <w:cantSplit/>
          <w:cantSplit/>
        </w:trPr>
        <w:tc>
          <w:tcPr>
            <w:tcW w:type="dxa" w:w="504"/>
            <w:vAlign w:val="center"/>
          </w:tcPr>
          <w:p>
            <w:r>
              <w:rPr>
                <w:rFonts w:ascii="Georgia" w:hAnsi="Georgia"/>
                <w:sz w:val="15"/>
              </w:rPr>
              <w:t>1</w:t>
            </w:r>
          </w:p>
        </w:tc>
        <w:tc>
          <w:tcPr>
            <w:tcW w:type="dxa" w:w="3672"/>
            <w:vAlign w:val="center"/>
          </w:tcPr>
          <w:p>
            <w:r>
              <w:rPr>
                <w:rFonts w:ascii="Georgia" w:hAnsi="Georgia"/>
                <w:sz w:val="15"/>
              </w:rPr>
              <w:t>La comprimibilidad observada pertenece al mundo y no sólo al recorte</w:t>
            </w:r>
          </w:p>
        </w:tc>
        <w:tc>
          <w:tcPr>
            <w:tcW w:type="dxa" w:w="1008"/>
            <w:vAlign w:val="center"/>
          </w:tcPr>
          <w:p>
            <w:r>
              <w:rPr>
                <w:rFonts w:ascii="Georgia" w:hAnsi="Georgia"/>
                <w:sz w:val="15"/>
              </w:rPr>
              <w:t>I</w:t>
            </w:r>
          </w:p>
        </w:tc>
        <w:tc>
          <w:tcPr>
            <w:tcW w:type="dxa" w:w="4464"/>
            <w:vAlign w:val="center"/>
          </w:tcPr>
          <w:p>
            <w:r>
              <w:rPr>
                <w:rFonts w:ascii="Georgia" w:hAnsi="Georgia"/>
                <w:sz w:val="15"/>
              </w:rPr>
              <w:t>Operacionalizado como estratigrafía ρ y pendiente ηε, con d, Q(d,ε) y Uref pre-registrados.</w:t>
            </w:r>
          </w:p>
        </w:tc>
      </w:tr>
      <w:tr>
        <w:trPr>
          <w:cantSplit/>
          <w:cantSplit/>
        </w:trPr>
        <w:tc>
          <w:tcPr>
            <w:tcW w:type="dxa" w:w="504"/>
            <w:vAlign w:val="center"/>
          </w:tcPr>
          <w:p>
            <w:r>
              <w:rPr>
                <w:rFonts w:ascii="Georgia" w:hAnsi="Georgia"/>
                <w:sz w:val="15"/>
              </w:rPr>
              <w:t>2</w:t>
            </w:r>
          </w:p>
        </w:tc>
        <w:tc>
          <w:tcPr>
            <w:tcW w:type="dxa" w:w="3672"/>
            <w:vAlign w:val="center"/>
          </w:tcPr>
          <w:p>
            <w:r>
              <w:rPr>
                <w:rFonts w:ascii="Georgia" w:hAnsi="Georgia"/>
                <w:sz w:val="15"/>
              </w:rPr>
              <w:t>Ley / estado / parámetro son categorías fundamentales</w:t>
            </w:r>
          </w:p>
        </w:tc>
        <w:tc>
          <w:tcPr>
            <w:tcW w:type="dxa" w:w="1008"/>
            <w:vAlign w:val="center"/>
          </w:tcPr>
          <w:p>
            <w:r>
              <w:rPr>
                <w:rFonts w:ascii="Georgia" w:hAnsi="Georgia"/>
                <w:sz w:val="15"/>
              </w:rPr>
              <w:t>II</w:t>
            </w:r>
          </w:p>
        </w:tc>
        <w:tc>
          <w:tcPr>
            <w:tcW w:type="dxa" w:w="4464"/>
            <w:vAlign w:val="center"/>
          </w:tcPr>
          <w:p>
            <w:r>
              <w:rPr>
                <w:rFonts w:ascii="Georgia" w:hAnsi="Georgia"/>
                <w:sz w:val="15"/>
              </w:rPr>
              <w:t>Abierto; la migración audita nuestras categorías actuales.</w:t>
            </w:r>
          </w:p>
        </w:tc>
      </w:tr>
      <w:tr>
        <w:trPr>
          <w:cantSplit/>
          <w:cantSplit/>
        </w:trPr>
        <w:tc>
          <w:tcPr>
            <w:tcW w:type="dxa" w:w="504"/>
            <w:vAlign w:val="center"/>
          </w:tcPr>
          <w:p>
            <w:r>
              <w:rPr>
                <w:rFonts w:ascii="Georgia" w:hAnsi="Georgia"/>
                <w:sz w:val="15"/>
              </w:rPr>
              <w:t>3A</w:t>
            </w:r>
          </w:p>
        </w:tc>
        <w:tc>
          <w:tcPr>
            <w:tcW w:type="dxa" w:w="3672"/>
            <w:vAlign w:val="center"/>
          </w:tcPr>
          <w:p>
            <w:r>
              <w:rPr>
                <w:rFonts w:ascii="Georgia" w:hAnsi="Georgia"/>
                <w:sz w:val="15"/>
              </w:rPr>
              <w:t>El residuo admite reducción teórica</w:t>
            </w:r>
          </w:p>
        </w:tc>
        <w:tc>
          <w:tcPr>
            <w:tcW w:type="dxa" w:w="1008"/>
            <w:vAlign w:val="center"/>
          </w:tcPr>
          <w:p>
            <w:r>
              <w:rPr>
                <w:rFonts w:ascii="Georgia" w:hAnsi="Georgia"/>
                <w:sz w:val="15"/>
              </w:rPr>
              <w:t>II</w:t>
            </w:r>
          </w:p>
        </w:tc>
        <w:tc>
          <w:tcPr>
            <w:tcW w:type="dxa" w:w="4464"/>
            <w:vAlign w:val="center"/>
          </w:tcPr>
          <w:p>
            <w:r>
              <w:rPr>
                <w:rFonts w:ascii="Georgia" w:hAnsi="Georgia"/>
                <w:sz w:val="15"/>
              </w:rPr>
              <w:t>Activo; relaciones nuevas deben ganar después de contabilidad MDL.</w:t>
            </w:r>
          </w:p>
        </w:tc>
      </w:tr>
      <w:tr>
        <w:trPr>
          <w:cantSplit/>
          <w:cantSplit/>
        </w:trPr>
        <w:tc>
          <w:tcPr>
            <w:tcW w:type="dxa" w:w="504"/>
            <w:vAlign w:val="center"/>
          </w:tcPr>
          <w:p>
            <w:r>
              <w:rPr>
                <w:rFonts w:ascii="Georgia" w:hAnsi="Georgia"/>
                <w:sz w:val="15"/>
              </w:rPr>
              <w:t>3B</w:t>
            </w:r>
          </w:p>
        </w:tc>
        <w:tc>
          <w:tcPr>
            <w:tcW w:type="dxa" w:w="3672"/>
            <w:vAlign w:val="center"/>
          </w:tcPr>
          <w:p>
            <w:r>
              <w:rPr>
                <w:rFonts w:ascii="Georgia" w:hAnsi="Georgia"/>
                <w:sz w:val="15"/>
              </w:rPr>
              <w:t>Los valores residuales son algorítmicamente incompresibles</w:t>
            </w:r>
          </w:p>
        </w:tc>
        <w:tc>
          <w:tcPr>
            <w:tcW w:type="dxa" w:w="1008"/>
            <w:vAlign w:val="center"/>
          </w:tcPr>
          <w:p>
            <w:r>
              <w:rPr>
                <w:rFonts w:ascii="Georgia" w:hAnsi="Georgia"/>
                <w:sz w:val="15"/>
              </w:rPr>
              <w:t>II</w:t>
            </w:r>
          </w:p>
        </w:tc>
        <w:tc>
          <w:tcPr>
            <w:tcW w:type="dxa" w:w="4464"/>
            <w:vAlign w:val="center"/>
          </w:tcPr>
          <w:p>
            <w:r>
              <w:rPr>
                <w:rFonts w:ascii="Georgia" w:hAnsi="Georgia"/>
                <w:sz w:val="15"/>
              </w:rPr>
              <w:t>Casi inatacable directamente.</w:t>
            </w:r>
          </w:p>
        </w:tc>
      </w:tr>
      <w:tr>
        <w:trPr>
          <w:cantSplit/>
          <w:cantSplit/>
        </w:trPr>
        <w:tc>
          <w:tcPr>
            <w:tcW w:type="dxa" w:w="504"/>
            <w:vAlign w:val="center"/>
          </w:tcPr>
          <w:p>
            <w:r>
              <w:rPr>
                <w:rFonts w:ascii="Georgia" w:hAnsi="Georgia"/>
                <w:sz w:val="15"/>
              </w:rPr>
              <w:t>4</w:t>
            </w:r>
          </w:p>
        </w:tc>
        <w:tc>
          <w:tcPr>
            <w:tcW w:type="dxa" w:w="3672"/>
            <w:vAlign w:val="center"/>
          </w:tcPr>
          <w:p>
            <w:r>
              <w:rPr>
                <w:rFonts w:ascii="Georgia" w:hAnsi="Georgia"/>
                <w:sz w:val="15"/>
              </w:rPr>
              <w:t>Baja entropía inicial implica simplicidad algorítmica</w:t>
            </w:r>
          </w:p>
        </w:tc>
        <w:tc>
          <w:tcPr>
            <w:tcW w:type="dxa" w:w="1008"/>
            <w:vAlign w:val="center"/>
          </w:tcPr>
          <w:p>
            <w:r>
              <w:rPr>
                <w:rFonts w:ascii="Georgia" w:hAnsi="Georgia"/>
                <w:sz w:val="15"/>
              </w:rPr>
              <w:t>II</w:t>
            </w:r>
          </w:p>
        </w:tc>
        <w:tc>
          <w:tcPr>
            <w:tcW w:type="dxa" w:w="4464"/>
            <w:vAlign w:val="center"/>
          </w:tcPr>
          <w:p>
            <w:r>
              <w:rPr>
                <w:rFonts w:ascii="Georgia" w:hAnsi="Georgia"/>
                <w:sz w:val="15"/>
              </w:rPr>
              <w:t>No establecido; problema formal y físico.</w:t>
            </w:r>
          </w:p>
        </w:tc>
      </w:tr>
      <w:tr>
        <w:trPr>
          <w:cantSplit/>
          <w:cantSplit/>
        </w:trPr>
        <w:tc>
          <w:tcPr>
            <w:tcW w:type="dxa" w:w="504"/>
            <w:vAlign w:val="center"/>
          </w:tcPr>
          <w:p>
            <w:r>
              <w:rPr>
                <w:rFonts w:ascii="Georgia" w:hAnsi="Georgia"/>
                <w:sz w:val="15"/>
              </w:rPr>
              <w:t>5</w:t>
            </w:r>
          </w:p>
        </w:tc>
        <w:tc>
          <w:tcPr>
            <w:tcW w:type="dxa" w:w="3672"/>
            <w:vAlign w:val="center"/>
          </w:tcPr>
          <w:p>
            <w:r>
              <w:rPr>
                <w:rFonts w:ascii="Georgia" w:hAnsi="Georgia"/>
                <w:sz w:val="15"/>
              </w:rPr>
              <w:t>La evolución universal es enteramente unitaria</w:t>
            </w:r>
          </w:p>
        </w:tc>
        <w:tc>
          <w:tcPr>
            <w:tcW w:type="dxa" w:w="1008"/>
            <w:vAlign w:val="center"/>
          </w:tcPr>
          <w:p>
            <w:r>
              <w:rPr>
                <w:rFonts w:ascii="Georgia" w:hAnsi="Georgia"/>
                <w:sz w:val="15"/>
              </w:rPr>
              <w:t>II</w:t>
            </w:r>
          </w:p>
        </w:tc>
        <w:tc>
          <w:tcPr>
            <w:tcW w:type="dxa" w:w="4464"/>
            <w:vAlign w:val="center"/>
          </w:tcPr>
          <w:p>
            <w:r>
              <w:rPr>
                <w:rFonts w:ascii="Georgia" w:hAnsi="Georgia"/>
                <w:sz w:val="15"/>
              </w:rPr>
              <w:t>Experimentalmente atacable; si R_contingencia→0, los resultados se enrutan a R_estado o R_indexical según la ontología.</w:t>
            </w:r>
          </w:p>
        </w:tc>
      </w:tr>
      <w:tr>
        <w:trPr>
          <w:cantSplit/>
          <w:cantSplit/>
        </w:trPr>
        <w:tc>
          <w:tcPr>
            <w:tcW w:type="dxa" w:w="504"/>
            <w:vAlign w:val="center"/>
          </w:tcPr>
          <w:p>
            <w:r>
              <w:rPr>
                <w:rFonts w:ascii="Georgia" w:hAnsi="Georgia"/>
                <w:sz w:val="15"/>
              </w:rPr>
              <w:t>6</w:t>
            </w:r>
          </w:p>
        </w:tc>
        <w:tc>
          <w:tcPr>
            <w:tcW w:type="dxa" w:w="3672"/>
            <w:vAlign w:val="center"/>
          </w:tcPr>
          <w:p>
            <w:r>
              <w:rPr>
                <w:rFonts w:ascii="Georgia" w:hAnsi="Georgia"/>
                <w:sz w:val="15"/>
              </w:rPr>
              <w:t>La compresión no es sólo ajuste del lenguaje</w:t>
            </w:r>
          </w:p>
        </w:tc>
        <w:tc>
          <w:tcPr>
            <w:tcW w:type="dxa" w:w="1008"/>
            <w:vAlign w:val="center"/>
          </w:tcPr>
          <w:p>
            <w:r>
              <w:rPr>
                <w:rFonts w:ascii="Georgia" w:hAnsi="Georgia"/>
                <w:sz w:val="15"/>
              </w:rPr>
              <w:t>I</w:t>
            </w:r>
          </w:p>
        </w:tc>
        <w:tc>
          <w:tcPr>
            <w:tcW w:type="dxa" w:w="4464"/>
            <w:vAlign w:val="center"/>
          </w:tcPr>
          <w:p>
            <w:r>
              <w:rPr>
                <w:rFonts w:ascii="Georgia" w:hAnsi="Georgia"/>
                <w:sz w:val="15"/>
              </w:rPr>
              <w:t>Atacable mediante generalización fuera de muestra bajo cuantización y código fijados antes de D_test.</w:t>
            </w:r>
          </w:p>
        </w:tc>
      </w:tr>
      <w:tr>
        <w:trPr>
          <w:cantSplit/>
          <w:cantSplit/>
        </w:trPr>
        <w:tc>
          <w:tcPr>
            <w:tcW w:type="dxa" w:w="504"/>
            <w:vAlign w:val="center"/>
          </w:tcPr>
          <w:p>
            <w:r>
              <w:rPr>
                <w:rFonts w:ascii="Georgia" w:hAnsi="Georgia"/>
                <w:sz w:val="15"/>
              </w:rPr>
              <w:t>7</w:t>
            </w:r>
          </w:p>
        </w:tc>
        <w:tc>
          <w:tcPr>
            <w:tcW w:type="dxa" w:w="3672"/>
            <w:vAlign w:val="center"/>
          </w:tcPr>
          <w:p>
            <w:r>
              <w:rPr>
                <w:rFonts w:ascii="Georgia" w:hAnsi="Georgia"/>
                <w:sz w:val="15"/>
              </w:rPr>
              <w:t>La longitud descriptiva tiene significado físico suficiente</w:t>
            </w:r>
          </w:p>
        </w:tc>
        <w:tc>
          <w:tcPr>
            <w:tcW w:type="dxa" w:w="1008"/>
            <w:vAlign w:val="center"/>
          </w:tcPr>
          <w:p>
            <w:r>
              <w:rPr>
                <w:rFonts w:ascii="Georgia" w:hAnsi="Georgia"/>
                <w:sz w:val="15"/>
              </w:rPr>
              <w:t>I y II</w:t>
            </w:r>
          </w:p>
        </w:tc>
        <w:tc>
          <w:tcPr>
            <w:tcW w:type="dxa" w:w="4464"/>
            <w:vAlign w:val="center"/>
          </w:tcPr>
          <w:p>
            <w:r>
              <w:rPr>
                <w:rFonts w:ascii="Georgia" w:hAnsi="Georgia"/>
                <w:sz w:val="15"/>
              </w:rPr>
              <w:t>Dependencia de máquina controlada por Uref pre-registrada, bibliotecas contabilizadas y robustez entre pilas de referencia.</w:t>
            </w:r>
          </w:p>
        </w:tc>
      </w:tr>
      <w:tr>
        <w:trPr>
          <w:cantSplit/>
          <w:cantSplit/>
        </w:trPr>
        <w:tc>
          <w:tcPr>
            <w:tcW w:type="dxa" w:w="504"/>
            <w:vAlign w:val="center"/>
          </w:tcPr>
          <w:p>
            <w:r>
              <w:rPr>
                <w:rFonts w:ascii="Georgia" w:hAnsi="Georgia"/>
                <w:sz w:val="15"/>
              </w:rPr>
              <w:t>8</w:t>
            </w:r>
          </w:p>
        </w:tc>
        <w:tc>
          <w:tcPr>
            <w:tcW w:type="dxa" w:w="3672"/>
            <w:vAlign w:val="center"/>
          </w:tcPr>
          <w:p>
            <w:r>
              <w:rPr>
                <w:rFonts w:ascii="Georgia" w:hAnsi="Georgia"/>
                <w:sz w:val="15"/>
              </w:rPr>
              <w:t>Comprimir los datos implica comprimir la realidad subyacente</w:t>
            </w:r>
          </w:p>
        </w:tc>
        <w:tc>
          <w:tcPr>
            <w:tcW w:type="dxa" w:w="1008"/>
            <w:vAlign w:val="center"/>
          </w:tcPr>
          <w:p>
            <w:r>
              <w:rPr>
                <w:rFonts w:ascii="Georgia" w:hAnsi="Georgia"/>
                <w:sz w:val="15"/>
              </w:rPr>
              <w:t>II</w:t>
            </w:r>
          </w:p>
        </w:tc>
        <w:tc>
          <w:tcPr>
            <w:tcW w:type="dxa" w:w="4464"/>
            <w:vAlign w:val="center"/>
          </w:tcPr>
          <w:p>
            <w:r>
              <w:rPr>
                <w:rFonts w:ascii="Georgia" w:hAnsi="Georgia"/>
                <w:sz w:val="15"/>
              </w:rPr>
              <w:t>No establecido; límite de inferencia.</w:t>
            </w:r>
          </w:p>
        </w:tc>
      </w:tr>
      <w:tr>
        <w:trPr>
          <w:cantSplit/>
          <w:cantSplit/>
        </w:trPr>
        <w:tc>
          <w:tcPr>
            <w:tcW w:type="dxa" w:w="504"/>
            <w:vAlign w:val="center"/>
          </w:tcPr>
          <w:p>
            <w:r>
              <w:rPr>
                <w:rFonts w:ascii="Georgia" w:hAnsi="Georgia"/>
                <w:sz w:val="15"/>
              </w:rPr>
              <w:t>9</w:t>
            </w:r>
          </w:p>
        </w:tc>
        <w:tc>
          <w:tcPr>
            <w:tcW w:type="dxa" w:w="3672"/>
            <w:vAlign w:val="center"/>
          </w:tcPr>
          <w:p>
            <w:r>
              <w:rPr>
                <w:rFonts w:ascii="Georgia" w:hAnsi="Georgia"/>
                <w:sz w:val="15"/>
              </w:rPr>
              <w:t>El estado completo U es un objeto matemático suficientemente definible</w:t>
            </w:r>
          </w:p>
        </w:tc>
        <w:tc>
          <w:tcPr>
            <w:tcW w:type="dxa" w:w="1008"/>
            <w:vAlign w:val="center"/>
          </w:tcPr>
          <w:p>
            <w:r>
              <w:rPr>
                <w:rFonts w:ascii="Georgia" w:hAnsi="Georgia"/>
                <w:sz w:val="15"/>
              </w:rPr>
              <w:t>II</w:t>
            </w:r>
          </w:p>
        </w:tc>
        <w:tc>
          <w:tcPr>
            <w:tcW w:type="dxa" w:w="4464"/>
            <w:vAlign w:val="center"/>
          </w:tcPr>
          <w:p>
            <w:r>
              <w:rPr>
                <w:rFonts w:ascii="Georgia" w:hAnsi="Georgia"/>
                <w:sz w:val="15"/>
              </w:rPr>
              <w:t>Frontera ontológica.</w:t>
            </w:r>
          </w:p>
        </w:tc>
      </w:tr>
    </w:tbl>
    <w:p/>
    <w:p>
      <w:pPr>
        <w:pStyle w:val="Heading1"/>
      </w:pPr>
      <w:r>
        <w:rPr>
          <w:i w:val="0"/>
        </w:rPr>
        <w:t>El experimento del Programa I</w:t>
      </w:r>
    </w:p>
    <w:p>
      <w:pPr/>
      <w:r>
        <w:rPr>
          <w:i w:val="0"/>
        </w:rPr>
        <w:t>El Programa I ya sugiere un experimento computacional concreto, pero v5.2 exige un protocolo cerrado antes de declarar que la estratigrafía es medible.</w:t>
      </w:r>
    </w:p>
    <w:p>
      <w:pPr/>
      <w:r>
        <w:rPr>
          <w:i w:val="0"/>
        </w:rPr>
        <w:t>Para cada dominio se debe pre-registrar:</w:t>
      </w:r>
    </w:p>
    <w:p>
      <w:pPr>
        <w:ind w:left="216" w:hanging="72"/>
      </w:pPr>
      <w:r>
        <w:t>1.  representación de los datos;</w:t>
      </w:r>
    </w:p>
    <w:p>
      <w:pPr>
        <w:ind w:left="216" w:hanging="72"/>
      </w:pPr>
      <w:r>
        <w:t>2.  función de distorsión d;</w:t>
      </w:r>
    </w:p>
    <w:p>
      <w:pPr>
        <w:ind w:left="216" w:hanging="72"/>
      </w:pPr>
      <w:r>
        <w:t>3.  cuantizador Q(d,ε) que transforma la tolerancia en símbolos discretos;</w:t>
      </w:r>
    </w:p>
    <w:p>
      <w:pPr>
        <w:ind w:left="216" w:hanging="72"/>
      </w:pPr>
      <w:r>
        <w:t>4.  resolución ε;</w:t>
      </w:r>
    </w:p>
    <w:p>
      <w:pPr>
        <w:ind w:left="216" w:hanging="72"/>
      </w:pPr>
      <w:r>
        <w:t>5.  regla de precisión para parámetros continuos de T;</w:t>
      </w:r>
    </w:p>
    <w:p>
      <w:pPr>
        <w:ind w:left="216" w:hanging="72"/>
      </w:pPr>
      <w:r>
        <w:t>6.  tamaño y diversidad n;</w:t>
      </w:r>
    </w:p>
    <w:p>
      <w:pPr>
        <w:ind w:left="216" w:hanging="72"/>
      </w:pPr>
      <w:r>
        <w:t>7.  pila Uref y política de bibliotecas compartidas;</w:t>
      </w:r>
    </w:p>
    <w:p>
      <w:pPr>
        <w:ind w:left="216" w:hanging="72"/>
      </w:pPr>
      <w:r>
        <w:t>8.  código literal o modelo nulo;</w:t>
      </w:r>
    </w:p>
    <w:p>
      <w:pPr>
        <w:ind w:left="216" w:hanging="72"/>
      </w:pPr>
      <w:r>
        <w:t>9.  familia de modelos o compresores;</w:t>
      </w:r>
    </w:p>
    <w:p>
      <w:pPr>
        <w:ind w:left="216" w:hanging="72"/>
      </w:pPr>
      <w:r>
        <w:t>10.  separación D_train/D_test y momento de congelamiento del modelo.</w:t>
      </w:r>
    </w:p>
    <w:p>
      <w:pPr/>
      <w:r>
        <w:rPr>
          <w:i w:val="0"/>
        </w:rPr>
        <w:t>Después se estiman, bajo el mismo protocolo:</w:t>
      </w:r>
    </w:p>
    <w:p>
      <w:pPr>
        <w:spacing w:before="60" w:after="140"/>
        <w:jc w:val="center"/>
      </w:pPr>
      <w:r>
        <w:rPr>
          <w:rFonts w:ascii="Cambria Math" w:hAnsi="Cambria Math"/>
          <w:sz w:val="22"/>
        </w:rPr>
        <w:t>C(d,Uref; Dₙ,ε)</w:t>
      </w:r>
    </w:p>
    <w:p>
      <w:pPr>
        <w:spacing w:before="60" w:after="140"/>
        <w:jc w:val="center"/>
      </w:pPr>
      <w:r>
        <w:rPr>
          <w:rFonts w:ascii="Cambria Math" w:hAnsi="Cambria Math"/>
          <w:sz w:val="22"/>
        </w:rPr>
        <w:t>ρ(d,ε,Uref; Dₙ) = C(d,Uref; Dₙ,ε) / L_Uref(Dₙ,ε)</w:t>
      </w:r>
    </w:p>
    <w:p>
      <w:pPr>
        <w:spacing w:before="60" w:after="140"/>
        <w:jc w:val="center"/>
      </w:pPr>
      <w:r>
        <w:rPr>
          <w:rFonts w:ascii="Cambria Math" w:hAnsi="Cambria Math"/>
          <w:sz w:val="22"/>
        </w:rPr>
        <w:t>ηε(n) = sC(n,ε) / sD(n,ε)</w:t>
      </w:r>
    </w:p>
    <w:p>
      <w:pPr/>
      <w:r>
        <w:rPr>
          <w:i w:val="0"/>
        </w:rPr>
        <w:t>El barrido se repite al aumentar n, diversidad y 1/ε. El objeto empírico no es un único número: es una superficie o familia de curvas de escalamiento descriptivo junto con sus pendientes de resolución.</w:t>
      </w:r>
    </w:p>
    <w:p>
      <w:pPr>
        <w:pStyle w:val="Quote"/>
      </w:pPr>
      <w:r>
        <w:rPr>
          <w:i w:val="0"/>
        </w:rPr>
        <w:t>¿qué dominios permiten que la cantidad, diversidad y precisión de los datos crezcan mucho más rápido que la longitud de su mejor descripción generalizable, sin pagar esos nuevos bits en parámetros, bibliotecas o cuantización ad hoc?</w:t>
      </w:r>
    </w:p>
    <w:p>
      <w:pPr/>
      <w:r>
        <w:rPr>
          <w:i w:val="0"/>
        </w:rPr>
        <w:t>Si la física fundamental ocupa un régimen excepcionalmente bajo y esa ventaja sobrevive al cambio de Uref, al control de ηε y al test fuera de muestra, habrá evidencia cuantitativa de una estratigrafía real de la comprimibilidad.</w:t>
      </w:r>
    </w:p>
    <w:p>
      <w:pPr>
        <w:pStyle w:val="Heading1"/>
      </w:pPr>
      <w:r>
        <w:rPr>
          <w:i w:val="0"/>
        </w:rPr>
        <w:t>Lo que queda de la intriga original</w:t>
      </w:r>
    </w:p>
    <w:p>
      <w:pPr/>
      <w:r>
        <w:rPr>
          <w:i w:val="0"/>
        </w:rPr>
        <w:t>El programa comenzó preguntando:</w:t>
      </w:r>
    </w:p>
    <w:p>
      <w:pPr>
        <w:pStyle w:val="Quote"/>
      </w:pPr>
      <w:r>
        <w:rPr>
          <w:i w:val="0"/>
        </w:rPr>
        <w:t>¿Por qué el universo se deja comprimir?</w:t>
      </w:r>
    </w:p>
    <w:p>
      <w:pPr/>
      <w:r>
        <w:rPr>
          <w:i w:val="0"/>
        </w:rPr>
        <w:t>Después de sucesivas auditorías, esa pregunta resultó demasiado grande.</w:t>
      </w:r>
    </w:p>
    <w:p>
      <w:pPr/>
      <w:r>
        <w:rPr>
          <w:i w:val="0"/>
        </w:rPr>
        <w:t>La versión empírica que sobrevivió es:</w:t>
      </w:r>
    </w:p>
    <w:p>
      <w:pPr>
        <w:pStyle w:val="Quote"/>
      </w:pPr>
      <w:r>
        <w:rPr>
          <w:i w:val="0"/>
        </w:rPr>
        <w:t>¿Por qué el costo descriptivo de las regularidades físicas crece tan lentamente frente a la cantidad, diversidad y precisión de las observaciones que continúan explicando, incluso después de pagar la precisión de los parámetros, fijar el lenguaje y congelar la cuantización?</w:t>
      </w:r>
    </w:p>
    <w:p>
      <w:pPr/>
      <w:r>
        <w:rPr>
          <w:i w:val="0"/>
        </w:rPr>
        <w:t>Y detrás permanece una pregunta más fuerte:</w:t>
      </w:r>
    </w:p>
    <w:p>
      <w:pPr>
        <w:pStyle w:val="Quote"/>
      </w:pPr>
      <w:r>
        <w:rPr>
          <w:i w:val="0"/>
        </w:rPr>
        <w:t>¿esa economía descriptiva pertenece sólo a las regularidades que logramos observar, o alcanza también a la historia concreta y finalmente al universo mismo?</w:t>
      </w:r>
    </w:p>
    <w:p>
      <w:pPr/>
      <w:r>
        <w:rPr>
          <w:i w:val="0"/>
        </w:rPr>
        <w:t>El Programa I intenta medir la primera. El Programa II investiga hasta dónde puede extenderse la segunda. No hace falta que el universo completo sea comprimible para que la primera intriga exista.</w:t>
      </w:r>
    </w:p>
    <w:p>
      <w:pPr/>
      <w:r>
        <w:rPr>
          <w:i w:val="0"/>
        </w:rPr>
        <w:t>Y si la superficie empírica muestra que ciertas regularidades continúan absorbiendo cantidades crecientes de información observacional sin pagar un costo descriptivo comparable —y esa ventaja sobrevive a los controles de resolución, lenguaje y generalización—, entonces el hecho que originó todo el programa permanece:</w:t>
      </w:r>
    </w:p>
    <w:p>
      <w:pPr>
        <w:pStyle w:val="Quote"/>
      </w:pPr>
      <w:r>
        <w:rPr>
          <w:i w:val="0"/>
        </w:rPr>
        <w:t>hay muchísimo más mundo explicado que información utilizada para formular las reglas que lo explican.</w:t>
      </w:r>
    </w:p>
    <w:p>
      <w:pPr/>
      <w:r>
        <w:rPr>
          <w:i w:val="0"/>
        </w:rPr>
        <w:t>Historia: v1 — seis supuestos → v2 — costo del lenguaje → v3 — nueve supuestos, Bennett y partición → v4 — auditoría externa y residuo en varias fuentes → v4.1 — taxonomía por niveles → v4.2 — MDL y función objetivo → v4.3 — término de datos y generalización fuera de muestra → v5 — separación en Programa I / Programa II y resolución ε → v5.1 — función de distorsión y curva de escalamiento → v5.2 — novena auditoría: cuantización explícita d→Q(d,ε)→−log₂P; Uref pre-registrado; contabilidad precision-aware y pendiente ηε contra el artefacto ε→0; modelo nulo obligatorio; resultados cuánticos enrutados entre R_contingencia, R_estado y R_indexical según la ontología.</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La intriga — versión 5.2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F64A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64A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F64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635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60"/>
      <w:ind w:left="504" w:right="360"/>
    </w:pPr>
    <w:rPr>
      <w:rFonts w:ascii="Georgia" w:hAnsi="Georgia"/>
      <w:b/>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intriga, en dos programas — Versión 5.2</dc:title>
  <dc:subject>Programa de investigación sobre compresibilidad descriptiva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