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Protocolo experimental pre-registrado — Programa I</w:t>
      </w:r>
    </w:p>
    <w:p>
      <w:pPr>
        <w:spacing w:after="80" w:line="252" w:lineRule="auto"/>
        <w:jc w:val="center"/>
      </w:pPr>
      <w:r>
        <w:rPr>
          <w:b/>
          <w:sz w:val="28"/>
        </w:rPr>
        <w:t>Medición de la estratigrafía de la comprimibilidad</w:t>
      </w:r>
    </w:p>
    <w:p>
      <w:pPr>
        <w:spacing w:after="80" w:line="252" w:lineRule="auto"/>
        <w:jc w:val="center"/>
      </w:pPr>
      <w:r>
        <w:rPr>
          <w:i/>
        </w:rPr>
        <w:t>Versión 1.0</w:t>
      </w:r>
    </w:p>
    <w:p>
      <w:pPr>
        <w:spacing w:before="40" w:after="80" w:line="252" w:lineRule="auto"/>
        <w:pBdr>
          <w:bottom w:val="single" w:sz="8" w:space="1" w:color="888888"/>
        </w:pBdr>
      </w:pPr>
    </w:p>
    <w:p>
      <w:pPr>
        <w:pStyle w:val="Heading1"/>
        <w:keepNext/>
        <w:spacing w:before="160" w:after="80"/>
      </w:pPr>
      <w:r>
        <w:t>1. Objetivo</w:t>
      </w:r>
    </w:p>
    <w:p>
      <w:pPr>
        <w:spacing w:after="80" w:line="252" w:lineRule="auto"/>
      </w:pPr>
      <w:r>
        <w:t>Este protocolo operacionaliza el Programa I — Compresibilidad de las regularidades.</w:t>
      </w:r>
    </w:p>
    <w:p>
      <w:pPr>
        <w:spacing w:after="80" w:line="252" w:lineRule="auto"/>
      </w:pPr>
      <w:r>
        <w:t>El objetivo no es demostrar que “el universo es comprimible”, sino medir cuánto del contenido informativo de conjuntos de observaciones puede trasladarse desde los datos hacia una descripción generalizable.</w:t>
      </w:r>
    </w:p>
    <w:p>
      <w:pPr>
        <w:pStyle w:val="QuoteBox"/>
      </w:pPr>
      <w:r>
        <w:t>Pregunta experimental: ¿Cómo escala el costo descriptivo óptimo de un dominio cuando aumentan la cantidad, diversidad y resolución de sus observaciones?</w:t>
      </w:r>
    </w:p>
    <w:p>
      <w:pPr>
        <w:spacing w:after="80" w:line="252" w:lineRule="auto"/>
      </w:pPr>
      <w:r>
        <w:t>La hipótesis principal es que distintos dominios y distintos niveles descriptivos dentro de un mismo dominio pueden ocupar regiones diferentes de una superficie de comprimibilidad.</w:t>
      </w:r>
    </w:p>
    <w:p>
      <w:pPr>
        <w:pStyle w:val="Formula"/>
        <w:jc w:val="center"/>
      </w:pPr>
      <w:r>
        <w:t>(dominio, nivel descriptivo, n, ε)</w:t>
      </w:r>
    </w:p>
    <w:p>
      <w:pPr>
        <w:pStyle w:val="ListBullet"/>
        <w:spacing w:after="40"/>
      </w:pPr>
      <w:r>
        <w:t>n controla cantidad y diversidad de datos.</w:t>
      </w:r>
    </w:p>
    <w:p>
      <w:pPr>
        <w:pStyle w:val="ListBullet"/>
        <w:spacing w:after="40"/>
      </w:pPr>
      <w:r>
        <w:t>ε controla la resolución exigida.</w:t>
      </w:r>
    </w:p>
    <w:p>
      <w:pPr>
        <w:pStyle w:val="ListBullet"/>
        <w:spacing w:after="40"/>
      </w:pPr>
      <w:r>
        <w:t>d define qué errores son físicamente relevantes.</w:t>
      </w:r>
    </w:p>
    <w:p>
      <w:pPr>
        <w:pStyle w:val="ListBullet"/>
        <w:spacing w:after="40"/>
      </w:pPr>
      <w:r>
        <w:t>U_ref fija el sistema de codificación.</w:t>
      </w:r>
    </w:p>
    <w:p>
      <w:pPr>
        <w:pStyle w:val="Heading1"/>
        <w:keepNext/>
        <w:spacing w:before="160" w:after="80"/>
      </w:pPr>
      <w:r>
        <w:t>2. Hipótesis</w:t>
      </w:r>
    </w:p>
    <w:p>
      <w:pPr>
        <w:spacing w:after="80" w:line="252" w:lineRule="auto"/>
      </w:pPr>
      <w:r>
        <w:rPr>
          <w:b/>
        </w:rPr>
        <w:t>H1 — Compresión estructural</w:t>
      </w:r>
      <w:r>
        <w:t>. Existen dominios o niveles descriptivos para los cuales C(d,U_ref; D_n, ε) ≪ L_Uref(D_n,ε) de manera persistente cuando aumentan n y 1/ε.</w:t>
      </w:r>
    </w:p>
    <w:p>
      <w:pPr>
        <w:spacing w:after="80" w:line="252" w:lineRule="auto"/>
      </w:pPr>
      <w:r>
        <w:rPr>
          <w:b/>
        </w:rPr>
        <w:t>H2 — Generalización</w:t>
      </w:r>
      <w:r>
        <w:t>. La compresión obtenida no es únicamente retrospectiva. Los modelos seleccionados sobre datos de entrenamiento conservarán ventaja descriptiva sobre observaciones no utilizadas durante su construcción.</w:t>
      </w:r>
    </w:p>
    <w:p>
      <w:pPr>
        <w:spacing w:after="80" w:line="252" w:lineRule="auto"/>
      </w:pPr>
      <w:r>
        <w:rPr>
          <w:b/>
        </w:rPr>
        <w:t>H3 — Robustez</w:t>
      </w:r>
      <w:r>
        <w:t>. Las diferencias observadas sobrevivirán razonablemente a cambios preespecificados de U_ref, distintas resoluciones, variaciones admisibles de la métrica de distorsión, cambios en el tamaño del corpus y separación train/test.</w:t>
      </w:r>
    </w:p>
    <w:p>
      <w:pPr>
        <w:spacing w:after="80" w:line="252" w:lineRule="auto"/>
      </w:pPr>
      <w:r>
        <w:rPr>
          <w:b/>
        </w:rPr>
        <w:t>H4 — Estructura frente a contenido marginal</w:t>
      </w:r>
      <w:r>
        <w:t>. La ventaja descriptiva de un dataset real disminuirá sustancialmente cuando su estructura relevante sea destruida mediante controles surrogate que preserven características marginales.</w:t>
      </w:r>
    </w:p>
    <w:p>
      <w:pPr>
        <w:spacing w:after="80" w:line="252" w:lineRule="auto"/>
      </w:pPr>
      <w:r>
        <w:rPr>
          <w:b/>
        </w:rPr>
        <w:t>H5 — Estratigrafía</w:t>
      </w:r>
      <w:r>
        <w:t>. La comprimibilidad no será necesariamente uniforme entre dominios ni dentro de un mismo dominio.</w:t>
      </w:r>
    </w:p>
    <w:p>
      <w:pPr>
        <w:pStyle w:val="Heading1"/>
        <w:keepNext/>
        <w:spacing w:before="160" w:after="80"/>
      </w:pPr>
      <w:r>
        <w:t>3. Principio contable</w:t>
      </w:r>
    </w:p>
    <w:p>
      <w:pPr>
        <w:spacing w:after="80" w:line="252" w:lineRule="auto"/>
      </w:pPr>
      <w:r>
        <w:t>Toda comparación se realizará mediante una codificación de dos partes:</w:t>
      </w:r>
    </w:p>
    <w:p>
      <w:pPr>
        <w:pStyle w:val="Formula"/>
        <w:jc w:val="center"/>
      </w:pPr>
      <w:r>
        <w:t>C(d,U; Dₙ, ε) = min sobre T∈M [ Lᵤ(T) + Lᵤ(Q(d,ε)(Dₙ) | T) ]</w:t>
      </w:r>
    </w:p>
    <w:p>
      <w:pPr>
        <w:spacing w:after="80" w:line="252" w:lineRule="auto"/>
      </w:pPr>
      <w:r>
        <w:t>La primera parte es el costo del modelo. La segunda es el costo de describir aquello que el modelo no absorbió.</w:t>
      </w:r>
    </w:p>
    <w:p>
      <w:pPr>
        <w:pStyle w:val="Formula"/>
        <w:jc w:val="center"/>
      </w:pPr>
      <w:r>
        <w:t>ΔC = C(nuevo) − C(anterior)</w:t>
      </w:r>
    </w:p>
    <w:p>
      <w:pPr>
        <w:pStyle w:val="QuoteBox"/>
      </w:pPr>
      <w:r>
        <w:t>Solo existe compresión efectiva si ΔC &lt; 0. Reducir la cantidad de parámetros no constituye por sí mismo una mejora.</w:t>
      </w:r>
    </w:p>
    <w:p>
      <w:pPr>
        <w:pStyle w:val="Heading1"/>
        <w:keepNext/>
        <w:spacing w:before="160" w:after="80"/>
      </w:pPr>
      <w:r>
        <w:t>4. Pre-registro obligatorio</w:t>
      </w:r>
    </w:p>
    <w:p>
      <w:pPr>
        <w:spacing w:after="80" w:line="252" w:lineRule="auto"/>
      </w:pPr>
      <w:r>
        <w:t>Antes de ejecutar cualquier comparación deberán quedar congelados los elementos siguientes.</w:t>
      </w:r>
    </w:p>
    <w:p>
      <w:pPr>
        <w:pStyle w:val="Heading2"/>
        <w:keepNext/>
        <w:spacing w:before="160" w:after="80"/>
      </w:pPr>
      <w:r>
        <w:t>4.1 Representación de datos</w:t>
      </w:r>
    </w:p>
    <w:p>
      <w:pPr>
        <w:spacing w:after="80" w:line="252" w:lineRule="auto"/>
      </w:pPr>
      <w:r>
        <w:t>Para cada dataset se declarará:</w:t>
      </w:r>
    </w:p>
    <w:p>
      <w:pPr>
        <w:pStyle w:val="ListBullet"/>
        <w:spacing w:after="40"/>
      </w:pPr>
      <w:r>
        <w:t>estructura matemática de D</w:t>
      </w:r>
    </w:p>
    <w:p>
      <w:pPr>
        <w:pStyle w:val="ListBullet"/>
        <w:spacing w:after="40"/>
      </w:pPr>
      <w:r>
        <w:t>unidades</w:t>
      </w:r>
    </w:p>
    <w:p>
      <w:pPr>
        <w:pStyle w:val="ListBullet"/>
        <w:spacing w:after="40"/>
      </w:pPr>
      <w:r>
        <w:t>orden de las variables</w:t>
      </w:r>
    </w:p>
    <w:p>
      <w:pPr>
        <w:pStyle w:val="ListBullet"/>
        <w:spacing w:after="40"/>
      </w:pPr>
      <w:r>
        <w:t>normalización</w:t>
      </w:r>
    </w:p>
    <w:p>
      <w:pPr>
        <w:pStyle w:val="ListBullet"/>
        <w:spacing w:after="40"/>
      </w:pPr>
      <w:r>
        <w:t>tratamiento de datos faltantes</w:t>
      </w:r>
    </w:p>
    <w:p>
      <w:pPr>
        <w:pStyle w:val="ListBullet"/>
        <w:spacing w:after="40"/>
      </w:pPr>
      <w:r>
        <w:t>transformaciones permitidas</w:t>
      </w:r>
    </w:p>
    <w:p>
      <w:pPr>
        <w:pStyle w:val="ListBullet"/>
        <w:spacing w:after="40"/>
      </w:pPr>
      <w:r>
        <w:t>metadatos incluidos y excluidos</w:t>
      </w:r>
    </w:p>
    <w:p>
      <w:pPr>
        <w:spacing w:after="80" w:line="252" w:lineRule="auto"/>
      </w:pPr>
      <w:r>
        <w:t>Toda transformación deberá poder aplicarse de manera determinista a partir del dataset original.</w:t>
      </w:r>
    </w:p>
    <w:p>
      <w:pPr>
        <w:pStyle w:val="Heading2"/>
        <w:keepNext/>
        <w:spacing w:before="160" w:after="80"/>
      </w:pPr>
      <w:r>
        <w:t>4.2 Proveniencia y contaminación teórica</w:t>
      </w:r>
    </w:p>
    <w:p>
      <w:pPr>
        <w:spacing w:after="80" w:line="252" w:lineRule="auto"/>
      </w:pPr>
      <w:r>
        <w:t>Cada corpus deberá clasificarse como:</w:t>
      </w:r>
    </w:p>
    <w:p>
      <w:pPr>
        <w:spacing w:after="80" w:line="252" w:lineRule="auto"/>
        <w:ind w:left="0" w:firstLine="0"/>
      </w:pPr>
      <w:r>
        <w:t>1.  medición instrumental primaria</w:t>
      </w:r>
    </w:p>
    <w:p>
      <w:pPr>
        <w:spacing w:after="80" w:line="252" w:lineRule="auto"/>
        <w:ind w:left="0" w:firstLine="0"/>
      </w:pPr>
      <w:r>
        <w:t>2.  dato calibrado</w:t>
      </w:r>
    </w:p>
    <w:p>
      <w:pPr>
        <w:spacing w:after="80" w:line="252" w:lineRule="auto"/>
        <w:ind w:left="0" w:firstLine="0"/>
      </w:pPr>
      <w:r>
        <w:t>3.  dato procesado</w:t>
      </w:r>
    </w:p>
    <w:p>
      <w:pPr>
        <w:spacing w:after="80" w:line="252" w:lineRule="auto"/>
        <w:ind w:left="0" w:firstLine="0"/>
      </w:pPr>
      <w:r>
        <w:t>4.  producto de ajuste teórico</w:t>
      </w:r>
    </w:p>
    <w:p>
      <w:pPr>
        <w:spacing w:after="80" w:line="252" w:lineRule="auto"/>
      </w:pPr>
      <w:r>
        <w:t>Se documentará qué modelos físicos, estadísticos o numéricos participaron en su producción.</w:t>
      </w:r>
    </w:p>
    <w:p>
      <w:pPr>
        <w:pStyle w:val="QuoteBox"/>
      </w:pPr>
      <w:r>
        <w:t>Un dataset cuya generación ya incorpore la estructura que un modelo candidato intenta descubrir no podrá utilizarse como evidencia principal a favor de ese modelo. Podrá emplearse únicamente como prueba metodológica o control.</w:t>
      </w:r>
    </w:p>
    <w:p>
      <w:pPr>
        <w:pStyle w:val="Heading2"/>
        <w:keepNext/>
        <w:spacing w:before="160" w:after="80"/>
      </w:pPr>
      <w:r>
        <w:t>4.3 Métrica de distorsión</w:t>
      </w:r>
    </w:p>
    <w:p>
      <w:pPr>
        <w:spacing w:after="80" w:line="252" w:lineRule="auto"/>
      </w:pPr>
      <w:r>
        <w:t>Para cada dominio se fijará previamente d(D, D̂), que determinará qué diferencia entre dato y reconstrucción constituye una pérdida físicamente significativa. La métrica deberá depender del significado del observable, no de la conveniencia del algoritmo. Si existen varias métricas científicamente defendibles, deberán pre-registrarse todas antes del análisis.</w:t>
      </w:r>
    </w:p>
    <w:p>
      <w:pPr>
        <w:pStyle w:val="Heading2"/>
        <w:keepNext/>
        <w:spacing w:before="160" w:after="80"/>
      </w:pPr>
      <w:r>
        <w:t>4.4 Resolución</w:t>
      </w:r>
    </w:p>
    <w:p>
      <w:pPr>
        <w:spacing w:after="80" w:line="252" w:lineRule="auto"/>
      </w:pPr>
      <w:r>
        <w:t>Se establecerá un conjunto discreto de resoluciones ε₁ &gt; ε₂ &gt; … &gt; ε_m. No se elegirá ε después de observar qué valor favorece la hipótesis. La resolución deberá expresarse en relación con la métrica d.</w:t>
      </w:r>
    </w:p>
    <w:p>
      <w:pPr>
        <w:pStyle w:val="Heading2"/>
        <w:keepNext/>
        <w:spacing w:before="160" w:after="80"/>
      </w:pPr>
      <w:r>
        <w:t>4.5 Cuantizador</w:t>
      </w:r>
    </w:p>
    <w:p>
      <w:pPr>
        <w:spacing w:after="80" w:line="252" w:lineRule="auto"/>
      </w:pPr>
      <w:r>
        <w:t>Se fijará un algoritmo determinista Q(d,ε): D → D_ε que convierta observaciones continuas en símbolos finitos. La regla de cuantización debe quedar congelada antes de comparar modelos.</w:t>
      </w:r>
    </w:p>
    <w:p>
      <w:pPr>
        <w:pStyle w:val="Heading2"/>
        <w:keepNext/>
        <w:spacing w:before="160" w:after="80"/>
      </w:pPr>
      <w:r>
        <w:t>4.6 Puente entre distorsión y bits</w:t>
      </w:r>
    </w:p>
    <w:p>
      <w:pPr>
        <w:spacing w:after="80" w:line="252" w:lineRule="auto"/>
      </w:pPr>
      <w:r>
        <w:t>La tolerancia geométrica y el código residual no se identificarán informalmente. El residuo será codificado mediante una distribución predictiva explícita o mediante una codificación secuencial/prequential equivalente previamente especificada.</w:t>
      </w:r>
    </w:p>
    <w:p>
      <w:pPr>
        <w:pStyle w:val="Formula"/>
        <w:jc w:val="center"/>
      </w:pPr>
      <w:r>
        <w:t>Lᵤ(Dε | T) = −log₂ Pₜ(Dε)</w:t>
      </w:r>
    </w:p>
    <w:p>
      <w:pPr>
        <w:pStyle w:val="ListBullet"/>
        <w:spacing w:after="40"/>
      </w:pPr>
      <w:r>
        <w:t>d y ε determinan qué observaciones quedan diferenciadas.</w:t>
      </w:r>
    </w:p>
    <w:p>
      <w:pPr>
        <w:pStyle w:val="ListBullet"/>
        <w:spacing w:after="40"/>
      </w:pPr>
      <w:r>
        <w:t>Q(d,ε) genera el alfabeto finito.</w:t>
      </w:r>
    </w:p>
    <w:p>
      <w:pPr>
        <w:pStyle w:val="ListBullet"/>
        <w:spacing w:after="40"/>
      </w:pPr>
      <w:r>
        <w:t>P_T determina el costo en bits de los resultados observados.</w:t>
      </w:r>
    </w:p>
    <w:p>
      <w:pPr>
        <w:pStyle w:val="Heading1"/>
        <w:keepNext/>
        <w:spacing w:before="160" w:after="80"/>
      </w:pPr>
      <w:r>
        <w:t>5. Contabilidad del modelo</w:t>
      </w:r>
    </w:p>
    <w:p>
      <w:pPr>
        <w:pStyle w:val="Heading2"/>
        <w:keepNext/>
        <w:spacing w:before="160" w:after="80"/>
      </w:pPr>
      <w:r>
        <w:t>5.1 Estructura</w:t>
      </w:r>
    </w:p>
    <w:p>
      <w:pPr>
        <w:pStyle w:val="Formula"/>
        <w:jc w:val="center"/>
      </w:pPr>
      <w:r>
        <w:t>Lᵤ(T) = Lᵤ(estructura) + Lᵤ(θ | estructura)</w:t>
      </w:r>
    </w:p>
    <w:p>
      <w:pPr>
        <w:spacing w:after="80" w:line="252" w:lineRule="auto"/>
      </w:pPr>
      <w:r>
        <w:t>Toda ecuación, operador, biblioteca o submodelo específico del dominio deberá contabilizarse.</w:t>
      </w:r>
    </w:p>
    <w:p>
      <w:pPr>
        <w:pStyle w:val="Heading2"/>
        <w:keepNext/>
        <w:spacing w:before="160" w:after="80"/>
      </w:pPr>
      <w:r>
        <w:t>5.2 Parámetros continuos</w:t>
      </w:r>
    </w:p>
    <w:p>
      <w:pPr>
        <w:spacing w:after="80" w:line="252" w:lineRule="auto"/>
      </w:pPr>
      <w:r>
        <w:t>Los parámetros reales no se penalizarán por “cantidad de decimales escritos”. Se empleará una regla MDL de precisión identificable previamente fijada. Cuando sea aplicable a modelos paramétricos regulares se utilizará una penalización coherente con la precisión estadísticamente distinguible de los parámetros y el tamaño muestral.</w:t>
      </w:r>
    </w:p>
    <w:p>
      <w:pPr>
        <w:spacing w:after="80" w:line="252" w:lineRule="auto"/>
      </w:pPr>
      <w:r>
        <w:t>La precisión exigida a θ deberá aumentar cuando sea necesario para sostener predicciones a menor ε. Esto evita tratar L(T) como constante cuando ε → 0.</w:t>
      </w:r>
    </w:p>
    <w:p>
      <w:pPr>
        <w:pStyle w:val="Heading1"/>
        <w:keepNext/>
        <w:spacing w:before="160" w:after="80"/>
      </w:pPr>
      <w:r>
        <w:t>6. Pila de referencia</w:t>
      </w:r>
    </w:p>
    <w:p>
      <w:pPr>
        <w:spacing w:after="80" w:line="252" w:lineRule="auto"/>
      </w:pPr>
      <w:r>
        <w:t>Se pre-registrarán al menos dos pilas de codificación independientes:</w:t>
      </w:r>
    </w:p>
    <w:p>
      <w:pPr>
        <w:pStyle w:val="Formula"/>
        <w:jc w:val="center"/>
      </w:pPr>
      <w:r>
        <w:t>Uref(1),  Uref(2)</w:t>
      </w:r>
    </w:p>
    <w:p>
      <w:pPr>
        <w:spacing w:after="80" w:line="252" w:lineRule="auto"/>
      </w:pPr>
      <w:r>
        <w:t>Cada una deberá especificar:</w:t>
      </w:r>
    </w:p>
    <w:p>
      <w:pPr>
        <w:pStyle w:val="ListBullet"/>
        <w:spacing w:after="40"/>
      </w:pPr>
      <w:r>
        <w:t>intérprete</w:t>
      </w:r>
    </w:p>
    <w:p>
      <w:pPr>
        <w:pStyle w:val="ListBullet"/>
        <w:spacing w:after="40"/>
      </w:pPr>
      <w:r>
        <w:t>conjunto de primitivas</w:t>
      </w:r>
    </w:p>
    <w:p>
      <w:pPr>
        <w:pStyle w:val="ListBullet"/>
        <w:spacing w:after="40"/>
      </w:pPr>
      <w:r>
        <w:t>representación de números</w:t>
      </w:r>
    </w:p>
    <w:p>
      <w:pPr>
        <w:pStyle w:val="ListBullet"/>
        <w:spacing w:after="40"/>
      </w:pPr>
      <w:r>
        <w:t>operadores matemáticos disponibles</w:t>
      </w:r>
    </w:p>
    <w:p>
      <w:pPr>
        <w:pStyle w:val="ListBullet"/>
        <w:spacing w:after="40"/>
      </w:pPr>
      <w:r>
        <w:t>bibliotecas generales</w:t>
      </w:r>
    </w:p>
    <w:p>
      <w:pPr>
        <w:pStyle w:val="ListBullet"/>
        <w:spacing w:after="40"/>
      </w:pPr>
      <w:r>
        <w:t>bibliotecas específicas de dominio</w:t>
      </w:r>
    </w:p>
    <w:p>
      <w:pPr>
        <w:pStyle w:val="ListBullet"/>
        <w:spacing w:after="40"/>
      </w:pPr>
      <w:r>
        <w:t>costo de incorporar una biblioteca nueva</w:t>
      </w:r>
    </w:p>
    <w:p>
      <w:pPr>
        <w:pStyle w:val="ListBullet"/>
        <w:spacing w:after="40"/>
      </w:pPr>
      <w:r>
        <w:t>regla de amortización de bibliotecas reutilizadas</w:t>
      </w:r>
    </w:p>
    <w:p>
      <w:pPr>
        <w:spacing w:after="80" w:line="252" w:lineRule="auto"/>
      </w:pPr>
      <w:r>
        <w:t>Ninguna primitiva podrá agregarse después de observar D_test. El resultado principal será considerado robusto solamente si la jerarquía observada entre condiciones sobrevive a las pilas pre-registradas.</w:t>
      </w:r>
    </w:p>
    <w:p>
      <w:pPr>
        <w:pStyle w:val="Heading1"/>
        <w:keepNext/>
        <w:spacing w:before="160" w:after="80"/>
      </w:pPr>
      <w:r>
        <w:t>7. Modelo nulo</w:t>
      </w:r>
    </w:p>
    <w:p>
      <w:pPr>
        <w:spacing w:after="80" w:line="252" w:lineRule="auto"/>
      </w:pPr>
      <w:r>
        <w:t>Cada dominio tendrá un código nulo M₀ que no explote la estructura específica que se intenta detectar. Su costo L_U(D_n,ε | M₀) constituirá la línea de base.</w:t>
      </w:r>
    </w:p>
    <w:p>
      <w:pPr>
        <w:spacing w:after="80" w:line="252" w:lineRule="auto"/>
      </w:pPr>
      <w:r>
        <w:t>La familia de modelos deberá incluir siempre una estrategia literal o casi literal, de manera que el procedimiento pueda concluir legítimamente: no existe compresión útil dentro de la familia evaluada.</w:t>
      </w:r>
    </w:p>
    <w:p>
      <w:pPr>
        <w:pStyle w:val="Heading1"/>
        <w:keepNext/>
        <w:spacing w:before="160" w:after="80"/>
      </w:pPr>
      <w:r>
        <w:t>8. Familias de modelos</w:t>
      </w:r>
    </w:p>
    <w:p>
      <w:pPr>
        <w:spacing w:after="80" w:line="252" w:lineRule="auto"/>
      </w:pPr>
      <w:r>
        <w:t>Para cada dominio se congelará previamente una familia M = {T₁, T₂, …, T_k}. Los modelos podrán incluir, según corresponda, ecuaciones diferenciales, modelos probabilísticos, gramáticas, modelos simbólicos, compresores universales, modelos autoregresivos, sistemas dinámicos y arquitecturas de aprendizaje previamente definidas.</w:t>
      </w:r>
    </w:p>
    <w:p>
      <w:pPr>
        <w:spacing w:after="80" w:line="252" w:lineRule="auto"/>
      </w:pPr>
      <w:r>
        <w:t>Se registrará el costo de cualquier búsqueda de hiperparámetros o selección de arquitectura cuando dicha búsqueda utilice información del entrenamiento.</w:t>
      </w:r>
    </w:p>
    <w:p>
      <w:pPr>
        <w:pStyle w:val="Heading1"/>
        <w:keepNext/>
        <w:spacing w:before="160" w:after="80"/>
      </w:pPr>
      <w:r>
        <w:t>9. Niveles descriptivos</w:t>
      </w:r>
    </w:p>
    <w:p>
      <w:pPr>
        <w:spacing w:after="80" w:line="252" w:lineRule="auto"/>
      </w:pPr>
      <w:r>
        <w:t>Las comparaciones entre dominios deberán realizarse entre niveles aproximadamente equivalentes. No se comparará, por ejemplo, una ley fundamental de física contra una historia biológica microscópica particular como si fueran objetos del mismo nivel.</w:t>
      </w:r>
    </w:p>
    <w:p>
      <w:pPr>
        <w:spacing w:after="80" w:line="252" w:lineRule="auto"/>
      </w:pPr>
      <w:r>
        <w:rPr>
          <w:b/>
        </w:rPr>
        <w:t>Nivel A — Regularidades generales</w:t>
      </w:r>
      <w:r>
        <w:t>. Estructuras reutilizables sobre muchas instancias.</w:t>
      </w:r>
    </w:p>
    <w:p>
      <w:pPr>
        <w:spacing w:after="80" w:line="252" w:lineRule="auto"/>
      </w:pPr>
      <w:r>
        <w:rPr>
          <w:b/>
        </w:rPr>
        <w:t>Nivel B — Trayectorias o realizaciones particulares</w:t>
      </w:r>
      <w:r>
        <w:t>. Historias concretas generadas bajo esas regularidades.</w:t>
      </w:r>
    </w:p>
    <w:p>
      <w:pPr>
        <w:spacing w:after="80" w:line="252" w:lineRule="auto"/>
      </w:pPr>
      <w:r>
        <w:rPr>
          <w:b/>
        </w:rPr>
        <w:t>Nivel C — Microestado o detalle fino</w:t>
      </w:r>
      <w:r>
        <w:t>. Descripción altamente específica de una realización.</w:t>
      </w:r>
    </w:p>
    <w:p>
      <w:pPr>
        <w:pStyle w:val="Formula"/>
        <w:jc w:val="center"/>
      </w:pPr>
      <w:r>
        <w:t>C(dominio, nivel, n, ε)</w:t>
      </w:r>
    </w:p>
    <w:p>
      <w:pPr>
        <w:pStyle w:val="Heading1"/>
        <w:keepNext/>
        <w:spacing w:before="160" w:after="80"/>
      </w:pPr>
      <w:r>
        <w:t>10. Batería piloto</w:t>
      </w:r>
    </w:p>
    <w:p>
      <w:pPr>
        <w:pStyle w:val="Heading2"/>
        <w:keepNext/>
        <w:spacing w:before="160" w:after="80"/>
      </w:pPr>
      <w:r>
        <w:t>10.1 Controles sintéticos</w:t>
      </w:r>
    </w:p>
    <w:p>
      <w:pPr>
        <w:spacing w:after="80" w:line="252" w:lineRule="auto"/>
      </w:pPr>
      <w:r>
        <w:t>Los controles sirven para validar el instrumento, no como evidencia directa sobre la naturaleza.</w:t>
      </w:r>
    </w:p>
    <w:p>
      <w:pPr>
        <w:spacing w:after="80" w:line="252" w:lineRule="auto"/>
      </w:pPr>
      <w:r>
        <w:rPr>
          <w:b/>
        </w:rPr>
        <w:t>Control positivo — dinámica compacta</w:t>
      </w:r>
      <w:r>
        <w:t>. Atractor de Lorenz generado desde parámetros conocidos. Objetivo: verificar que el protocolo detecta una regla corta detrás de una trayectoria aparentemente compleja.</w:t>
      </w:r>
    </w:p>
    <w:p>
      <w:pPr>
        <w:spacing w:after="80" w:line="252" w:lineRule="auto"/>
      </w:pPr>
      <w:r>
        <w:rPr>
          <w:b/>
        </w:rPr>
        <w:t>Control determinista complejo</w:t>
      </w:r>
      <w:r>
        <w:t>. Autómata celular Regla 110. Objetivo: verificar la relación entre regla corta y comportamiento emergente complejo.</w:t>
      </w:r>
    </w:p>
    <w:p>
      <w:pPr>
        <w:spacing w:after="80" w:line="252" w:lineRule="auto"/>
      </w:pPr>
      <w:r>
        <w:rPr>
          <w:b/>
        </w:rPr>
        <w:t>Control pseudoaleatorio determinista</w:t>
      </w:r>
      <w:r>
        <w:t>. Regla 30 y, en un grupo separado, secuencias de PRNG. Objetivo: comprobar que una generadora corta no implica necesariamente compresión local trivial del output.</w:t>
      </w:r>
    </w:p>
    <w:p>
      <w:pPr>
        <w:spacing w:after="80" w:line="252" w:lineRule="auto"/>
      </w:pPr>
      <w:r>
        <w:rPr>
          <w:b/>
        </w:rPr>
        <w:t>Control negativo</w:t>
      </w:r>
      <w:r>
        <w:t>. Ruido generado por una fuente preespecificada, incluyendo una variante de alta entropía próxima al límite de compresión.</w:t>
      </w:r>
    </w:p>
    <w:p>
      <w:pPr>
        <w:pStyle w:val="Heading2"/>
        <w:keepNext/>
        <w:spacing w:before="160" w:after="80"/>
      </w:pPr>
      <w:r>
        <w:t>10.2 Surrogates</w:t>
      </w:r>
    </w:p>
    <w:p>
      <w:pPr>
        <w:spacing w:after="80" w:line="252" w:lineRule="auto"/>
      </w:pPr>
      <w:r>
        <w:t>Para cada dataset real, cuando sea científicamente posible, se generarán controles que preserven propiedades marginales pero destruyan estructura.</w:t>
      </w:r>
    </w:p>
    <w:p>
      <w:pPr>
        <w:pStyle w:val="ListBullet"/>
        <w:spacing w:after="40"/>
      </w:pPr>
      <w:r>
        <w:t>permutación temporal</w:t>
      </w:r>
    </w:p>
    <w:p>
      <w:pPr>
        <w:pStyle w:val="ListBullet"/>
        <w:spacing w:after="40"/>
      </w:pPr>
      <w:r>
        <w:t>phase randomization</w:t>
      </w:r>
    </w:p>
    <w:p>
      <w:pPr>
        <w:pStyle w:val="ListBullet"/>
        <w:spacing w:after="40"/>
      </w:pPr>
      <w:r>
        <w:t>permutación espacial</w:t>
      </w:r>
    </w:p>
    <w:p>
      <w:pPr>
        <w:pStyle w:val="ListBullet"/>
        <w:spacing w:after="40"/>
      </w:pPr>
      <w:r>
        <w:t>shuffling de bloques</w:t>
      </w:r>
    </w:p>
    <w:p>
      <w:pPr>
        <w:pStyle w:val="ListBullet"/>
        <w:spacing w:after="40"/>
      </w:pPr>
      <w:r>
        <w:t>preservación del histograma con destrucción de correlaciones</w:t>
      </w:r>
    </w:p>
    <w:p>
      <w:pPr>
        <w:spacing w:after="80" w:line="252" w:lineRule="auto"/>
      </w:pPr>
      <w:r>
        <w:t>El surrogate deberá ser definido antes del análisis. La hipótesis estructural predice C(D) &lt; C(D_surrogate) una vez normalizados apropiadamente tamaño y resolución.</w:t>
      </w:r>
    </w:p>
    <w:p>
      <w:pPr>
        <w:pStyle w:val="Heading1"/>
        <w:keepNext/>
        <w:spacing w:before="160" w:after="80"/>
      </w:pPr>
      <w:r>
        <w:t>11. Datasets empíricos piloto</w:t>
      </w:r>
    </w:p>
    <w:p>
      <w:pPr>
        <w:pStyle w:val="Heading2"/>
        <w:keepNext/>
        <w:spacing w:before="160" w:after="80"/>
      </w:pPr>
      <w:r>
        <w:t>11.1 Física fundamental</w:t>
      </w:r>
    </w:p>
    <w:p>
      <w:pPr>
        <w:spacing w:after="80" w:line="252" w:lineRule="auto"/>
      </w:pPr>
      <w:r>
        <w:t>Se priorizarán mediciones instrumentales o datasets cuya cadena de procesamiento no incorpore explícitamente la teoría evaluada. Ejemplos: espectros atómicos experimentales; datos orbitales primarios o mediciones astrométricas antes del producto final de efemérides; datasets de scattering o transiciones con documentación completa de calibración. Los catálogos JPL derivados mediante ajuste dinámico podrán utilizarse como demostración metodológica, pero no como evidencia principal de que la dinámica gravitacional fue “descubierta” por compresión.</w:t>
      </w:r>
    </w:p>
    <w:p>
      <w:pPr>
        <w:pStyle w:val="Heading2"/>
        <w:keepNext/>
        <w:spacing w:before="160" w:after="80"/>
      </w:pPr>
      <w:r>
        <w:t>11.2 Sistemas físicos estocásticos</w:t>
      </w:r>
    </w:p>
    <w:p>
      <w:pPr>
        <w:spacing w:after="80" w:line="252" w:lineRule="auto"/>
      </w:pPr>
      <w:r>
        <w:t>El CMB se tratará como un dominio físico estocástico estructurado, no como ruido. La comparación deberá separar señal cosmológica, ruido instrumental, máscaras, efectos de selección y productos procesados.</w:t>
      </w:r>
    </w:p>
    <w:p>
      <w:pPr>
        <w:pStyle w:val="Heading2"/>
        <w:keepNext/>
        <w:spacing w:before="160" w:after="80"/>
      </w:pPr>
      <w:r>
        <w:t>11.3 Biología</w:t>
      </w:r>
    </w:p>
    <w:p>
      <w:pPr>
        <w:spacing w:after="80" w:line="252" w:lineRule="auto"/>
      </w:pPr>
      <w:r>
        <w:t>Podrán incluirse secuencias genómicas, regiones codificantes y no codificantes por separado, series temporales de expresión y otros corpus con estructura claramente definida. Las comparaciones deberán respetar el nivel descriptivo.</w:t>
      </w:r>
    </w:p>
    <w:p>
      <w:pPr>
        <w:pStyle w:val="Heading2"/>
        <w:keepNext/>
        <w:spacing w:before="160" w:after="80"/>
      </w:pPr>
      <w:r>
        <w:t>11.4 Meteorología u otros sistemas complejos</w:t>
      </w:r>
    </w:p>
    <w:p>
      <w:pPr>
        <w:spacing w:after="80" w:line="252" w:lineRule="auto"/>
      </w:pPr>
      <w:r>
        <w:t>Se seleccionarán series con resolución temporal y espacial conocidas, pipeline de procesamiento documentado y partición temporal válida para test fuera de muestra.</w:t>
      </w:r>
    </w:p>
    <w:p>
      <w:pPr>
        <w:pStyle w:val="Heading1"/>
        <w:keepNext/>
        <w:spacing w:before="160" w:after="80"/>
      </w:pPr>
      <w:r>
        <w:t>12. Escalamiento en tamaño y diversidad</w:t>
      </w:r>
    </w:p>
    <w:p>
      <w:pPr>
        <w:spacing w:after="80" w:line="252" w:lineRule="auto"/>
      </w:pPr>
      <w:r>
        <w:t>Para cada dataset se construirán corpus anidados:</w:t>
      </w:r>
    </w:p>
    <w:p>
      <w:pPr>
        <w:pStyle w:val="Formula"/>
        <w:jc w:val="center"/>
      </w:pPr>
      <w:r>
        <w:t>D₁ ⊂ D₂ ⊂ … ⊂ Dₙ</w:t>
      </w:r>
    </w:p>
    <w:p>
      <w:pPr>
        <w:spacing w:after="80" w:line="252" w:lineRule="auto"/>
      </w:pPr>
      <w:r>
        <w:t>El aumento de n deberá incorporar no sólo más muestras redundantes, sino también, cuando sea posible, mayor diversidad del dominio. Se analizará C(d,U;D_n,ε) como función conjunta de n, ε y diversidad. No se supondrá de antemano una ley de potencia. El objeto experimental será la curva o superficie de escalamiento descriptivo.</w:t>
      </w:r>
    </w:p>
    <w:p>
      <w:pPr>
        <w:pStyle w:val="Heading1"/>
        <w:keepNext/>
        <w:spacing w:before="160" w:after="80"/>
      </w:pPr>
      <w:r>
        <w:t>13. Métricas primarias</w:t>
      </w:r>
    </w:p>
    <w:p>
      <w:pPr>
        <w:pStyle w:val="Heading2"/>
        <w:keepNext/>
        <w:spacing w:before="160" w:after="80"/>
      </w:pPr>
      <w:r>
        <w:t>13.1 Costo descriptivo</w:t>
      </w:r>
    </w:p>
    <w:p>
      <w:pPr>
        <w:pStyle w:val="Formula"/>
        <w:jc w:val="center"/>
      </w:pPr>
      <w:r>
        <w:t>C(d,U; Dₙ, ε) = min sobre T∈M [Lᵤ(T) + Lᵤ(Dₙ,ε | T)]</w:t>
      </w:r>
    </w:p>
    <w:p>
      <w:pPr>
        <w:pStyle w:val="Heading2"/>
        <w:keepNext/>
        <w:spacing w:before="160" w:after="80"/>
      </w:pPr>
      <w:r>
        <w:t>13.2 Razón descriptiva</w:t>
      </w:r>
    </w:p>
    <w:p>
      <w:pPr>
        <w:pStyle w:val="Formula"/>
        <w:jc w:val="center"/>
      </w:pPr>
      <w:r>
        <w:t>ρ(d,ε,U;Dₙ) = C(d,U;Dₙ,ε) / Lᵤ(Dₙ,ε | M₀)</w:t>
      </w:r>
    </w:p>
    <w:p>
      <w:pPr>
        <w:pStyle w:val="ListBullet"/>
        <w:spacing w:after="40"/>
      </w:pPr>
      <w:r>
        <w:t>ρ ≈ 1: poca o ninguna ventaja frente al código nulo.</w:t>
      </w:r>
    </w:p>
    <w:p>
      <w:pPr>
        <w:pStyle w:val="ListBullet"/>
        <w:spacing w:after="40"/>
      </w:pPr>
      <w:r>
        <w:t>ρ ≪ 1: fuerte compresión estructural.</w:t>
      </w:r>
    </w:p>
    <w:p>
      <w:pPr>
        <w:pStyle w:val="ListBullet"/>
        <w:spacing w:after="40"/>
      </w:pPr>
      <w:r>
        <w:t>No se interpretará el límite ε → 0 de ρ de manera aislada.</w:t>
      </w:r>
    </w:p>
    <w:p>
      <w:pPr>
        <w:pStyle w:val="Heading2"/>
        <w:keepNext/>
        <w:spacing w:before="160" w:after="80"/>
      </w:pPr>
      <w:r>
        <w:t>13.3 Pendiente de resolución</w:t>
      </w:r>
    </w:p>
    <w:p>
      <w:pPr>
        <w:pStyle w:val="Formula"/>
        <w:jc w:val="center"/>
      </w:pPr>
      <w:r>
        <w:t>sC(n,ε) = ∂C / ∂log₂(1/ε)</w:t>
      </w:r>
    </w:p>
    <w:p>
      <w:pPr>
        <w:pStyle w:val="Formula"/>
        <w:jc w:val="center"/>
      </w:pPr>
      <w:r>
        <w:t>s₀(n,ε) = ∂L₀ / ∂log₂(1/ε)</w:t>
      </w:r>
    </w:p>
    <w:p>
      <w:pPr>
        <w:pStyle w:val="Formula"/>
        <w:jc w:val="center"/>
      </w:pPr>
      <w:r>
        <w:t>ηε(n) = sC(n,ε) / s₀(n,ε)</w:t>
      </w:r>
    </w:p>
    <w:p>
      <w:pPr>
        <w:spacing w:after="80" w:line="252" w:lineRule="auto"/>
      </w:pPr>
      <w:r>
        <w:t>η_ε se estimará por diferencias finitas entre resoluciones pre-registradas. η_ε ≈ 1 indica que cada nuevo bit de precisión debe pagarse casi literalmente; η_ε ≪ 1 indica que la estructura reutilizable absorbe gran parte del refinamiento.</w:t>
      </w:r>
    </w:p>
    <w:p>
      <w:pPr>
        <w:pStyle w:val="Heading1"/>
        <w:keepNext/>
        <w:spacing w:before="160" w:after="80"/>
      </w:pPr>
      <w:r>
        <w:t>14. Generalización fuera de muestra</w:t>
      </w:r>
    </w:p>
    <w:p>
      <w:pPr>
        <w:spacing w:after="80" w:line="252" w:lineRule="auto"/>
      </w:pPr>
      <w:r>
        <w:t>Antes de entrenar o seleccionar modelos se congelará la partición D = D_train ∪ D_test. No se permitirá modificar estructura del modelo, hiperparámetros, biblioteca, cuantizador, métrica o representación después de consultar D_test.</w:t>
      </w:r>
    </w:p>
    <w:p>
      <w:pPr>
        <w:pStyle w:val="Formula"/>
        <w:jc w:val="center"/>
      </w:pPr>
      <w:r>
        <w:t>G(T) = Lᵤ(Dtest,ε | Ttrain)</w:t>
      </w:r>
    </w:p>
    <w:p>
      <w:pPr>
        <w:pStyle w:val="Formula"/>
        <w:jc w:val="center"/>
      </w:pPr>
      <w:r>
        <w:t>g(T) = Lᵤ(Dtest,ε | Ttrain) / Lᵤ(Dtest,ε | M₀)</w:t>
      </w:r>
    </w:p>
    <w:p>
      <w:pPr>
        <w:pStyle w:val="Formula"/>
        <w:jc w:val="center"/>
      </w:pPr>
      <w:r>
        <w:t>ΔG = Lᵤ(Dtest,ε | M₀) − Lᵤ(Dtest,ε | Ttrain)</w:t>
      </w:r>
    </w:p>
    <w:p>
      <w:pPr>
        <w:pStyle w:val="ListBullet"/>
        <w:spacing w:after="40"/>
      </w:pPr>
      <w:r>
        <w:t>g ≈ 1: sin generalización descriptiva útil.</w:t>
      </w:r>
    </w:p>
    <w:p>
      <w:pPr>
        <w:pStyle w:val="ListBullet"/>
        <w:spacing w:after="40"/>
      </w:pPr>
      <w:r>
        <w:t>g &lt; 1: ventaja fuera de muestra.</w:t>
      </w:r>
    </w:p>
    <w:p>
      <w:pPr>
        <w:pStyle w:val="ListBullet"/>
        <w:spacing w:after="40"/>
      </w:pPr>
      <w:r>
        <w:t>g ≪ 1: fuerte compresión predictiva.</w:t>
      </w:r>
    </w:p>
    <w:p>
      <w:pPr>
        <w:pStyle w:val="ListBullet"/>
        <w:spacing w:after="40"/>
      </w:pPr>
      <w:r>
        <w:t>g &gt; 1: el modelo empeora respecto del baseline.</w:t>
      </w:r>
    </w:p>
    <w:p>
      <w:pPr>
        <w:pStyle w:val="Heading1"/>
        <w:keepNext/>
        <w:spacing w:before="160" w:after="80"/>
      </w:pPr>
      <w:r>
        <w:t>15. Robustez</w:t>
      </w:r>
    </w:p>
    <w:p>
      <w:pPr>
        <w:spacing w:after="80" w:line="252" w:lineRule="auto"/>
      </w:pPr>
      <w:r>
        <w:t>Todo resultado principal deberá ser repetido bajo:</w:t>
      </w:r>
    </w:p>
    <w:p>
      <w:pPr>
        <w:pStyle w:val="ListBullet"/>
        <w:spacing w:after="40"/>
      </w:pPr>
      <w:r>
        <w:t>más de una pila U_ref</w:t>
      </w:r>
    </w:p>
    <w:p>
      <w:pPr>
        <w:pStyle w:val="ListBullet"/>
        <w:spacing w:after="40"/>
      </w:pPr>
      <w:r>
        <w:t>distintas resoluciones pre-registradas</w:t>
      </w:r>
    </w:p>
    <w:p>
      <w:pPr>
        <w:pStyle w:val="ListBullet"/>
        <w:spacing w:after="40"/>
      </w:pPr>
      <w:r>
        <w:t>métricas alternativas científicamente defendibles</w:t>
      </w:r>
    </w:p>
    <w:p>
      <w:pPr>
        <w:pStyle w:val="ListBullet"/>
        <w:spacing w:after="40"/>
      </w:pPr>
      <w:r>
        <w:t>distintos tamaños n</w:t>
      </w:r>
    </w:p>
    <w:p>
      <w:pPr>
        <w:pStyle w:val="ListBullet"/>
        <w:spacing w:after="40"/>
      </w:pPr>
      <w:r>
        <w:t>distintas particiones train/test</w:t>
      </w:r>
    </w:p>
    <w:p>
      <w:pPr>
        <w:pStyle w:val="ListBullet"/>
        <w:spacing w:after="40"/>
      </w:pPr>
      <w:r>
        <w:t>controles surrogate</w:t>
      </w:r>
    </w:p>
    <w:p>
      <w:pPr>
        <w:pStyle w:val="ListBullet"/>
        <w:spacing w:after="40"/>
      </w:pPr>
      <w:r>
        <w:t>modelos nulos alternativos previamente declarados</w:t>
      </w:r>
    </w:p>
    <w:p>
      <w:pPr>
        <w:spacing w:after="80" w:line="252" w:lineRule="auto"/>
      </w:pPr>
      <w:r>
        <w:t>No se exigirá igualdad numérica entre codificaciones. Se exigirá estabilidad cualitativa de las separaciones relevantes.</w:t>
      </w:r>
    </w:p>
    <w:p>
      <w:pPr>
        <w:pStyle w:val="Heading1"/>
        <w:keepNext/>
        <w:spacing w:before="160" w:after="80"/>
      </w:pPr>
      <w:r>
        <w:t>16. Criterio primario de éxito</w:t>
      </w:r>
    </w:p>
    <w:p>
      <w:pPr>
        <w:spacing w:after="80" w:line="252" w:lineRule="auto"/>
      </w:pPr>
      <w:r>
        <w:t>No se declarará éxito porque una sola métrica resulte pequeña. La evidencia a favor de comprimibilidad estructural extraordinaria requerirá conjuntamente:</w:t>
      </w:r>
    </w:p>
    <w:p>
      <w:pPr>
        <w:pStyle w:val="Formula"/>
        <w:jc w:val="center"/>
      </w:pPr>
      <w:r>
        <w:t>ρ ≪ 1,   η_ε ≪ 1,   g ≪ 1</w:t>
      </w:r>
    </w:p>
    <w:p>
      <w:pPr>
        <w:spacing w:after="80" w:line="252" w:lineRule="auto"/>
      </w:pPr>
      <w:r>
        <w:t>y robustez frente a las decisiones pre-registradas. Además:</w:t>
      </w:r>
    </w:p>
    <w:p>
      <w:pPr>
        <w:spacing w:after="80" w:line="252" w:lineRule="auto"/>
        <w:ind w:left="0" w:firstLine="0"/>
      </w:pPr>
      <w:r>
        <w:t>1.  la ventaja deberá persistir al aumentar n</w:t>
      </w:r>
    </w:p>
    <w:p>
      <w:pPr>
        <w:spacing w:after="80" w:line="252" w:lineRule="auto"/>
        <w:ind w:left="0" w:firstLine="0"/>
      </w:pPr>
      <w:r>
        <w:t>2.  deberá persistir al aumentar la resolución dentro del régimen estudiado</w:t>
      </w:r>
    </w:p>
    <w:p>
      <w:pPr>
        <w:spacing w:after="80" w:line="252" w:lineRule="auto"/>
        <w:ind w:left="0" w:firstLine="0"/>
      </w:pPr>
      <w:r>
        <w:t>3.  deberá sobrevivir en D_test</w:t>
      </w:r>
    </w:p>
    <w:p>
      <w:pPr>
        <w:spacing w:after="80" w:line="252" w:lineRule="auto"/>
        <w:ind w:left="0" w:firstLine="0"/>
      </w:pPr>
      <w:r>
        <w:t>4.  deberá disminuir significativamente en los datasets surrogate</w:t>
      </w:r>
    </w:p>
    <w:p>
      <w:pPr>
        <w:spacing w:after="80" w:line="252" w:lineRule="auto"/>
        <w:ind w:left="0" w:firstLine="0"/>
      </w:pPr>
      <w:r>
        <w:t>5.  deberá sobrevivir a distintas pilas U_ref</w:t>
      </w:r>
    </w:p>
    <w:p>
      <w:pPr>
        <w:spacing w:after="80" w:line="252" w:lineRule="auto"/>
        <w:ind w:left="0" w:firstLine="0"/>
      </w:pPr>
      <w:r>
        <w:t>6.  no podrá explicarse por contaminación teórica del pipeline de datos</w:t>
      </w:r>
    </w:p>
    <w:p>
      <w:pPr>
        <w:spacing w:after="80" w:line="252" w:lineRule="auto"/>
        <w:ind w:left="0" w:firstLine="0"/>
      </w:pPr>
      <w:r>
        <w:t>7.  las comparaciones entre dominios deberán realizarse a niveles descriptivos comparables</w:t>
      </w:r>
    </w:p>
    <w:p>
      <w:pPr>
        <w:pStyle w:val="Heading1"/>
        <w:keepNext/>
        <w:spacing w:before="160" w:after="80"/>
      </w:pPr>
      <w:r>
        <w:t>17. Resultados que falsarían o debilitarían la hipótesis</w:t>
      </w:r>
    </w:p>
    <w:p>
      <w:pPr>
        <w:pStyle w:val="ListBullet"/>
        <w:spacing w:after="40"/>
      </w:pPr>
      <w:r>
        <w:t>ρ converge sistemáticamente hacia valores próximos a 1</w:t>
      </w:r>
    </w:p>
    <w:p>
      <w:pPr>
        <w:pStyle w:val="ListBullet"/>
        <w:spacing w:after="40"/>
      </w:pPr>
      <w:r>
        <w:t>la ventaja desaparece fuera de muestra</w:t>
      </w:r>
    </w:p>
    <w:p>
      <w:pPr>
        <w:pStyle w:val="ListBullet"/>
        <w:spacing w:after="40"/>
      </w:pPr>
      <w:r>
        <w:t>cambia radicalmente al modificar U_ref</w:t>
      </w:r>
    </w:p>
    <w:p>
      <w:pPr>
        <w:pStyle w:val="ListBullet"/>
        <w:spacing w:after="40"/>
      </w:pPr>
      <w:r>
        <w:t>no existe diferencia entre datos reales y sus surrogates</w:t>
      </w:r>
    </w:p>
    <w:p>
      <w:pPr>
        <w:pStyle w:val="ListBullet"/>
        <w:spacing w:after="40"/>
      </w:pPr>
      <w:r>
        <w:t>la aparente ventaja de la física desaparece al igualar niveles descriptivos</w:t>
      </w:r>
    </w:p>
    <w:p>
      <w:pPr>
        <w:pStyle w:val="ListBullet"/>
        <w:spacing w:after="40"/>
      </w:pPr>
      <w:r>
        <w:t>la ventaja se explica por procesamiento previo del dataset</w:t>
      </w:r>
    </w:p>
    <w:p>
      <w:pPr>
        <w:pStyle w:val="ListBullet"/>
        <w:spacing w:after="40"/>
      </w:pPr>
      <w:r>
        <w:t>el refinamiento en ε obliga al modelo a pagar prácticamente todos los bits adicionales</w:t>
      </w:r>
    </w:p>
    <w:p>
      <w:pPr>
        <w:pStyle w:val="ListBullet"/>
        <w:spacing w:after="40"/>
      </w:pPr>
      <w:r>
        <w:t>otros dominios muestran curvas indistinguibles de la física fundamental</w:t>
      </w:r>
    </w:p>
    <w:p>
      <w:pPr>
        <w:pStyle w:val="QuoteBox"/>
      </w:pPr>
      <w:r>
        <w:t>Un resultado negativo forma parte del programa.</w:t>
      </w:r>
    </w:p>
    <w:p>
      <w:pPr>
        <w:pStyle w:val="Heading1"/>
        <w:keepNext/>
        <w:spacing w:before="160" w:after="80"/>
      </w:pPr>
      <w:r>
        <w:t>18. Resultado experimental principal</w:t>
      </w:r>
    </w:p>
    <w:p>
      <w:pPr>
        <w:spacing w:after="80" w:line="252" w:lineRule="auto"/>
      </w:pPr>
      <w:r>
        <w:t>El objetivo no es producir un ranking simple física &lt; biología &lt; historia. El producto del experimento será una familia de superficies:</w:t>
      </w:r>
    </w:p>
    <w:p>
      <w:pPr>
        <w:pStyle w:val="Formula"/>
        <w:jc w:val="center"/>
      </w:pPr>
      <w:r>
        <w:t>𝒞(dominio, nivel, n, ε, Uref)</w:t>
      </w:r>
    </w:p>
    <w:p>
      <w:pPr>
        <w:spacing w:after="80" w:line="252" w:lineRule="auto"/>
      </w:pPr>
      <w:r>
        <w:t>y sus correspondientes ρ, η_ε y g.</w:t>
      </w:r>
    </w:p>
    <w:p>
      <w:pPr>
        <w:pStyle w:val="QuoteBox"/>
      </w:pPr>
      <w:r>
        <w:t>Pregunta de salida: ¿Qué fracción del contenido informativo de cada estrato puede trasladarse desde observaciones particulares hacia reglas reutilizables capaces de generalizar?</w:t>
      </w:r>
    </w:p>
    <w:p>
      <w:pPr>
        <w:spacing w:after="80" w:line="252" w:lineRule="auto"/>
      </w:pPr>
      <w:r>
        <w:t>Si ciertos estratos físicos muestran de manera robusta ρ ≪ 1, η_ε ≪ 1 y g ≪ 1 mientras controles desestructurados y niveles comparables de otros dominios no lo hacen, habrá evidencia cuantitativa de una estratigrafía real de la comprimibilidad.</w:t>
      </w:r>
    </w:p>
    <w:p>
      <w:pPr>
        <w:pStyle w:val="Heading1"/>
        <w:keepNext/>
        <w:spacing w:before="160" w:after="80"/>
      </w:pPr>
      <w:r>
        <w:t>19. Alcance de la conclusión</w:t>
      </w:r>
    </w:p>
    <w:p>
      <w:pPr>
        <w:spacing w:after="80" w:line="252" w:lineRule="auto"/>
      </w:pPr>
      <w:r>
        <w:t>Incluso un resultado positivo no demostraría que el universo completo posea baja complejidad de Kolmogórov.</w:t>
      </w:r>
    </w:p>
    <w:p>
      <w:pPr>
        <w:pStyle w:val="QuoteBox"/>
      </w:pPr>
      <w:r>
        <w:t>Demostraría algo más acotado: dentro de los dominios, escalas y resoluciones estudiados, cantidades crecientes de información observacional pueden ser reemplazadas por estructuras descriptivas reutilizables cuyo costo crece mucho más lentamente que el de los datos que explican, y esa ventaja generaliza fuera de muestra.</w:t>
      </w:r>
    </w:p>
    <w:p>
      <w:pPr>
        <w:spacing w:after="80" w:line="252" w:lineRule="auto"/>
      </w:pPr>
      <w:r>
        <w:t>Ése es exactamente el fenómeno que el Programa I pretende medir. No responde todavía por qué ocurre, pero convierte la pregunta “¿por qué el universo se deja comprimir?” en una magnitud experimental sobre la que se puede acumular evidencia, comparar dominios y eventualmente descubrir dónde empieza —y dónde deja de funcionar— la economía descriptiva de las leyes físicas.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Programa I — Protocolo experimental pre-registrado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80" w:after="80"/>
      <w:ind w:left="432"/>
    </w:pPr>
    <w:rPr>
      <w:rFonts w:ascii="Cambria Math" w:hAnsi="Cambria Math"/>
      <w:sz w:val="22"/>
    </w:rPr>
  </w:style>
  <w:style w:type="paragraph" w:customStyle="1" w:styleId="QuoteBox">
    <w:name w:val="QuoteBox"/>
    <w:pPr>
      <w:spacing w:before="120" w:after="120"/>
      <w:ind w:left="360" w:right="360"/>
    </w:pPr>
    <w:rPr>
      <w:rFonts w:ascii="Aptos" w:hAnsi="Aptos"/>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