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990"/>
        <w:gridCol w:w="6330"/>
        <w:tblGridChange w:id="0">
          <w:tblGrid>
            <w:gridCol w:w="2865"/>
            <w:gridCol w:w="990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Введение в компьютерное зрение и распознавание объектов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Кратко повторим основные темы по компьютерному зрению.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Рассмотрим задачу распознавания объектов.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Настроим рабочую среду (Ubuntu, OpenCV, sklearn, PyTorch, Keras, TensorFlow)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Простые методы анализа изображений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Сопоставление шаблонов.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Гистограмма изображения.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Бинаризация изображений.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Выделение объектов по цвету.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Поиск краев.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Калибровка камеры.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Практика. На реальных кейсах разберем примеры применения рассмотренных алгоритмов</w:t>
            </w:r>
          </w:p>
        </w:tc>
      </w:tr>
      <w:tr>
        <w:trPr>
          <w:cantSplit w:val="0"/>
          <w:trHeight w:val="221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Локальные особенности изображения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Детекторы углов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Детектор Харриса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Модели преобразования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Дескрипторы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SIFT and SURF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Гомография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RANSAC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Практика. Построение панорамы из видеопотока. Реализация алгоритма оценки движения и слежение за объектом.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Машинное обучение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Задача машинного обучения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Классификация изображений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Извлечение особенностей изображения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Кластеризация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и локализация объектов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Скользящее окно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Поиск лиц – метод Viola-Jones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Бустинг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Практика. Разработка системы распознавания лиц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Нейронные 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Понятие свертки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Классические нейронные сети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Сверточные нейронные сети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Популярные архитектуры нейронных сетей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Обучение нейронных сетей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Инструменты для разметки данных и сбора датасетов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Transfer learning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Создание собственной архитектуры нейронной сети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Практика. </w:t>
            </w:r>
            <w:r w:rsidDel="00000000" w:rsidR="00000000" w:rsidRPr="00000000">
              <w:rPr>
                <w:rtl w:val="0"/>
              </w:rPr>
              <w:t xml:space="preserve">Распознавание рукописных чисел сверточной нейросетью.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Практика. Поиск объектов на изображении и в видеопотоке.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Практика. Сегментация изображений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Практика. Трекинг объектов в видеопотоке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