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15C73" w14:textId="77777777" w:rsidR="00D26009" w:rsidRPr="00540B6F" w:rsidRDefault="00D26009" w:rsidP="00D26009">
      <w:pPr>
        <w:pStyle w:val="Heading1"/>
        <w:spacing w:line="480" w:lineRule="auto"/>
        <w:contextualSpacing/>
        <w:jc w:val="both"/>
        <w:rPr>
          <w:rFonts w:eastAsia="Times New Roman"/>
          <w:b/>
          <w:sz w:val="28"/>
          <w:szCs w:val="28"/>
        </w:rPr>
      </w:pPr>
      <w:r w:rsidRPr="00540B6F">
        <w:rPr>
          <w:rFonts w:eastAsia="Times New Roman"/>
          <w:b/>
          <w:sz w:val="28"/>
          <w:szCs w:val="28"/>
        </w:rPr>
        <w:t>Introduction</w:t>
      </w:r>
    </w:p>
    <w:p w14:paraId="3D947F98" w14:textId="77777777" w:rsidR="00D26009" w:rsidRDefault="00D26009" w:rsidP="00D26009">
      <w:pPr>
        <w:spacing w:line="480" w:lineRule="auto"/>
        <w:contextualSpacing/>
        <w:jc w:val="both"/>
        <w:rPr>
          <w:rFonts w:eastAsia="Times New Roman"/>
          <w:sz w:val="24"/>
          <w:szCs w:val="24"/>
        </w:rPr>
      </w:pPr>
      <w:r>
        <w:rPr>
          <w:rFonts w:eastAsia="Times New Roman"/>
          <w:sz w:val="24"/>
          <w:szCs w:val="24"/>
        </w:rPr>
        <w:t xml:space="preserve">Global warming and nutrient enrichment have contributed to a reduction in dissolved oxygen levels and the expansion of dead zones in coastal marine ecosystems worldwide </w:t>
      </w:r>
      <w:r>
        <w:rPr>
          <w:rFonts w:eastAsia="Times New Roman"/>
          <w:sz w:val="24"/>
          <w:szCs w:val="24"/>
        </w:rPr>
        <w:fldChar w:fldCharType="begin"/>
      </w:r>
      <w:r>
        <w:rPr>
          <w:rFonts w:eastAsia="Times New Roman"/>
          <w:sz w:val="24"/>
          <w:szCs w:val="24"/>
        </w:rPr>
        <w:instrText xml:space="preserve"> ADDIN ZOTERO_ITEM CSL_CITATION {"citationID":"n6TVq9el","properties":{"formattedCitation":"(Diaz, 2001; Breitburg, 2002; Diaz and Rosenberg, 2008; Carstensen {\\i{}et al.}, 2014)","plainCitation":"(Diaz, 2001; Breitburg, 2002; Diaz and Rosenberg, 2008; Carstensen et al., 2014)","noteIndex":0},"citationItems":[{"id":2602,"uris":["http://zotero.org/users/6116610/items/RT9CVLPI"],"uri":["http://zotero.org/users/6116610/items/RT9CVLPI"],"itemData":{"id":2602,"type":"article-journal","abstract":"No other environmental variable of such ecological importance to estuarine and coastal marine ecosystems around the world has changed so drastically, in such a short period of time, as dissolved oxygen. While hypoxic and anoxic environments have existed through geological time, their occurrence in shallow coastal and estuarine areas appears to be increasing, most likely accelerated by human activities. Several large systems, with historical data, that never reported hypoxia at the turn of the 19th century (e.g., Kattegat, the sea between Sweden and Denmark) now experience severe seasonal hypoxia. Synthesis of literature pertaining to benthic hypoxia and anoxia revealed that the oxygen budgets of many major coastal ecosystems have been adversely affected mainly through the process of eutrophication (the production of excess organic matter). It appears that many ecosystems that are now severely stressed by hypoxia may be near or at a threshold of change or collapse (loss of fisheries, loss of biodiversity, alteration of food webs).","container-title":"Journal of Environmental Quality","DOI":"https://doi.org/10.2134/jeq2001.302275x","ISSN":"1537-2537","issue":"2","language":"en","note":"_eprint: https://acsess.onlinelibrary.wiley.com/doi/pdf/10.2134/jeq2001.302275x","page":"275-281","source":"Wiley Online Library","title":"Overview of Hypoxia around the World","volume":"30","author":[{"family":"Diaz","given":"Robert J."}],"issued":{"date-parts":[["2001"]]}}},{"id":2579,"uris":["http://zotero.org/users/6116610/items/GDPVE4RR"],"uri":["http://zotero.org/users/6116610/items/GDPVE4RR"],"itemData":{"id":2579,"type":"article-journal","abstract":"A reduction in dissolved oxygen concentration is one of the most important direct effects of nutrient over-enrichment of coastal waters on fishes. Because hypoxia can cause mortality, reduced growth rates, and altered distributions and behaviors of fishes, as well as changes in the relative importance of organisms and pathways of carbon flow within food webs, hypoxia and anoxia can lead to large reductions in the abundance, diversity, and harvest of fishes within affected waters. Nutrient enrichment, however, typically increases prey abundance in more highly oxygenated surface waters and beyond the boundaries of the hypoxic zone. Because of this mosaic of high and low oxygen areas within a system, not only the actual oxygen concentration of bottom waters, but the spatial arrangement, predictability, and persistence of highly oxygenated, high productivity habitats, and the ability of fishes to locate and use those favorable habitats, will determine the ultimate effect of low oxygen on fish populations. Negative effects of hypoxia on fish, habitat, and food webs potentially make both fish populations and entire systems more susceptible to additional anthropogenic and natural stressors.","container-title":"Estuaries","DOI":"10.1007/BF02804904","ISSN":"0160-8347","issue":"4","journalAbbreviation":"Estuaries","language":"en","page":"767-781","source":"Springer Link","title":"Effects of hypoxia, and the balance between hypoxia and enrichment, on coastal fishes and fisheries","volume":"25","author":[{"family":"Breitburg","given":"Denise"}],"issued":{"date-parts":[["2002",8,1]]}}},{"id":2584,"uris":["http://zotero.org/users/6116610/items/PIQ2ES3F"],"uri":["http://zotero.org/users/6116610/items/PIQ2ES3F"],"itemData":{"id":2584,"type":"article-journal","abstract":"Dead zones in the coastal oceans have spread exponentially since the 1960s and have serious consequences for ecosystem functioning. The formation of dead zones has been exacerbated by the increase in primary production and consequent worldwide coastal eutrophication fueled by riverine runoff of fertilizers and the burning of fossil fuels. Enhanced primary production results in an accumulation of particulate organic matter, which encourages microbial activity and the consumption of dissolved oxygen in bottom waters. Dead zones have now been reported from more than 400 systems, affecting a total area of more than 245,000 square kilometers, and are probably a key stressor on marine ecosystems.","container-title":"Science","DOI":"10.1126/science.1156401","ISSN":"0036-8075, 1095-9203","issue":"5891","language":"en","note":"publisher: American Association for the Advancement of Science\nsection: Review\nPMID: 18703733","page":"926-929","source":"science.sciencemag.org","title":"Spreading Dead Zones and Consequences for Marine Ecosystems","volume":"321","author":[{"family":"Diaz","given":"Robert J."},{"family":"Rosenberg","given":"Rutger"}],"issued":{"date-parts":[["2008",8,15]]}}},{"id":2269,"uris":["http://zotero.org/users/6116610/items/A84IJ36F"],"uri":["http://zotero.org/users/6116610/items/A84IJ36F"],"itemData":{"id":2269,"type":"article-journal","abstract":"Deoxygenation is a global problem in coastal and open regions of the ocean, and has led to expanding areas of oxygen minimum zones and coastal hypoxia. The recent expansion of hypoxia in coastal ecosystems has been primarily attributed to global warming and enhanced nutrient input from land and atmosphere. The largest anthropogenically induced hypoxic area in the world is the Baltic Sea, where the relative importance of physical forcing versus eutrophication is still debated. We have analyzed water column oxygen and salinity profiles to reconstruct oxygen and stratification conditions over the last 115 y and compare the influence of both climate and anthropogenic forcing on hypoxia. We report a 10-fold increase of hypoxia in the Baltic Sea and show that this is primarily linked to increased inputs of nutrients from land, although increased respiration from higher temperatures during the last two decades has contributed to worsening oxygen conditions. Although shifts in climate and physical circulation are important factors modulating the extent of hypoxia, further nutrient reductions in the Baltic Sea will be necessary to reduce the ecosystems impacts of deoxygenation.","container-title":"Proceedings of the National Academy of Sciences","DOI":"10.1073/pnas.1323156111","ISSN":"0027-8424, 1091-6490","issue":"15","journalAbbreviation":"PNAS","language":"en","note":"publisher: National Academy of Sciences\nsection: Biological Sciences\nPMID: 24706804","page":"5628-5633","source":"www.pnas.org","title":"Deoxygenation of the Baltic Sea during the last century","volume":"111","author":[{"family":"Carstensen","given":"Jacob"},{"family":"Andersen","given":"Jesper H."},{"family":"Gustafsson","given":"Bo G."},{"family":"Conley","given":"Daniel J."}],"issued":{"date-parts":[["2014",4,15]]}}}],"schema":"https://github.com/citation-style-language/schema/raw/master/csl-citation.json"} </w:instrText>
      </w:r>
      <w:r>
        <w:rPr>
          <w:rFonts w:eastAsia="Times New Roman"/>
          <w:sz w:val="24"/>
          <w:szCs w:val="24"/>
        </w:rPr>
        <w:fldChar w:fldCharType="separate"/>
      </w:r>
      <w:r w:rsidRPr="00421EAD">
        <w:rPr>
          <w:sz w:val="24"/>
        </w:rPr>
        <w:t xml:space="preserve">(Diaz, 2001; Breitburg, 2002; Diaz and Rosenberg, 2008; Carstensen </w:t>
      </w:r>
      <w:r w:rsidRPr="00421EAD">
        <w:rPr>
          <w:i/>
          <w:iCs/>
          <w:sz w:val="24"/>
        </w:rPr>
        <w:t>et al.</w:t>
      </w:r>
      <w:r w:rsidRPr="00421EAD">
        <w:rPr>
          <w:sz w:val="24"/>
        </w:rPr>
        <w:t>, 2014)</w:t>
      </w:r>
      <w:r>
        <w:rPr>
          <w:rFonts w:eastAsia="Times New Roman"/>
          <w:sz w:val="24"/>
          <w:szCs w:val="24"/>
        </w:rPr>
        <w:fldChar w:fldCharType="end"/>
      </w:r>
      <w:r>
        <w:rPr>
          <w:rFonts w:eastAsia="Times New Roman"/>
          <w:sz w:val="24"/>
          <w:szCs w:val="24"/>
        </w:rPr>
        <w:t xml:space="preserve">. Extreme hypoxia (low dissolved oxygen) leads to a direct loss of fauna from increased mortality </w:t>
      </w:r>
      <w:r>
        <w:rPr>
          <w:rFonts w:eastAsia="Times New Roman"/>
          <w:sz w:val="24"/>
          <w:szCs w:val="24"/>
        </w:rPr>
        <w:fldChar w:fldCharType="begin"/>
      </w:r>
      <w:r>
        <w:rPr>
          <w:rFonts w:eastAsia="Times New Roman"/>
          <w:sz w:val="24"/>
          <w:szCs w:val="24"/>
        </w:rPr>
        <w:instrText xml:space="preserve"> ADDIN ZOTERO_ITEM CSL_CITATION {"citationID":"owYoW78n","properties":{"formattedCitation":"(Diaz and Rosenberg, 1995; Sampaio {\\i{}et al.}, 2021)","plainCitation":"(Diaz and Rosenberg, 1995; Sampaio et al., 2021)","noteIndex":0},"citationItems":[{"id":2605,"uris":["http://zotero.org/users/6116610/items/W5YF4B5J"],"uri":["http://zotero.org/users/6116610/items/W5YF4B5J"],"itemData":{"id":2605,"type":"article-journal","abstract":"In this review the effects of hypoxia on benthic fauna are summarized and detailed information is given on: the impact on community structure and function in fjords, estuaries, coastal and offshore areas; behavioural changes; recovery processes; ecosystem energy flow implications; tolerance in experimental studies. -from Authors","container-title":"Oceanogr. Mar. Biol. Annu. Rev.","journalAbbreviation":"Oceanogr. Mar. Biol. Annu. Rev.","source":"ResearchGate","title":"Marine benthic hypoxia: A review of its ecological effects and the behavioral responses of benthic macrofauna","title-short":"Marine benthic hypoxia","volume":"33","author":[{"family":"Diaz","given":"Robert"},{"family":"Rosenberg","given":"Rutger"}],"issued":{"date-parts":[["1995",1,1]]}}},{"id":2552,"uris":["http://zotero.org/users/6116610/items/EUE4GQN6"],"uri":["http://zotero.org/users/6116610/items/EUE4GQN6"],"itemData":{"id":2552,"type":"article-journal","abstract":"Over the past decades, three major challenges to marine life have emerged as a consequence of anthropogenic emissions: ocean warming, acidification and oxygen loss. While most experimental research has targeted the first two stressors, the last remains comparatively neglected. Here, we implemented sequential hierarchical mixed-model meta-analyses (721 control–treatment comparisons) to compare the impacts of oxygen conditions associated with the current and continuously intensifying hypoxic events (1–3.5 O2 mg l−1) with those experimentally yielded by ocean warming (+4 °C) and acidification (−0.4 units) conditions on the basis of IPCC projections (RCP 8.5) for 2100. In contrast to warming and acidification, hypoxic events elicited consistent negative effects relative to control biological performance—survival (–33%), abundance (–65%), development (–51%), metabolism (–33%), growth (–24%) and reproduction (–39%)—across the taxonomic groups (mollusks, crustaceans and fish), ontogenetic stages and climate regions studied. Our findings call for a refocus of global change experimental studies, integrating oxygen concentration drivers as a key factor of ocean change. Given potential combined effects, multistressor designs including gradual and extreme changes are further warranted to fully disclose the future impacts of ocean oxygen loss, warming and acidification.","container-title":"Nature Ecology &amp; Evolution","DOI":"10.1038/s41559-020-01370-3","ISSN":"2397-334X","language":"en","note":"publisher: Nature Publishing Group","page":"1-11","source":"www.nature.com","title":"Impacts of hypoxic events surpass those of future ocean warming and acidification","author":[{"family":"Sampaio","given":"Eduardo"},{"family":"Santos","given":"Catarina"},{"family":"Rosa","given":"Inês C."},{"family":"Ferreira","given":"Verónica"},{"family":"Pörtner","given":"Hans-Otto"},{"family":"Duarte","given":"Carlos M."},{"family":"Levin","given":"Lisa A."},{"family":"Rosa","given":"Rui"}],"issued":{"date-parts":[["2021",1,11]]}}}],"schema":"https://github.com/citation-style-language/schema/raw/master/csl-citation.json"} </w:instrText>
      </w:r>
      <w:r>
        <w:rPr>
          <w:rFonts w:eastAsia="Times New Roman"/>
          <w:sz w:val="24"/>
          <w:szCs w:val="24"/>
        </w:rPr>
        <w:fldChar w:fldCharType="separate"/>
      </w:r>
      <w:r w:rsidRPr="003474FE">
        <w:rPr>
          <w:sz w:val="24"/>
        </w:rPr>
        <w:t xml:space="preserve">(Diaz and Rosenberg, 1995; Sampaio </w:t>
      </w:r>
      <w:r w:rsidRPr="003474FE">
        <w:rPr>
          <w:i/>
          <w:iCs/>
          <w:sz w:val="24"/>
        </w:rPr>
        <w:t>et al.</w:t>
      </w:r>
      <w:r w:rsidRPr="003474FE">
        <w:rPr>
          <w:sz w:val="24"/>
        </w:rPr>
        <w:t>, 2021)</w:t>
      </w:r>
      <w:r>
        <w:rPr>
          <w:rFonts w:eastAsia="Times New Roman"/>
          <w:sz w:val="24"/>
          <w:szCs w:val="24"/>
        </w:rPr>
        <w:fldChar w:fldCharType="end"/>
      </w:r>
      <w:r>
        <w:rPr>
          <w:rFonts w:eastAsia="Times New Roman"/>
          <w:sz w:val="24"/>
          <w:szCs w:val="24"/>
        </w:rPr>
        <w:t xml:space="preserve">, and causes habitat compression, which forces organisms to occupy sub-optimal habitats and suffer effects of density dependence </w:t>
      </w:r>
      <w:r>
        <w:rPr>
          <w:rFonts w:eastAsia="Times New Roman"/>
          <w:sz w:val="24"/>
          <w:szCs w:val="24"/>
        </w:rPr>
        <w:fldChar w:fldCharType="begin"/>
      </w:r>
      <w:r>
        <w:rPr>
          <w:rFonts w:eastAsia="Times New Roman"/>
          <w:sz w:val="24"/>
          <w:szCs w:val="24"/>
        </w:rPr>
        <w:instrText xml:space="preserve"> ADDIN ZOTERO_ITEM CSL_CITATION {"citationID":"2Fn7npqI","properties":{"formattedCitation":"(Diaz and Rosenberg, 2008; Orio {\\i{}et al.}, 2019; Gogina {\\i{}et al.}, 2020)","plainCitation":"(Diaz and Rosenberg, 2008; Orio et al., 2019; Gogina et al., 2020)","noteIndex":0},"citationItems":[{"id":2584,"uris":["http://zotero.org/users/6116610/items/PIQ2ES3F"],"uri":["http://zotero.org/users/6116610/items/PIQ2ES3F"],"itemData":{"id":2584,"type":"article-journal","abstract":"Dead zones in the coastal oceans have spread exponentially since the 1960s and have serious consequences for ecosystem functioning. The formation of dead zones has been exacerbated by the increase in primary production and consequent worldwide coastal eutrophication fueled by riverine runoff of fertilizers and the burning of fossil fuels. Enhanced primary production results in an accumulation of particulate organic matter, which encourages microbial activity and the consumption of dissolved oxygen in bottom waters. Dead zones have now been reported from more than 400 systems, affecting a total area of more than 245,000 square kilometers, and are probably a key stressor on marine ecosystems.","container-title":"Science","DOI":"10.1126/science.1156401","ISSN":"0036-8075, 1095-9203","issue":"5891","language":"en","note":"publisher: American Association for the Advancement of Science\nsection: Review\nPMID: 18703733","page":"926-929","source":"science.sciencemag.org","title":"Spreading Dead Zones and Consequences for Marine Ecosystems","volume":"321","author":[{"family":"Diaz","given":"Robert J."},{"family":"Rosenberg","given":"Rutger"}],"issued":{"date-parts":[["2008",8,15]]}}},{"id":1946,"uris":["http://zotero.org/users/6116610/items/MR2VKVWS"],"uri":["http://zotero.org/users/6116610/items/MR2VKVWS"],"itemData":{"id":1946,"type":"article-journal","abstract":"Abstract Aim The interdependencies between trophic interactions, environmental factors and anthropogenic forcing determine how species distributions change over time. Large changes in species distributions have occurred as a result of climate change. The objective of this study was to analyse how the spatial distribution of cod and flounder has changed in the Baltic Sea during the past four decades characterized by large hydrological changes. Location Baltic Sea Taxon Cod (Gadus morhua) and flounder (Platichthys flesus). Methods Catch per unit of effort (CPUE) data for adult and juvenile cod and for adult flounder were modelled using Delta-Generalized additive models including environmental and geographical variables between 1979 and 2016. From the annual CPUE predictions for each species, yearly distribution maps and depth distribution curves were obtained. Mean depth and the depth range were estimated to provide an indication on preferred depth and habitat occupancy. Results Adult and juvenile cod showed a contraction in their distribution in the southern areas of the Baltic Sea. Flounder, instead, showed an expansion in its distribution with an increase in abundance in the northern areas. The depth distributions showed a progressive shift of the mean depth of occurrence towards shallower waters for adult cod and flounder and towards deeper waters for juvenile cod, as well as a contraction of the species depth ranges, evident mainly from the late 1980s. Main conclusions Our study illustrates large changes in the spatial distribution of cod and flounder in the Baltic Sea. The changes in depth distribution occurred from the late 1980s are probably due to a combination of expanded areas of hypoxia in deep waters and an increase in predation risk in shallow waters. The net effect of these changes is an increased spatial overlap between life stages and species, which may amplify cod cannibalism and the interaction strength between cod and flounder.","container-title":"Journal of Biogeography","DOI":"10.1111/jbi.13510","ISSN":"0305-0270","issue":"3","journalAbbreviation":"Journal of Biogeography","note":"publisher: John Wiley &amp; Sons, Ltd","page":"633-645","source":"onlinelibrary.wiley.com (Atypon)","title":"Spatial contraction of demersal fish populations in a large marine ecosystem","volume":"46","author":[{"family":"Orio","given":"Alessandro"},{"family":"Bergström","given":"Ulf"},{"family":"Florin","given":"Ann-Britt"},{"family":"Lehmann","given":"Andreas"},{"family":"Šics","given":"Ivo"},{"family":"Casini","given":"Michele"}],"issued":{"date-parts":[["2019",3,1]]}}},{"id":2353,"uris":["http://zotero.org/users/6116610/items/E2I6JQ83"],"uri":["http://zotero.org/users/6116610/items/E2I6JQ83"],"itemData":{"id":2353,"type":"article-journal","abstract":"Abstract.  Species in the brackish and estuarine ecosystems will experience multiple changes in hydrographic variables due to ongoing climate change and nutrien","container-title":"ICES Journal of Marine Science","DOI":"10.1093/icesjms/fsaa107","issue":"6","journalAbbreviation":"ICES J Mar Sci","language":"en","page":"2089-2105","source":"academic.oup.com","title":"A combination of species distribution and ocean-biogeochemical models suggests that climate change overrides eutrophication as the driver of future distributions of a key benthic crustacean in the estuarine ecosystem of the Baltic Sea","volume":"77","author":[{"family":"Gogina","given":"Mayya"},{"family":"Zettler","given":"Michael L."},{"family":"Wåhlström","given":"Irene"},{"family":"Andersson","given":"Helén"},{"family":"Radtke","given":"Hagen"},{"family":"Kuznetsov","given":"Ivan"},{"family":"MacKenzie","given":"Brian R."}],"issued":{"date-parts":[["2020"]]}}}],"schema":"https://github.com/citation-style-language/schema/raw/master/csl-citation.json"} </w:instrText>
      </w:r>
      <w:r>
        <w:rPr>
          <w:rFonts w:eastAsia="Times New Roman"/>
          <w:sz w:val="24"/>
          <w:szCs w:val="24"/>
        </w:rPr>
        <w:fldChar w:fldCharType="separate"/>
      </w:r>
      <w:r w:rsidRPr="00EA47E4">
        <w:rPr>
          <w:sz w:val="24"/>
        </w:rPr>
        <w:t xml:space="preserve">(Diaz and Rosenberg, 2008; Orio </w:t>
      </w:r>
      <w:r w:rsidRPr="00EA47E4">
        <w:rPr>
          <w:i/>
          <w:iCs/>
          <w:sz w:val="24"/>
        </w:rPr>
        <w:t>et al.</w:t>
      </w:r>
      <w:r w:rsidRPr="00EA47E4">
        <w:rPr>
          <w:sz w:val="24"/>
        </w:rPr>
        <w:t xml:space="preserve">, 2019; Gogina </w:t>
      </w:r>
      <w:r w:rsidRPr="00EA47E4">
        <w:rPr>
          <w:i/>
          <w:iCs/>
          <w:sz w:val="24"/>
        </w:rPr>
        <w:t>et al.</w:t>
      </w:r>
      <w:r w:rsidRPr="00EA47E4">
        <w:rPr>
          <w:sz w:val="24"/>
        </w:rPr>
        <w:t>, 2020)</w:t>
      </w:r>
      <w:r>
        <w:rPr>
          <w:rFonts w:eastAsia="Times New Roman"/>
          <w:sz w:val="24"/>
          <w:szCs w:val="24"/>
        </w:rPr>
        <w:fldChar w:fldCharType="end"/>
      </w:r>
      <w:r>
        <w:rPr>
          <w:rFonts w:eastAsia="Times New Roman"/>
          <w:sz w:val="24"/>
          <w:szCs w:val="24"/>
        </w:rPr>
        <w:t xml:space="preserve">. Even milder hypoxia can alter individual physiology by imposing metabolic constraints on organisms </w:t>
      </w:r>
      <w:r>
        <w:rPr>
          <w:rFonts w:eastAsia="Times New Roman"/>
          <w:sz w:val="24"/>
          <w:szCs w:val="24"/>
        </w:rPr>
        <w:fldChar w:fldCharType="begin"/>
      </w:r>
      <w:r>
        <w:rPr>
          <w:rFonts w:eastAsia="Times New Roman"/>
          <w:sz w:val="24"/>
          <w:szCs w:val="24"/>
        </w:rPr>
        <w:instrText xml:space="preserve"> ADDIN ZOTERO_ITEM CSL_CITATION {"citationID":"TPlbav8D","properties":{"formattedCitation":"(Kramer, 1987; Chabot and Dutil, 1999; Claireaux {\\i{}et al.}, 2000; Hrycik {\\i{}et al.}, 2017; Sampaio {\\i{}et al.}, 2021)","plainCitation":"(Kramer, 1987; Chabot and Dutil, 1999; Claireaux et al., 2000; Hrycik et al., 2017; Sampaio et al., 2021)","noteIndex":0},"citationItems":[{"id":2610,"uris":["http://zotero.org/users/6116610/items/JEY5JWA2"],"uri":["http://zotero.org/users/6116610/items/JEY5JWA2"],"itemData":{"id":2610,"type":"article-journal","abstract":"This essay reviews the behavioral responses of fish to reduced levels of dissolved oxygen from the perspective of optimization theory as used in contemporary behavioral ecology. A consideration of oxygen as a resource suggests that net oxygen gain per unit of energy expenditure will be the most useful currency for ecological models of breathing. In the process of oxygen uptake, fish always expend energy on perfusion, usually on ventilation and often on locomotion. These costs, and the risk of predation, will vary with oxygen availability and the type of behavioral response shown. The principal categories of behavioral response to reduced external availability of dissolved oxygen are (1) changes in activity, (2) increased use of air breathing, (3) increased use of aquatic surface respiration, and (4) vertical or horizontal habitat changes. Fish should choose whichever combination of responses minimizes the costs of meeting their oxygen demands. A small number of studies provides qualitative support for this prediction.","container-title":"Environmental Biology of Fishes","DOI":"10.1007/BF00002597","ISSN":"1573-5133","issue":"2","journalAbbreviation":"Environ Biol Fish","language":"en","page":"81-92","source":"Springer Link","title":"Dissolved oxygen and fish behavior","volume":"18","author":[{"family":"Kramer","given":"Donald L."}],"issued":{"date-parts":[["1987",2,1]]}}},{"id":2408,"uris":["http://zotero.org/users/6116610/items/D8NXZIXU"],"uri":["http://zotero.org/users/6116610/items/D8NXZIXU"],"itemData":{"id":2408,"type":"article-journal","abstract":"Growth in length and mass, improvements in condition, as well as final condition of c. 700 g Atlantic cod Gadus morhua were significantly less at 45% and 56% O2 saturation than at 65%, 75%, 84% and 93% O2 saturation. Hypoxia decreased food consumption. In turn, food consumption explained 97% of the variation in growth. Conversion efficiency varied slightly, but significantly, with level of dissolved O2, except that the group reared at 93% O2 had a lower than expected conversion efficiency. Slow growth in low O2 was not due to increased activity, because activity decreased in hypoxia. In the Gulf of St Lawrence, waters deeper than 200 m usually are &lt;65% saturated in O2, and thus should impact negatively on cod growth.","container-title":"Journal of Fish Biology","DOI":"https://doi.org/10.1111/j.1095-8649.1999.tb00693.x","ISSN":"1095-8649","issue":"3","language":"en","note":"_eprint: https://onlinelibrary.wiley.com/doi/pdf/10.1111/j.1095-8649.1999.tb00693.x","page":"472-491","source":"Wiley Online Library","title":"Reduced growth of Atlantic cod in non-lethal hypoxic conditions","volume":"55","author":[{"family":"Chabot","given":"D."},{"family":"Dutil","given":"J.-D."}],"issued":{"date-parts":[["1999"]]}}},{"id":2595,"uris":["http://zotero.org/users/6116610/items/36PNZYP5"],"uri":["http://zotero.org/users/6116610/items/36PNZYP5"],"itemData":{"id":2595,"type":"article-journal","abstract":"Environmental influences (temperature and oxygenation) on cod metabolism and their impact on the ecology of this species were investigated. Limiting oxygen concentration curves (O2 level ranging between 15 and 100% air saturation) were established at 2, 5 and 10°C. The standard metabolic rate (SMR), the maximum metabolic rate and the metabolic scope were then modelled as functions of temperature and/or oxygen saturation. The mean SMR at 2, 5 and 10°C were 19.8±4.9, 30.8±6.1 and 54.3±4.1mg O2h−1kg−1, respectively. Between 2 and 5°C, the active metabolic rate of cod almost doubled from 65 to 120mg O2h−1kg−1, to reach 177mg O2h−1kg−1 at 10°C. In terms of metabolic scope (MS), the temperature rise from 2 to 5°C resulted in a two-fold increase from 45 to 89mg O2h−1kg−1, with MS reaching 123mg O2h−1kg−1 at 10°C. Our proposed model describing the impact of temperature and oxygen level provides new insight into the energetic interactions which govern the relationship between Atlantic cod and its environment. We re-examined published experimental and field studies from the angle of the regulation of metabolic power. We suggest that, when faced with heterogeneous or unstable hydrological conditions, cod tend to behaviourally maximise their metabolic scope. Through this adaptive response, fish reduce energy budgeting conflicts and presumably increase the probability of routinely operating away from lethal boundaries.","container-title":"Journal of Sea Research","DOI":"10.1016/S1385-1101(00)00053-8","ISSN":"1385-1101","issue":"3","journalAbbreviation":"Journal of Sea Research","language":"en","page":"257-265","source":"ScienceDirect","title":"Influence of water temperature and oxygenation on the aerobic metabolic scope of Atlantic cod (Gadus morhua)","volume":"44","author":[{"family":"Claireaux","given":"G."},{"family":"Webber","given":"D. M."},{"family":"Lagardère","given":"J. -P."},{"family":"Kerr","given":"S. R."}],"issued":{"date-parts":[["2000",12,1]]}}},{"id":2617,"uris":["http://zotero.org/users/6116610/items/XQ4QDTA7"],"uri":["http://zotero.org/users/6116610/items/XQ4QDTA7"],"itemData":{"id":2617,"type":"article-journal","abstract":"Hypoxia (low dissolved oxygen) is a mounting concern for aquatic ecosystems as its prevalence increases with rising anthropogenic nutrient inputs. Hypoxia is most commonly defined as 2.0 mg l–1 of dissolved oxygen, although this level varies widely across studies and agency regulations. Such definitions may be too conservative, as ecologically-relevant non-lethal effects (e.g. consumption and growth) of hypoxia on important aquatic species, such as fish, often occur at oxygen levels much higher than 2.0 mg l–1. In addition, many mechanisms that regulate hypoxia tolerance in fish have been proposed, including temperature, habitat, location in the water column, and body size, but there is ongoing debate over which mechanisms are most important. Using a structured meta-analysis of published studies, we showed consistent, significant negative effects on fish growth and consumption below 4.5 mg l–1. While the total amount of variation explained was generally low, below 4.5 mg l–1 of dissolved oxygen, phylogenetic relationships accounted for most of the explained variation in fish growth. Ecological factors including body size, location in the water column (pelagic, demersal, or benthopelagic), habitat (freshwater, marine, or diadromous), and temperature explained very little of the effect of hypoxia on fish growth and explained only a moderate level of variation in consumption. Our results suggest a dramatically higher threshold for sub-lethal effects of hypoxia on fish than oxygen levels generally set for regulation purposes, and provide little support for accepted ecological mechanisms thought to influence hypoxia tolerance.","container-title":"Oikos","DOI":"https://doi.org/10.1111/oik.03678","ISSN":"1600-0706","issue":"3","language":"en","note":"_eprint: https://onlinelibrary.wiley.com/doi/pdf/10.1111/oik.03678","page":"307-317","source":"Wiley Online Library","title":"Sub-lethal effects on fish provide insight into a biologically-relevant threshold of hypoxia","volume":"126","author":[{"family":"Hrycik","given":"Allison R."},{"family":"Almeida","given":"L. Zoe"},{"family":"Höök","given":"Tomas O."}],"issued":{"date-parts":[["2017"]]}}},{"id":2552,"uris":["http://zotero.org/users/6116610/items/EUE4GQN6"],"uri":["http://zotero.org/users/6116610/items/EUE4GQN6"],"itemData":{"id":2552,"type":"article-journal","abstract":"Over the past decades, three major challenges to marine life have emerged as a consequence of anthropogenic emissions: ocean warming, acidification and oxygen loss. While most experimental research has targeted the first two stressors, the last remains comparatively neglected. Here, we implemented sequential hierarchical mixed-model meta-analyses (721 control–treatment comparisons) to compare the impacts of oxygen conditions associated with the current and continuously intensifying hypoxic events (1–3.5 O2 mg l−1) with those experimentally yielded by ocean warming (+4 °C) and acidification (−0.4 units) conditions on the basis of IPCC projections (RCP 8.5) for 2100. In contrast to warming and acidification, hypoxic events elicited consistent negative effects relative to control biological performance—survival (–33%), abundance (–65%), development (–51%), metabolism (–33%), growth (–24%) and reproduction (–39%)—across the taxonomic groups (mollusks, crustaceans and fish), ontogenetic stages and climate regions studied. Our findings call for a refocus of global change experimental studies, integrating oxygen concentration drivers as a key factor of ocean change. Given potential combined effects, multistressor designs including gradual and extreme changes are further warranted to fully disclose the future impacts of ocean oxygen loss, warming and acidification.","container-title":"Nature Ecology &amp; Evolution","DOI":"10.1038/s41559-020-01370-3","ISSN":"2397-334X","language":"en","note":"publisher: Nature Publishing Group","page":"1-11","source":"www.nature.com","title":"Impacts of hypoxic events surpass those of future ocean warming and acidification","author":[{"family":"Sampaio","given":"Eduardo"},{"family":"Santos","given":"Catarina"},{"family":"Rosa","given":"Inês C."},{"family":"Ferreira","given":"Verónica"},{"family":"Pörtner","given":"Hans-Otto"},{"family":"Duarte","given":"Carlos M."},{"family":"Levin","given":"Lisa A."},{"family":"Rosa","given":"Rui"}],"issued":{"date-parts":[["2021",1,11]]}}}],"schema":"https://github.com/citation-style-language/schema/raw/master/csl-citation.json"} </w:instrText>
      </w:r>
      <w:r>
        <w:rPr>
          <w:rFonts w:eastAsia="Times New Roman"/>
          <w:sz w:val="24"/>
          <w:szCs w:val="24"/>
        </w:rPr>
        <w:fldChar w:fldCharType="separate"/>
      </w:r>
      <w:r w:rsidRPr="004F745A">
        <w:rPr>
          <w:sz w:val="24"/>
        </w:rPr>
        <w:t xml:space="preserve">(Kramer, 1987; Chabot and Dutil, 1999; Claireaux </w:t>
      </w:r>
      <w:r w:rsidRPr="004F745A">
        <w:rPr>
          <w:i/>
          <w:iCs/>
          <w:sz w:val="24"/>
        </w:rPr>
        <w:t>et al.</w:t>
      </w:r>
      <w:r w:rsidRPr="004F745A">
        <w:rPr>
          <w:sz w:val="24"/>
        </w:rPr>
        <w:t xml:space="preserve">, 2000; Hrycik </w:t>
      </w:r>
      <w:r w:rsidRPr="004F745A">
        <w:rPr>
          <w:i/>
          <w:iCs/>
          <w:sz w:val="24"/>
        </w:rPr>
        <w:t>et al.</w:t>
      </w:r>
      <w:r w:rsidRPr="004F745A">
        <w:rPr>
          <w:sz w:val="24"/>
        </w:rPr>
        <w:t xml:space="preserve">, 2017; Sampaio </w:t>
      </w:r>
      <w:r w:rsidRPr="004F745A">
        <w:rPr>
          <w:i/>
          <w:iCs/>
          <w:sz w:val="24"/>
        </w:rPr>
        <w:t>et al.</w:t>
      </w:r>
      <w:r w:rsidRPr="004F745A">
        <w:rPr>
          <w:sz w:val="24"/>
        </w:rPr>
        <w:t>, 2021)</w:t>
      </w:r>
      <w:r>
        <w:rPr>
          <w:rFonts w:eastAsia="Times New Roman"/>
          <w:sz w:val="24"/>
          <w:szCs w:val="24"/>
        </w:rPr>
        <w:fldChar w:fldCharType="end"/>
      </w:r>
      <w:r>
        <w:rPr>
          <w:rFonts w:eastAsia="Times New Roman"/>
          <w:sz w:val="24"/>
          <w:szCs w:val="24"/>
        </w:rPr>
        <w:t>. Hence, it is critical to understand the impacts of global deoxygenation on the fitness of aquatic organisms.</w:t>
      </w:r>
    </w:p>
    <w:p w14:paraId="04EFBF91" w14:textId="77777777" w:rsidR="00D26009" w:rsidRDefault="00D26009" w:rsidP="00D26009">
      <w:pPr>
        <w:spacing w:line="480" w:lineRule="auto"/>
        <w:ind w:firstLine="284"/>
        <w:contextualSpacing/>
        <w:jc w:val="both"/>
        <w:rPr>
          <w:rFonts w:eastAsia="Times New Roman"/>
          <w:sz w:val="24"/>
          <w:szCs w:val="24"/>
        </w:rPr>
      </w:pPr>
      <w:r>
        <w:rPr>
          <w:rFonts w:eastAsia="Times New Roman"/>
          <w:sz w:val="24"/>
          <w:szCs w:val="24"/>
        </w:rPr>
        <w:t>Experimental studies show that fishes lower their food intake rates during hypoxic conditions. This is likely to avoid overshooting the oxygen budget when processing food, which can lead to</w:t>
      </w:r>
      <w:r w:rsidRPr="00CD7924">
        <w:rPr>
          <w:rFonts w:eastAsia="Times New Roman"/>
          <w:sz w:val="24"/>
          <w:szCs w:val="24"/>
        </w:rPr>
        <w:t xml:space="preserve"> </w:t>
      </w:r>
      <w:r>
        <w:rPr>
          <w:rFonts w:eastAsia="Times New Roman"/>
          <w:sz w:val="24"/>
          <w:szCs w:val="24"/>
        </w:rPr>
        <w:t xml:space="preserve">declines in growth rates </w:t>
      </w:r>
      <w:r>
        <w:rPr>
          <w:rFonts w:eastAsia="Times New Roman"/>
          <w:sz w:val="24"/>
          <w:szCs w:val="24"/>
        </w:rPr>
        <w:fldChar w:fldCharType="begin"/>
      </w:r>
      <w:r>
        <w:rPr>
          <w:rFonts w:eastAsia="Times New Roman"/>
          <w:sz w:val="24"/>
          <w:szCs w:val="24"/>
        </w:rPr>
        <w:instrText xml:space="preserve"> ADDIN ZOTERO_ITEM CSL_CITATION {"citationID":"XSXMjw2F","properties":{"formattedCitation":"(Chabot and Dutil, 1999; Thetmeyer {\\i{}et al.}, 1999; Pichavant {\\i{}et al.}, 2001)","plainCitation":"(Chabot and Dutil, 1999; Thetmeyer et al., 1999; Pichavant et al., 2001)","noteIndex":0},"citationItems":[{"id":2408,"uris":["http://zotero.org/users/6116610/items/D8NXZIXU"],"uri":["http://zotero.org/users/6116610/items/D8NXZIXU"],"itemData":{"id":2408,"type":"article-journal","abstract":"Growth in length and mass, improvements in condition, as well as final condition of c. 700 g Atlantic cod Gadus morhua were significantly less at 45% and 56% O2 saturation than at 65%, 75%, 84% and 93% O2 saturation. Hypoxia decreased food consumption. In turn, food consumption explained 97% of the variation in growth. Conversion efficiency varied slightly, but significantly, with level of dissolved O2, except that the group reared at 93% O2 had a lower than expected conversion efficiency. Slow growth in low O2 was not due to increased activity, because activity decreased in hypoxia. In the Gulf of St Lawrence, waters deeper than 200 m usually are &lt;65% saturated in O2, and thus should impact negatively on cod growth.","container-title":"Journal of Fish Biology","DOI":"https://doi.org/10.1111/j.1095-8649.1999.tb00693.x","ISSN":"1095-8649","issue":"3","language":"en","note":"_eprint: https://onlinelibrary.wiley.com/doi/pdf/10.1111/j.1095-8649.1999.tb00693.x","page":"472-491","source":"Wiley Online Library","title":"Reduced growth of Atlantic cod in non-lethal hypoxic conditions","volume":"55","author":[{"family":"Chabot","given":"D."},{"family":"Dutil","given":"J.-D."}],"issued":{"date-parts":[["1999"]]}}},{"id":2615,"uris":["http://zotero.org/users/6116610/items/JRMQHQ48"],"uri":["http://zotero.org/users/6116610/items/JRMQHQ48"],"itemData":{"id":2615,"type":"article-journal","abstract":"Effects of moderate hypoxia and oscillating oxygen conditions on growth of European sea bass (Dicentrarchus labrax L.) were investigated. Groups of four to six sea bass (initial weights 40–90 g) were exposed to one of three oxygen regimes (40% air saturation; oscillations between 40–86% with a period of 770 min; 86% as a control) at 22°C and a salinity of 37 for 1 month. All fish survived and gained weight, but relative to the controls, the sea bass exposed to hypoxic conditions consumed significantly less food, exhibited a reduced growth, and had a lower condition factor. Oscillating groups were intermediate, and not statistically distinguishable from either normoxic or hypoxic treatments. Feed conversion efficiency and variation in body size were not significantly affected by oxygen conditions. Growth was correlated with feed intake, suggesting that reduced growth under moderate hypoxic or oscillating oxygen conditions is primarily due to reduced appetite and not a consequence of a decrease in feed conversion efficiency.","container-title":"Aquaculture","DOI":"10.1016/S0044-8486(99)00028-9","ISSN":"0044-8486","issue":"3","journalAbbreviation":"Aquaculture","language":"en","page":"355-367","source":"ScienceDirect","title":"Growth of European sea bass (Dicentrarchus labrax L.) under hypoxic and oscillating oxygen conditions","volume":"174","author":[{"family":"Thetmeyer","given":"Helmut"},{"family":"Waller","given":"Uwe"},{"family":"Black","given":"Kenneth D"},{"family":"Inselmann","given":"Stefan"},{"family":"Rosenthal","given":"Harald"}],"issued":{"date-parts":[["1999",4,20]]}}},{"id":2612,"uris":["http://zotero.org/users/6116610/items/YEXMPR4E"],"uri":["http://zotero.org/users/6116610/items/YEXMPR4E"],"itemData":{"id":2612,"type":"article-journal","abstract":"When juvenile turbot Scophthalmus maximus and sea bass Dicentrarchus labrax were fed to satiation, growth and food intake were depressed under hypoxia (3·2±0·3 and 4·5±0·2 mg O2 l-1). However, no significant difference in growth was observed between fishes maintained in hypoxia and fed to satiation and fishes reared in normoxia (7·4±0·3 mg O2 l-1) and fed restricted rations (same food intake of fishes at 3·2 mg O2 l-1). Routine oxygen consumption of fishes fed to satiation was higher in normoxia than in hypoxia due to the decrease in food intake in the latter. Of the physiological parameters measured, no significant changes were observed in the two species maintained in hypoxia. This study confirms the significant interaction between environmental oxygen concentrations, feeding and growth in fishes. Decrease in food intake could be an indirect mechanism by which prolonged hypoxia reduces growth in turbot and sea bass, and may be a way to reduce energy and thus oxygen demand.","container-title":"Journal of Fish Biology","DOI":"https://doi.org/10.1111/j.1095-8649.2001.tb00158.x","ISSN":"1095-8649","issue":"4","language":"en","note":"_eprint: https://onlinelibrary.wiley.com/doi/pdf/10.1111/j.1095-8649.2001.tb00158.x","page":"875-883","source":"Wiley Online Library","title":"Comparative effects of long-term hypoxia on growth, feeding and oxygen consumption in juvenile turbot and European sea bass","volume":"59","author":[{"family":"Pichavant","given":"K."},{"family":"Person‐Le‐Ruyet","given":"J."},{"family":"Bayon","given":"N. Le"},{"family":"Severe","given":"A."},{"family":"Roux","given":"A. Le"},{"family":"Boeuf","given":"G."}],"issued":{"date-parts":[["2001"]]}}}],"schema":"https://github.com/citation-style-language/schema/raw/master/csl-citation.json"} </w:instrText>
      </w:r>
      <w:r>
        <w:rPr>
          <w:rFonts w:eastAsia="Times New Roman"/>
          <w:sz w:val="24"/>
          <w:szCs w:val="24"/>
        </w:rPr>
        <w:fldChar w:fldCharType="separate"/>
      </w:r>
      <w:r w:rsidRPr="009E74DB">
        <w:rPr>
          <w:sz w:val="24"/>
        </w:rPr>
        <w:t xml:space="preserve">(Chabot and Dutil, 1999; Thetmeyer </w:t>
      </w:r>
      <w:r w:rsidRPr="009E74DB">
        <w:rPr>
          <w:i/>
          <w:iCs/>
          <w:sz w:val="24"/>
        </w:rPr>
        <w:t>et al.</w:t>
      </w:r>
      <w:r w:rsidRPr="009E74DB">
        <w:rPr>
          <w:sz w:val="24"/>
        </w:rPr>
        <w:t xml:space="preserve">, 1999; Pichavant </w:t>
      </w:r>
      <w:r w:rsidRPr="009E74DB">
        <w:rPr>
          <w:i/>
          <w:iCs/>
          <w:sz w:val="24"/>
        </w:rPr>
        <w:t>et al.</w:t>
      </w:r>
      <w:r w:rsidRPr="009E74DB">
        <w:rPr>
          <w:sz w:val="24"/>
        </w:rPr>
        <w:t>, 2001)</w:t>
      </w:r>
      <w:r>
        <w:rPr>
          <w:rFonts w:eastAsia="Times New Roman"/>
          <w:sz w:val="24"/>
          <w:szCs w:val="24"/>
        </w:rPr>
        <w:fldChar w:fldCharType="end"/>
      </w:r>
      <w:r>
        <w:rPr>
          <w:rFonts w:eastAsia="Times New Roman"/>
          <w:sz w:val="24"/>
          <w:szCs w:val="24"/>
        </w:rPr>
        <w:t xml:space="preserve"> and body condition. The body condition describes the </w:t>
      </w:r>
      <w:r w:rsidRPr="00F2588D">
        <w:rPr>
          <w:rFonts w:eastAsia="Times New Roman"/>
          <w:sz w:val="24"/>
          <w:szCs w:val="24"/>
        </w:rPr>
        <w:t>“plumpness” of</w:t>
      </w:r>
      <w:r>
        <w:rPr>
          <w:rFonts w:eastAsia="Times New Roman"/>
          <w:sz w:val="24"/>
          <w:szCs w:val="24"/>
        </w:rPr>
        <w:t xml:space="preserve"> an</w:t>
      </w:r>
      <w:r w:rsidRPr="00F2588D">
        <w:rPr>
          <w:rFonts w:eastAsia="Times New Roman"/>
          <w:sz w:val="24"/>
          <w:szCs w:val="24"/>
        </w:rPr>
        <w:t xml:space="preserve"> </w:t>
      </w:r>
      <w:r>
        <w:rPr>
          <w:rFonts w:eastAsia="Times New Roman"/>
          <w:sz w:val="24"/>
          <w:szCs w:val="24"/>
        </w:rPr>
        <w:t xml:space="preserve">individual and reflects </w:t>
      </w:r>
      <w:r w:rsidRPr="00F2588D">
        <w:rPr>
          <w:rFonts w:eastAsia="Times New Roman"/>
          <w:sz w:val="24"/>
          <w:szCs w:val="24"/>
        </w:rPr>
        <w:t>accumulated energy reserves</w:t>
      </w:r>
      <w:r>
        <w:rPr>
          <w:rFonts w:eastAsia="Times New Roman"/>
          <w:sz w:val="24"/>
          <w:szCs w:val="24"/>
        </w:rPr>
        <w:t xml:space="preserve"> </w:t>
      </w:r>
      <w:r w:rsidRPr="00F2588D">
        <w:rPr>
          <w:rFonts w:eastAsia="Times New Roman"/>
          <w:sz w:val="24"/>
          <w:szCs w:val="24"/>
        </w:rPr>
        <w:fldChar w:fldCharType="begin"/>
      </w:r>
      <w:r w:rsidRPr="00F2588D">
        <w:rPr>
          <w:rFonts w:eastAsia="Times New Roman"/>
          <w:sz w:val="24"/>
          <w:szCs w:val="24"/>
        </w:rPr>
        <w:instrText xml:space="preserve"> ADDIN ZOTERO_ITEM CSL_CITATION {"citationID":"zdaXd9qL","properties":{"formattedCitation":"(Beverton and Holt, 1957; Ricker, 1975; Nash {\\i{}et al.}, 2006)","plainCitation":"(Beverton and Holt, 1957; Ricker, 1975; Nash et al., 2006)","noteIndex":0},"citationItems":[{"id":894,"uris":["http://zotero.org/users/6116610/items/KSR79S2Q"],"uri":["http://zotero.org/users/6116610/items/KSR79S2Q"],"itemData":{"id":894,"type":"book","abstract":"Among the fishes, a remarkably wide range of biological adaptations to diverse habitats has evolved. As well as living in the conventional habitats of lakes, ponds, rivers, rock pools and the open sea, fish have solved the problems of life in deserts, in the deep sea, in the cold antarctic, and in warm waters of high alkalinity or of low oxygen. Along with these adaptations, we find the most impressive specializations of morphology, physiology and behaviour. For example we can marvel at the high-speed swimming of the marlins, sailfish and warm-blooded tunas, air-breathing in catfish and lungfish, parental care in the mouth-brooding cichlids, and viviparity in many sharks and toothcarps. Moreover, fish are of considerable importance to the survival of the human species in the form of nutritious, delicious and diverse food. Rational exploitation and management of our global stocks of fishes must rely upon a detailed and precise insight of their biology. The Chapman &amp; Hall Fish and Fisheries Series aims to present timely volumes reviewing important aspects of fish biology. Most volumes will be of interest to research workers in biology, zoology, ecology and physiology but an additional aim is for the books to be accessible to a wide spectrum of non-specialist readers ranging from undergraduates and postgraduates to those with an interest in industrial and commercial aspects of fish and fisheries.","language":"en","publisher":"Fishery Investigations London Series 2, Volume 19.","title":"On the Dynamics of Exploited Fish Populations","author":[{"family":"Beverton","given":"Raymond J. H."},{"family":"Holt","given":"Sidney J."}],"issued":{"date-parts":[["1957"]]}}},{"id":31,"uris":["http://zotero.org/users/6116610/items/92KZYTNF"],"uri":["http://zotero.org/users/6116610/items/92KZYTNF"],"itemData":{"id":31,"type":"article-journal","container-title":"Bulletin of the Fisheries Research Board of Canada","DOI":"10.2307/3800109","ISSN":"0022541X","language":"en","page":"1-382","source":"Crossref","title":"Computation and interpretation of biological statistics of fish populations","volume":"191","author":[{"family":"Ricker","given":"W. E."}],"issued":{"date-parts":[["1975"]]}}},{"id":2195,"uris":["http://zotero.org/users/6116610/items/9ZYSPDCR"],"uri":["http://zotero.org/users/6116610/items/9ZYSPDCR"],"itemData":{"id":2195,"type":"article-journal","container-title":"Fisheries","issue":"5","language":"en","page":"236-238","title":"The origin of fulton's condition factor : Setting the record straight","title-short":"The origin of fulton's condition factor","volume":"31","author":[{"family":"Nash","given":"R."},{"family":"Valencia","given":"Antonio"},{"family":"Geffen","given":"A."}],"issued":{"date-parts":[["2006"]]}}}],"schema":"https://github.com/citation-style-language/schema/raw/master/csl-citation.json"} </w:instrText>
      </w:r>
      <w:r w:rsidRPr="00F2588D">
        <w:rPr>
          <w:rFonts w:eastAsia="Times New Roman"/>
          <w:sz w:val="24"/>
          <w:szCs w:val="24"/>
        </w:rPr>
        <w:fldChar w:fldCharType="separate"/>
      </w:r>
      <w:r w:rsidRPr="00F2588D">
        <w:rPr>
          <w:sz w:val="24"/>
          <w:szCs w:val="24"/>
        </w:rPr>
        <w:t xml:space="preserve">(Beverton and Holt, 1957; Ricker, 1975; Nash </w:t>
      </w:r>
      <w:r w:rsidRPr="00F2588D">
        <w:rPr>
          <w:i/>
          <w:iCs/>
          <w:sz w:val="24"/>
          <w:szCs w:val="24"/>
        </w:rPr>
        <w:t>et al.</w:t>
      </w:r>
      <w:r w:rsidRPr="00F2588D">
        <w:rPr>
          <w:sz w:val="24"/>
          <w:szCs w:val="24"/>
        </w:rPr>
        <w:t>, 2006)</w:t>
      </w:r>
      <w:r w:rsidRPr="00F2588D">
        <w:rPr>
          <w:rFonts w:eastAsia="Times New Roman"/>
          <w:sz w:val="24"/>
          <w:szCs w:val="24"/>
        </w:rPr>
        <w:fldChar w:fldCharType="end"/>
      </w:r>
      <w:r>
        <w:rPr>
          <w:rFonts w:eastAsia="Times New Roman"/>
          <w:sz w:val="24"/>
          <w:szCs w:val="24"/>
        </w:rPr>
        <w:t xml:space="preserve">. Hence, condition is often </w:t>
      </w:r>
      <w:r w:rsidRPr="00F2588D">
        <w:rPr>
          <w:rFonts w:eastAsia="Times New Roman"/>
          <w:sz w:val="24"/>
          <w:szCs w:val="24"/>
        </w:rPr>
        <w:t xml:space="preserve">positively associated with fitness </w:t>
      </w:r>
      <w:r w:rsidRPr="00F2588D">
        <w:rPr>
          <w:rFonts w:eastAsia="Times New Roman"/>
          <w:sz w:val="24"/>
          <w:szCs w:val="24"/>
        </w:rPr>
        <w:fldChar w:fldCharType="begin"/>
      </w:r>
      <w:r w:rsidRPr="00F2588D">
        <w:rPr>
          <w:rFonts w:eastAsia="Times New Roman"/>
          <w:sz w:val="24"/>
          <w:szCs w:val="24"/>
        </w:rPr>
        <w:instrText xml:space="preserve"> ADDIN ZOTERO_ITEM CSL_CITATION {"citationID":"I66ntHQ7","properties":{"formattedCitation":"(Morgan {\\i{}et al.}, 2010; Thorson, 2015)","plainCitation":"(Morgan et al., 2010; Thorson, 2015)","noteIndex":0},"citationItems":[{"id":2224,"uris":["http://zotero.org/users/6116610/items/PUXGC82U"],"uri":["http://zotero.org/users/6116610/items/PUXGC82U"],"itemData":{"id":2224,"type":"article-journal","abstract":"The effect of temperature on the allocation of energy to growth, condition and reproduction was examined in juvenile and adult Atlantic cod Gadus morhua inhabiting the southern Grand Bank off Newfoundland, Canada. The study period included both the warmest and coldest environmental conditions in the area over the past 60 yr. Temperature did not influence growth in length or weight, perhaps because growth at higher temperatures was limited by prey availability. Temperature significantly influenced both gutted body condition and liver condition (observed weight divided by predicted weight at length), but the effect was not consistent between the 2 measures of condition. Gutted body condition was highest at warm temperatures, whereas liver condition was highest at low temperatures. Measures of reproductive investment showed clear temperature effects. Fish matured earlier at both low and high temperatures than at intermediate temperatures. Fecundity of southern Grand Bank cod was highest at low temperatures, while the gonadosomatic index (GSI) was highest at warm temperatures. The lack of correlation with fecundity indicates that GSI may not be a good metric of reproductive investment but may be an indicator of how close fish are to spawning. The lower maturity and fecundity at intermediate temperatures could indicate a decrease in reproductive potential under these environmental conditions. Temperature throughout the entire year influenced fish condition, but only temperature during October to May affected reproductive investment. Most of the metrics were highly correlated between males and females, suggesting that both sexes make similar decisions about energy allocation over the observed temperature range.","container-title":"Marine Ecology Progress Series","DOI":"10.3354/meps08502","ISSN":"0171-8630, 1616-1599","language":"en","page":"185-195","source":"www.int-res.com","title":"Impact of environmental temperature on Atlantic cod Gadus morhua energy allocation to growth, condition and reproduction","volume":"404","author":[{"family":"Morgan","given":"M. J."},{"family":"Rideout","given":"R. M."},{"family":"Colbourne","given":"E. B."}],"issued":{"date-parts":[["2010",4,8]]}}},{"id":709,"uris":["http://zotero.org/users/6116610/items/JE7KRANF"],"uri":["http://zotero.org/users/6116610/items/JE7KRANF"],"itemData":{"id":709,"type":"article-journal","abstract":"Condition (the relationship between individual weight and length) has been researched in fisheries science for over 100 yr and is claimed to be an integrated measure of physiological status for fishes. Spatial or temporal variation in condition can contribute to otherwise unexplained variation in the relationship between spawning biomass and recruitment. Individual condition is also included in age-structured population models, which use weight at age to convert population estimates between numbers and biomass. However, no study has analyzed spatial and temporal variation in condition for multiple marine species. Here I apply recent improvements in spatial modeling to analyze coastwide variation in condition for 28 groundfishes in the California Current. I show that, on average, 22% of individual-level variation in condition can be explained via persistent (constant over time) and annually varying spatial differences in condition, and condition for many species varies 10 to 20% spatially and among years. While population density, bottom temperature, and calendar date are parsimonious descriptors of condition in several species, the sign of these coefficients varies, and their magnitude is small relative to the magnitude of residual spatial and temporal variation. Additionally, annually varying spatial differences have nearly twice the magnitude of persistent spatial differences in condition. I therefore conclude that dynamic habitat conditions contribute a substantial portion of variation in individual condition for these groundfishes. Spatial and temporal variation in condition will be important for population models that convert between numbers, fishery catch, and population biomass, and may also clarify unexplained variability in productivity for marine fishes.","container-title":"Marine Ecology Progress Series","DOI":"10.3354/meps11204","ISSN":"0171-8630, 1616-1599","language":"en","page":"101-112","source":"www.int-res.com","title":"Spatio-temporal variation in fish condition is not consistently explained by density, temperature, or season for California Current groundfishes","volume":"526","author":[{"family":"Thorson","given":"James T."}],"issued":{"date-parts":[["2015",4,22]]}}}],"schema":"https://github.com/citation-style-language/schema/raw/master/csl-citation.json"} </w:instrText>
      </w:r>
      <w:r w:rsidRPr="00F2588D">
        <w:rPr>
          <w:rFonts w:eastAsia="Times New Roman"/>
          <w:sz w:val="24"/>
          <w:szCs w:val="24"/>
        </w:rPr>
        <w:fldChar w:fldCharType="separate"/>
      </w:r>
      <w:r w:rsidRPr="00F2588D">
        <w:rPr>
          <w:sz w:val="24"/>
          <w:szCs w:val="24"/>
        </w:rPr>
        <w:t xml:space="preserve">(Morgan </w:t>
      </w:r>
      <w:r w:rsidRPr="00F2588D">
        <w:rPr>
          <w:i/>
          <w:iCs/>
          <w:sz w:val="24"/>
          <w:szCs w:val="24"/>
        </w:rPr>
        <w:t>et al.</w:t>
      </w:r>
      <w:r w:rsidRPr="00F2588D">
        <w:rPr>
          <w:sz w:val="24"/>
          <w:szCs w:val="24"/>
        </w:rPr>
        <w:t>, 2010; Thorson, 2015)</w:t>
      </w:r>
      <w:r w:rsidRPr="00F2588D">
        <w:rPr>
          <w:rFonts w:eastAsia="Times New Roman"/>
          <w:sz w:val="24"/>
          <w:szCs w:val="24"/>
        </w:rPr>
        <w:fldChar w:fldCharType="end"/>
      </w:r>
      <w:r>
        <w:rPr>
          <w:rFonts w:eastAsia="Times New Roman"/>
          <w:sz w:val="24"/>
          <w:szCs w:val="24"/>
        </w:rPr>
        <w:t xml:space="preserve">, and </w:t>
      </w:r>
      <w:r w:rsidRPr="00F2588D">
        <w:rPr>
          <w:rFonts w:eastAsia="Times New Roman"/>
          <w:sz w:val="24"/>
          <w:szCs w:val="24"/>
        </w:rPr>
        <w:t xml:space="preserve">individuals with high condition have greater reproductive success </w:t>
      </w:r>
      <w:r w:rsidRPr="00F2588D">
        <w:rPr>
          <w:rFonts w:eastAsia="Times New Roman"/>
          <w:sz w:val="24"/>
          <w:szCs w:val="24"/>
        </w:rPr>
        <w:fldChar w:fldCharType="begin"/>
      </w:r>
      <w:r w:rsidRPr="00F2588D">
        <w:rPr>
          <w:rFonts w:eastAsia="Times New Roman"/>
          <w:sz w:val="24"/>
          <w:szCs w:val="24"/>
        </w:rPr>
        <w:instrText xml:space="preserve"> ADDIN ZOTERO_ITEM CSL_CITATION {"citationID":"xNp2crmD","properties":{"formattedCitation":"(Hislop {\\i{}et al.}, 1978; Marshall and Frank, 1999)","plainCitation":"(Hislop et al., 1978; Marshall and Frank, 1999)","noteIndex":0},"citationItems":[{"id":2222,"uris":["http://zotero.org/users/6116610/items/59YF49UR"],"uri":["http://zotero.org/users/6116610/items/59YF49UR"],"itemData":{"id":2222,"type":"article-journal","abstract":"Individual haddock, Melanogrammus aeglefinus (L.) were maintained at different feeding levels in an aquarium from November until the completion of spawning. The mean duration of spawning was 33.2 days (range 19–59) during which an average of 16.6 (range 10–25) batches of eggs were produced. The size and dry weight of the eggs declined during the spawning period. Egg production and feeding level were correlated positively. There was some suggestion that when female haddock received low rations (&lt; 5 kcal day-1) a lower proportion spawned, and the dry weights of the eggs were lower compared with females on high rations (&gt; 13 kcal day -1). The relation between daily growth in wet weight, g, and daily surplus energy intake, kcal, was: G=(0.295E)— 0.328. When food energy is restricted, haddock appear to achieve a balance between somatic growth and reproduction.","container-title":"Journal of Fish Biology","DOI":"10.1111/j.1095-8649.1978.tb03416.x","ISSN":"1095-8649","issue":"1","language":"en","note":"_eprint: https://onlinelibrary.wiley.com/doi/pdf/10.1111/j.1095-8649.1978.tb03416.x","page":"85-98","source":"Wiley Online Library","title":"Observations on effects of feeding level on growth and reproduction in haddock, Melanogrammus aeglefinus (L.) in captivity","volume":"13","author":[{"family":"Hislop","given":"J. R. G."},{"family":"Robb","given":"A. P."},{"family":"Gauld","given":"J. A."}],"issued":{"date-parts":[["1978"]]}}},{"id":2186,"uris":["http://zotero.org/users/6116610/items/7NNEWGWU"],"uri":["http://zotero.org/users/6116610/items/7NNEWGWU"],"itemData":{"id":2186,"type":"article-journal","abstract":"The relationship between recruitment and spawner biomass assumes that estimates of spawner biomass are proportional to total egg production by the stock. The validity of this assumption is in question for long-lived gadoid stocks; however, estimating total egg production independently of spawner biomass is seldom feasible. An alternative approach is to examine correlations between recruitment and variables likely to be proxies for total egg production by the stock. This indirect approach was used for haddock on the Scotian Shelf. Indices of growth (mean length at age-4) and condition (weight at 50 cm) were used as proxies for the reproductive potential of individual spawners. Both variables were positively correlated with recruitment over a 3-decade period (1964-1995). During the same time period, there was no relationship between recruitment and spawner biomass estimated by Virtual Population Analysis (VPA). This is further evidence that VPA-based spawner biomass is a poor index of the true reproductive potential of the stock. The results highlight the need to develop more accurate/precise measures of total egg production for use in recruitment research.","container-title":"Canadian Journal of Fisheries and Aquatic Sciences","DOI":"10.1139/f99-019","ISSN":"0706-652X","issue":"3","journalAbbreviation":"Can. J. Fish. Aquat. Sci.","note":"publisher: NRC Research Press","page":"347-355","source":"nrcresearchpress.com (Atypon)","title":"The effect of interannual variation in growth and condition on haddock recruitment","volume":"56","author":[{"family":"Marshall","given":"C Tara"},{"family":"Frank","given":"Kenneth T"}],"issued":{"date-parts":[["1999",3,1]]}}}],"schema":"https://github.com/citation-style-language/schema/raw/master/csl-citation.json"} </w:instrText>
      </w:r>
      <w:r w:rsidRPr="00F2588D">
        <w:rPr>
          <w:rFonts w:eastAsia="Times New Roman"/>
          <w:sz w:val="24"/>
          <w:szCs w:val="24"/>
        </w:rPr>
        <w:fldChar w:fldCharType="separate"/>
      </w:r>
      <w:r w:rsidRPr="00F2588D">
        <w:rPr>
          <w:sz w:val="24"/>
          <w:szCs w:val="24"/>
        </w:rPr>
        <w:t xml:space="preserve">(Hislop </w:t>
      </w:r>
      <w:r w:rsidRPr="00F2588D">
        <w:rPr>
          <w:i/>
          <w:iCs/>
          <w:sz w:val="24"/>
          <w:szCs w:val="24"/>
        </w:rPr>
        <w:t>et al.</w:t>
      </w:r>
      <w:r w:rsidRPr="00F2588D">
        <w:rPr>
          <w:sz w:val="24"/>
          <w:szCs w:val="24"/>
        </w:rPr>
        <w:t>, 1978; Marshall and Frank, 1999)</w:t>
      </w:r>
      <w:r w:rsidRPr="00F2588D">
        <w:rPr>
          <w:rFonts w:eastAsia="Times New Roman"/>
          <w:sz w:val="24"/>
          <w:szCs w:val="24"/>
        </w:rPr>
        <w:fldChar w:fldCharType="end"/>
      </w:r>
      <w:r>
        <w:rPr>
          <w:rFonts w:eastAsia="Times New Roman"/>
          <w:sz w:val="24"/>
          <w:szCs w:val="24"/>
        </w:rPr>
        <w:t xml:space="preserve">. Poor condition </w:t>
      </w:r>
      <w:r w:rsidRPr="00F2588D">
        <w:rPr>
          <w:rFonts w:eastAsia="Times New Roman"/>
          <w:sz w:val="24"/>
          <w:szCs w:val="24"/>
        </w:rPr>
        <w:t xml:space="preserve">increases the likelihood of skipped spawning </w:t>
      </w:r>
      <w:r w:rsidRPr="00F2588D">
        <w:rPr>
          <w:rFonts w:eastAsia="Times New Roman"/>
          <w:sz w:val="24"/>
          <w:szCs w:val="24"/>
        </w:rPr>
        <w:fldChar w:fldCharType="begin"/>
      </w:r>
      <w:r w:rsidRPr="00F2588D">
        <w:rPr>
          <w:rFonts w:eastAsia="Times New Roman"/>
          <w:sz w:val="24"/>
          <w:szCs w:val="24"/>
        </w:rPr>
        <w:instrText xml:space="preserve"> ADDIN ZOTERO_ITEM CSL_CITATION {"citationID":"z9l5e6oy","properties":{"formattedCitation":"(J\\uc0\\u248{}rgensen {\\i{}et al.}, 2006; Mion {\\i{}et al.}, 2018)","plainCitation":"(Jørgensen et al., 2006; Mion et al., 2018)","noteIndex":0},"citationItems":[{"id":2219,"uris":["http://zotero.org/users/6116610/items/6NSIEJGS"],"uri":["http://zotero.org/users/6116610/items/6NSIEJGS"],"itemData":{"id":2219,"type":"article-journal","abstract":"That sexually mature fish skip reproduction, especially in response to poor condition, has been documented in many species. We present results from an energy-allocation life history model that shed light on the underlying logic of skipped spawning, based on the Northeast Arctic stock of Atlantic cod (Gadus morhua). The model predicts that skipped spawning is a regular phenomenon, with up to 30% of the sexually mature biomass skipping spawning. Spawning should be skipped if the expected future gain in reproductive output, discounted by survival, more than balances the expected reproductive success the current year. Skipped spawning was most common (i) among potential  second-time spawners and (ii) early in life, (iii) when fishing mortality at the spawning grounds was high, (iv) when fishing mortality at the feeding grounds was low, (v) when natural mortality was low, and (vi) when the energetic and mortality costs associated with migration and spawning were high. Cod skipped spawning more often when food availability was both increased (opportunities for better growth) and decreased (too little energy for gonad development), and this pattern interacted with mortality rate. We conclude that skipped spawning may be more widespread than  appreciated and highlight potential consequences for the understanding of stock–recruitment relationships.","container-title":"Canadian Journal of Fisheries and Aquatic Sciences","DOI":"10.1139/f05-210","ISSN":"0706-652X","issue":"1","journalAbbreviation":"Can. J. Fish</w:instrText>
      </w:r>
      <w:r w:rsidRPr="00702F1A">
        <w:rPr>
          <w:rFonts w:eastAsia="Times New Roman"/>
          <w:sz w:val="24"/>
          <w:szCs w:val="24"/>
          <w:lang w:val="en-US"/>
        </w:rPr>
        <w:instrText>. Aquat. Sci.","note":"publisher: NR</w:instrText>
      </w:r>
      <w:r w:rsidRPr="00F2588D">
        <w:rPr>
          <w:rFonts w:eastAsia="Times New Roman"/>
          <w:sz w:val="24"/>
          <w:szCs w:val="24"/>
          <w:lang w:val="en-US"/>
        </w:rPr>
        <w:instrText xml:space="preserve">C Research Press","page":"200-211","source":"nrcresearchpress.com (Atypon)","title":"The logic of skipped spawning in fish","volume":"63","author":[{"family":"Jørgensen","given":"Christian"},{"family":"Ernande","given":"Bruno"},{"family":"Fiksen","given":"Øyvind"},{"family":"Dieckmann","given":"Ulf"}],"issued":{"date-parts":[["2006",1,1]]}}},{"id":876,"uris":["http://zotero.org/users/6116610/items/2NFIJQCW"],"uri":["http://zotero.org/users/6116610/items/2NFIJQCW"],"itemData":{"id":876,"type":"article-journal","container-title":"Journal of Fish Biology","DOI":"10.1111/jfb.13563","ISSN":"00221112","issue":"4","language":"en","page":"1016-1034","source":"Crossref","title":"Effect of fish length and nutritional condition on the fecundity of distressed Atlantic cod &lt;i&gt;Gadus morhua&lt;/i&gt; from the Baltic Sea: POTENTIAL FECUNDITY OF BALTIC &lt;i&gt;G. MORHUA&lt;/i&gt;","title-short":"Effect of fish length and nutritional condition on the fecundity of distressed Atlantic cod &lt;i&gt;Gadus morhua&lt;/i&gt; from the Baltic Sea","volume":"92","author":[{"family":"Mion","given":"M."},{"family":"Thorsen","given":"A."},{"family":"Vitale","given":"F."},{"family":"Dierking","given":"J."},{"family":"Herrmann","given":"J. P."},{"family":"Huwer","given":"B."},{"family":"Dewitz","given":"B.","non-dropping-particle":"von"},{"family":"Casini","given":"M."}],"issued":{"date-parts":[["2018",4]]}}}],"schema":"https://github.com/citation-style-language/schema/raw/master/csl-citation.json"} </w:instrText>
      </w:r>
      <w:r w:rsidRPr="00F2588D">
        <w:rPr>
          <w:rFonts w:eastAsia="Times New Roman"/>
          <w:sz w:val="24"/>
          <w:szCs w:val="24"/>
        </w:rPr>
        <w:fldChar w:fldCharType="separate"/>
      </w:r>
      <w:r w:rsidRPr="00F2588D">
        <w:rPr>
          <w:sz w:val="24"/>
          <w:szCs w:val="24"/>
          <w:lang w:val="en-US"/>
        </w:rPr>
        <w:t xml:space="preserve">(Jørgensen </w:t>
      </w:r>
      <w:r w:rsidRPr="00F2588D">
        <w:rPr>
          <w:i/>
          <w:iCs/>
          <w:sz w:val="24"/>
          <w:szCs w:val="24"/>
          <w:lang w:val="en-US"/>
        </w:rPr>
        <w:t>et al.</w:t>
      </w:r>
      <w:r w:rsidRPr="00F2588D">
        <w:rPr>
          <w:sz w:val="24"/>
          <w:szCs w:val="24"/>
          <w:lang w:val="en-US"/>
        </w:rPr>
        <w:t xml:space="preserve">, 2006; Mion </w:t>
      </w:r>
      <w:r w:rsidRPr="00F2588D">
        <w:rPr>
          <w:i/>
          <w:iCs/>
          <w:sz w:val="24"/>
          <w:szCs w:val="24"/>
          <w:lang w:val="en-US"/>
        </w:rPr>
        <w:t>et al.</w:t>
      </w:r>
      <w:r w:rsidRPr="00F2588D">
        <w:rPr>
          <w:sz w:val="24"/>
          <w:szCs w:val="24"/>
          <w:lang w:val="en-US"/>
        </w:rPr>
        <w:t>, 2018)</w:t>
      </w:r>
      <w:r w:rsidRPr="00F2588D">
        <w:rPr>
          <w:rFonts w:eastAsia="Times New Roman"/>
          <w:sz w:val="24"/>
          <w:szCs w:val="24"/>
        </w:rPr>
        <w:fldChar w:fldCharType="end"/>
      </w:r>
      <w:r w:rsidRPr="00F2588D">
        <w:rPr>
          <w:rFonts w:eastAsia="Times New Roman"/>
          <w:sz w:val="24"/>
          <w:szCs w:val="24"/>
        </w:rPr>
        <w:t xml:space="preserve"> and can lower chances of survival </w:t>
      </w:r>
      <w:r w:rsidRPr="00F2588D">
        <w:rPr>
          <w:rFonts w:eastAsia="Times New Roman"/>
          <w:sz w:val="24"/>
          <w:szCs w:val="24"/>
        </w:rPr>
        <w:fldChar w:fldCharType="begin"/>
      </w:r>
      <w:r w:rsidRPr="00F2588D">
        <w:rPr>
          <w:rFonts w:eastAsia="Times New Roman"/>
          <w:sz w:val="24"/>
          <w:szCs w:val="24"/>
        </w:rPr>
        <w:instrText xml:space="preserve"> ADDIN ZOTERO_ITEM CSL_CITATION {"citationID":"dVe85ueN","properties":{"formattedCitation":"(Dutil and Lambert, 2000; Casini {\\i{}et al.}, 2016b)","plainCitation":"(Dutil and Lambert, 2000; Casini et al., 2016b)","noteIndex":0},"citationItems":[{"id":2266,"uris":["http://zotero.org/users/6116610/items/6RBE2REJ"],"uri":["http://zotero.org/users/6116610/items/6RBE2REJ"],"itemData":{"id":2266,"type":"article-journal","abstract":"The extent of energy depletion was assessed in Atlantic cod (Gadus morhua) in spring and early summer (1993-1995) to assess relationships between poor condition and natural mortality. Several indic...","archive_location":"Ottawa, Canada","container-title":"Canadian Journal of Fisheries and Aquatic Sciences","DOI":"10.1139/f00-023","language":"en","note":"publisher: NRC Research Press Ottawa, Canada","source":"cdnsciencepub.com","title":"Natural mortality from poor condition in Atlantic cod (Gadus morhua)","URL":"https://cdnsciencepub.com/doi/abs/10.1139/f00-023","author":[{"family":"Dutil","given":"Jean-Denis"},{"family":"Lambert","given":"Yvan"}],"accessed":{"date-parts":[["2020",10,8]]},"issued":{"date-parts":[["2000"]]}}},{"id":2262,"uris":["http://zotero.org/users/6116610/items/K5QZ6B6K"],"uri":["http://zotero.org/users/6116610/items/K5QZ6B6K"],"itemData":{"id":2262,"type":"article-journal","abstract":"The inclusion of biological and ecological aspects in the assessment of fish population status is one of the bases for an ecosystem-based fisheries management.","container-title":"ICES Journal of Marine Science","DOI":"10.1093/icesjms/fsw117","ISSN":"1054-3139","issue":"10","journalAbbreviation":"ICES J Mar Sci","language":"en","note":"publisher: Oxford Academic","page":"2625-2631","source":"academic.oup.com","title":"Using alternative biological information in stock assessment: condition-corrected natural mortality of Eastern Baltic cod","title-short":"Using alternative biological information in stock assessment","volume":"73","author":[{"family":"Casini","given":"Michele"},{"family":"Eero","given":"Margit"},{"family":"Carlshamre","given":"Sofia"},{"family":"Lövgren","given":"Johan"}],"issued":{"date-parts":[["2016",11,1]]}}}],"schema":"https://github.com/citation-style-language/schema/raw/master/csl-citation.json"} </w:instrText>
      </w:r>
      <w:r w:rsidRPr="00F2588D">
        <w:rPr>
          <w:rFonts w:eastAsia="Times New Roman"/>
          <w:sz w:val="24"/>
          <w:szCs w:val="24"/>
        </w:rPr>
        <w:fldChar w:fldCharType="separate"/>
      </w:r>
      <w:r w:rsidRPr="00F2588D">
        <w:rPr>
          <w:sz w:val="24"/>
          <w:szCs w:val="24"/>
        </w:rPr>
        <w:t xml:space="preserve">(Dutil and Lambert, 2000; Casini </w:t>
      </w:r>
      <w:r w:rsidRPr="00F2588D">
        <w:rPr>
          <w:i/>
          <w:iCs/>
          <w:sz w:val="24"/>
          <w:szCs w:val="24"/>
        </w:rPr>
        <w:t>et al.</w:t>
      </w:r>
      <w:r w:rsidRPr="00F2588D">
        <w:rPr>
          <w:sz w:val="24"/>
          <w:szCs w:val="24"/>
        </w:rPr>
        <w:t>, 2016b)</w:t>
      </w:r>
      <w:r w:rsidRPr="00F2588D">
        <w:rPr>
          <w:rFonts w:eastAsia="Times New Roman"/>
          <w:sz w:val="24"/>
          <w:szCs w:val="24"/>
        </w:rPr>
        <w:fldChar w:fldCharType="end"/>
      </w:r>
      <w:r w:rsidRPr="00F2588D">
        <w:rPr>
          <w:rFonts w:eastAsia="Times New Roman"/>
          <w:sz w:val="24"/>
          <w:szCs w:val="24"/>
        </w:rPr>
        <w:t>.</w:t>
      </w:r>
      <w:r w:rsidRPr="00A36CFB">
        <w:rPr>
          <w:rFonts w:eastAsia="Times New Roman"/>
          <w:sz w:val="24"/>
          <w:szCs w:val="24"/>
        </w:rPr>
        <w:t xml:space="preserve"> </w:t>
      </w:r>
      <w:r>
        <w:rPr>
          <w:rFonts w:eastAsia="Times New Roman"/>
          <w:sz w:val="24"/>
          <w:szCs w:val="24"/>
        </w:rPr>
        <w:t xml:space="preserve">Therefore, it is important to study the effects of the ongoing de-oxygenation of marine coastal areas on body condition of fishes. </w:t>
      </w:r>
    </w:p>
    <w:p w14:paraId="7C94CCE1" w14:textId="77777777" w:rsidR="00D26009" w:rsidRDefault="00D26009" w:rsidP="00D26009">
      <w:pPr>
        <w:spacing w:line="480" w:lineRule="auto"/>
        <w:ind w:firstLine="284"/>
        <w:contextualSpacing/>
        <w:jc w:val="both"/>
        <w:rPr>
          <w:rFonts w:eastAsia="Times New Roman"/>
          <w:sz w:val="24"/>
          <w:szCs w:val="24"/>
        </w:rPr>
      </w:pPr>
      <w:r>
        <w:rPr>
          <w:rFonts w:eastAsia="Times New Roman"/>
          <w:sz w:val="24"/>
          <w:szCs w:val="24"/>
        </w:rPr>
        <w:t xml:space="preserve">Despite the concurrent de-oxygenation of coastal ecosystems and the known effects from experimental studies, support for effects of dissolved oxygen on fish condition in field </w:t>
      </w:r>
      <w:r>
        <w:rPr>
          <w:rFonts w:eastAsia="Times New Roman"/>
          <w:sz w:val="24"/>
          <w:szCs w:val="24"/>
        </w:rPr>
        <w:lastRenderedPageBreak/>
        <w:t xml:space="preserve">conditions is limited </w:t>
      </w:r>
      <w:r>
        <w:rPr>
          <w:rFonts w:eastAsia="Times New Roman"/>
          <w:sz w:val="24"/>
          <w:szCs w:val="24"/>
        </w:rPr>
        <w:fldChar w:fldCharType="begin"/>
      </w:r>
      <w:r>
        <w:rPr>
          <w:rFonts w:eastAsia="Times New Roman"/>
          <w:sz w:val="24"/>
          <w:szCs w:val="24"/>
        </w:rPr>
        <w:instrText xml:space="preserve"> ADDIN ZOTERO_ITEM CSL_CITATION {"citationID":"vY0sJ3pZ","properties":{"formattedCitation":"(Chabot and Dutil, 1999)","plainCitation":"(Chabot and Dutil, 1999)","noteIndex":0},"citationItems":[{"id":2408,"uris":["http://zotero.org/users/6116610/items/D8NXZIXU"],"uri":["http://zotero.org/users/6116610/items/D8NXZIXU"],"itemData":{"id":2408,"type":"article-journal","abstract":"Growth in length and mass, improvements in condition, as well as final condition of c. 700 g Atlantic cod Gadus morhua were significantly less at 45% and 56% O2 saturation than at 65%, 75%, 84% and 93% O2 saturation. Hypoxia decreased food consumption. In turn, food consumption explained 97% of the variation in growth. Conversion efficiency varied slightly, but significantly, with level of dissolved O2, except that the group reared at 93% O2 had a lower than expected conversion efficiency. Slow growth in low O2 was not due to increased activity, because activity decreased in hypoxia. In the Gulf of St Lawrence, waters deeper than 200 m usually are &lt;65% saturated in O2, and thus should impact negatively on cod growth.","container-title":"Journal of Fish Biology","DOI":"https://doi.org/10.1111/j.1095-8649.1999.tb00693.x","ISSN":"1095-8649","issue":"3","language":"en","note":"_eprint: https://onlinelibrary.wiley.com/doi/pdf/10.1111/j.1095-8649.1999.tb00693.x","page":"472-491","source":"Wiley Online Library","title":"Reduced growth of Atlantic cod in non-lethal hypoxic conditions","volume":"55","author":[{"family":"Chabot","given":"D."},{"family":"Dutil","given":"J.-D."}],"issued":{"date-parts":[["1999"]]}}}],"schema":"https://github.com/citation-style-language/schema/raw/master/csl-citation.json"} </w:instrText>
      </w:r>
      <w:r>
        <w:rPr>
          <w:rFonts w:eastAsia="Times New Roman"/>
          <w:sz w:val="24"/>
          <w:szCs w:val="24"/>
        </w:rPr>
        <w:fldChar w:fldCharType="separate"/>
      </w:r>
      <w:r>
        <w:rPr>
          <w:rFonts w:eastAsia="Times New Roman"/>
          <w:noProof/>
          <w:sz w:val="24"/>
          <w:szCs w:val="24"/>
        </w:rPr>
        <w:t>(Chabot and Dutil, 1999)</w:t>
      </w:r>
      <w:r>
        <w:rPr>
          <w:rFonts w:eastAsia="Times New Roman"/>
          <w:sz w:val="24"/>
          <w:szCs w:val="24"/>
        </w:rPr>
        <w:fldChar w:fldCharType="end"/>
      </w:r>
      <w:r>
        <w:rPr>
          <w:rFonts w:eastAsia="Times New Roman"/>
          <w:sz w:val="24"/>
          <w:szCs w:val="24"/>
        </w:rPr>
        <w:t xml:space="preserve">. For instance, </w:t>
      </w:r>
      <w:r>
        <w:rPr>
          <w:rFonts w:eastAsia="Times New Roman"/>
          <w:sz w:val="24"/>
          <w:szCs w:val="24"/>
        </w:rPr>
        <w:fldChar w:fldCharType="begin"/>
      </w:r>
      <w:r>
        <w:rPr>
          <w:rFonts w:eastAsia="Times New Roman"/>
          <w:sz w:val="24"/>
          <w:szCs w:val="24"/>
        </w:rPr>
        <w:instrText xml:space="preserve"> ADDIN ZOTERO_ITEM CSL_CITATION {"citationID":"9OoejP43","properties":{"formattedCitation":"(Cavraro {\\i{}et al.}, 2019)","plainCitation":"(Cavraro et al., 2019)","noteIndex":0},"citationItems":[{"id":2608,"uris":["http://zotero.org/users/6116610/items/2DCQFAMV"],"uri":["http://zotero.org/users/6116610/items/2DCQFAMV"],"itemData":{"id":2608,"type":"article-journal","abstract":"In the last years, increasing interest has been dedicated to the quality assessment of brackish-water systems. Traditionally, fish community is an important biological element used to assess the quality status of transitional water bodies. In this study, we analysed the effect of anthropogenic pressures on the population of a small teleost, the sand smelt Atherina boyeri, in a Mediterranean lagoon by means of body condition. Fish were sampled once a year during the period 2010–2012, in 32 sampling sites, and for each specimen individual body condition factor was estimated. A negative significant correlation was found between condition factor and pressures related to alteration of the hydrographic regime, while a significant positive correlation was found with trophic status indicators and fishery activities. Therefore, morphological and hydrological alteration of coastal lagoons, modifying the quality and the availability of resources, seems to influence the health of resident populations.","container-title":"Aquatic Ecology","DOI":"10.1007/s10452-018-09670-4","ISSN":"1573-5125","issue":"1","journalAbbreviation":"Aquat Ecol","language":"en","page":"21-35","source":"Springer Link","title":"Body condition in fish as a tool to detect the effects of anthropogenic pressures in transitional waters","volume":"53","author":[{"family":"Cavraro","given":"Francesco"},{"family":"Bettoso","given":"Nicola"},{"family":"Zucchetta","given":"Matteo"},{"family":"D’Aietti","given":"Alessandro"},{"family":"Faresi","given":"Lisa"},{"family":"Franzoi","given":"Piero"}],"issued":{"date-parts":[["2019",3,1]]}}}],"schema":"https://github.com/citation-style-language/schema/raw/master/csl-citation.json"} </w:instrText>
      </w:r>
      <w:r>
        <w:rPr>
          <w:rFonts w:eastAsia="Times New Roman"/>
          <w:sz w:val="24"/>
          <w:szCs w:val="24"/>
        </w:rPr>
        <w:fldChar w:fldCharType="separate"/>
      </w:r>
      <w:r w:rsidRPr="004A13FE">
        <w:rPr>
          <w:sz w:val="24"/>
        </w:rPr>
        <w:t xml:space="preserve">(Cavraro </w:t>
      </w:r>
      <w:r w:rsidRPr="004A13FE">
        <w:rPr>
          <w:i/>
          <w:iCs/>
          <w:sz w:val="24"/>
        </w:rPr>
        <w:t>et al.</w:t>
      </w:r>
      <w:r w:rsidRPr="004A13FE">
        <w:rPr>
          <w:sz w:val="24"/>
        </w:rPr>
        <w:t>, 2019)</w:t>
      </w:r>
      <w:r>
        <w:rPr>
          <w:rFonts w:eastAsia="Times New Roman"/>
          <w:sz w:val="24"/>
          <w:szCs w:val="24"/>
        </w:rPr>
        <w:fldChar w:fldCharType="end"/>
      </w:r>
      <w:r>
        <w:rPr>
          <w:rFonts w:eastAsia="Times New Roman"/>
          <w:sz w:val="24"/>
          <w:szCs w:val="24"/>
        </w:rPr>
        <w:t xml:space="preserve"> found no significant effect of dissolved oxygen on the body condition in the </w:t>
      </w:r>
      <w:r w:rsidRPr="000708F8">
        <w:rPr>
          <w:rFonts w:eastAsia="Times New Roman"/>
          <w:sz w:val="24"/>
          <w:szCs w:val="24"/>
        </w:rPr>
        <w:t xml:space="preserve">sand smelt </w:t>
      </w:r>
      <w:r w:rsidRPr="000708F8">
        <w:rPr>
          <w:rFonts w:eastAsia="Times New Roman"/>
          <w:i/>
          <w:iCs/>
          <w:sz w:val="24"/>
          <w:szCs w:val="24"/>
        </w:rPr>
        <w:t>Atherina boyeri</w:t>
      </w:r>
      <w:r>
        <w:rPr>
          <w:rFonts w:eastAsia="Times New Roman"/>
          <w:sz w:val="24"/>
          <w:szCs w:val="24"/>
        </w:rPr>
        <w:t xml:space="preserve"> in the Mediterranean, while expansion of hypoxic zones has been linked to the decline in the body condition of Atlantic cod </w:t>
      </w:r>
      <w:r w:rsidRPr="00F2588D">
        <w:rPr>
          <w:rFonts w:eastAsia="Times New Roman"/>
          <w:sz w:val="24"/>
          <w:szCs w:val="24"/>
        </w:rPr>
        <w:t>(</w:t>
      </w:r>
      <w:r w:rsidRPr="00F2588D">
        <w:rPr>
          <w:rFonts w:eastAsia="Times New Roman"/>
          <w:i/>
          <w:sz w:val="24"/>
          <w:szCs w:val="24"/>
        </w:rPr>
        <w:t>Gadus morhua</w:t>
      </w:r>
      <w:r w:rsidRPr="00F2588D">
        <w:rPr>
          <w:rFonts w:eastAsia="Times New Roman"/>
          <w:sz w:val="24"/>
          <w:szCs w:val="24"/>
        </w:rPr>
        <w:t>)</w:t>
      </w:r>
      <w:r>
        <w:rPr>
          <w:rFonts w:eastAsia="Times New Roman"/>
          <w:sz w:val="24"/>
          <w:szCs w:val="24"/>
        </w:rPr>
        <w:t xml:space="preserve"> in the Baltic Sea </w:t>
      </w:r>
      <w:r>
        <w:rPr>
          <w:rFonts w:eastAsia="Times New Roman"/>
          <w:sz w:val="24"/>
          <w:szCs w:val="24"/>
        </w:rPr>
        <w:fldChar w:fldCharType="begin"/>
      </w:r>
      <w:r>
        <w:rPr>
          <w:rFonts w:eastAsia="Times New Roman"/>
          <w:sz w:val="24"/>
          <w:szCs w:val="24"/>
        </w:rPr>
        <w:instrText xml:space="preserve"> ADDIN ZOTERO_ITEM CSL_CITATION {"citationID":"QNzyXyIB","properties":{"formattedCitation":"(Casini {\\i{}et al.}, 2016a, 2021; Limburg and Casini, 2019)","plainCitation":"(Casini et al., 2016a, 2021; Limburg and Casini, 2019)","noteIndex":0},"citationItems":[{"id":794,"uris":["http://zotero.org/users/6116610/items/39XLSPWN"],"uri":["http://zotero.org/users/6116610/items/39XLSPWN"],"itemData":{"id":794,"type":"article-journal","abstract":"Investigating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population.","container-title":"Royal Society Open Science","DOI":"10.1098/rsos.160416","issue":"10","journalAbbreviation":"Royal Society Open Science","page":"160416","source":"royalsocietypublishing.org (Atypon)","title":"Hypoxic areas, density-dependence and food limitation drive the body condition of a heavily exploited marine fish predator","volume":"3","author":[{"family":"Casini","given":"Michele"},{"family":"Käll","given":"Filip"},{"family":"Hansson","given":"Martin"},{"family":"Plikshs","given":"Maris"},{"family":"Baranova","given":"Tatjana"},{"family":"Karlsson","given":"Olle"},{"family":"Lundström","given":"Karl"},{"family":"Neuenfeldt","given":"Stefan"},{"family":"Gårdmark","given":"Anna"},{"family":"Hjelm","given":"Joakim"}],"issued":{"date-parts":[["2016"]]}}},{"id":2574,"uris":["http://zotero.org/users/6116610/items/7ZM6SYNM"],"uri":["http://zotero.org/users/6116610/items/7ZM6SYNM"],"itemData":{"id":2574,"type":"article-journal","abstract":"&lt;p&gt;&lt;strong class=\"journal-contentHeaderColor\"&gt;Abstract.&lt;/strong&gt; During the past 20 years, hypoxic areas have expanded rapidly in the Baltic Sea, which has become one of the largest marine “dead zones” in the world. At the same time, the most important commercial fish population of the region, the eastern Baltic cod, has experienced a drastic reduction in mean body condition, but the processes behind the relation between deoxygenation and condition remain elusive. Here we use extensive long-term monitoring data on cod biology and distribution as well as on hydrological variations to investigate the processes that relate deoxygenation and cod condition during the autumn season. Our results show that the depth distribution of cod has increased during the past 4 decades at the same time of the expansion, and shallowing, of waters with oxygen concentrations detrimental to cod performance. This has resulted in a progressively increasing spatial overlap between the cod population and low-oxygenated waters after the mid-1990s. This spatial overlap and the actual oxygen concentration experienced by cod therein statistically explained a large proportion of the changes in cod condition over the years. These results complement previous analyses on fish otolith microchemistry that also revealed that since the mid-1990s, cod individuals with low condition were exposed to low-oxygen waters during their life. This study helps to shed light on the processes that have led to a decline of the eastern Baltic cod body condition, which can aid the management of this population currently in distress. Further studies should focus on understanding why the cod population has moved to deeper waters in autumn and on analyzing the overlap with low-oxygen waters in other seasons to quantify the potential effects of the variations in physical properties on cod biology throughout the year.&lt;/p&gt;","container-title":"Biogeosciences","DOI":"https://doi.org/10.5194/bg-18-1321-2021","ISSN":"1726-4170","issue":"4","language":"English","note":"publisher: Copernicus GmbH","page":"1321-1331","source":"bg.copernicus.org","title":"Changes in population depth distribution and oxygen stratification are involved in the current low condition of the eastern Baltic Sea cod (&lt;i&gt;Gadus morhua&lt;/i&gt;)","volume":"18","author":[{"family":"Casini","given":"Michele"},{"family":"Hansson","given":"Martin"},{"family":"Orio","given":"Alessandro"},{"family":"Limburg","given":"Karin"}],"issued":{"date-parts":[["2021",2,22]]}}},{"id":2361,"uris":["http://zotero.org/users/6116610/items/7VRRX5L2"],"uri":["http://zotero.org/users/6116610/items/7VRRX5L2"],"itemData":{"id":2361,"type":"article-journal","abstract":"Deoxygenation worldwide is increasing in aquatic systems with implications for organisms' biology, communities and ecosystems. Eastern Baltic cod has experienced a strong decline in mean body condition (i.e. weight at a specific length) over the past 20 years with effects on the fishery relying on this resource. The decrease in cod condition has been tentatively linked in the literature to increased hypoxic areas potentially affecting habitat range, but also to benthic prey and/or cod physiology directly. To date, no studies have been performed to test these mechanisms. Using otolith trace element microchemistry and hypoxia-responding metrics based on manganese (Mn) and magnesium (Mg), we investigated the relationship between fish body condition at capture and exposure to hypoxia. Cod individuals collected after 2000 with low body condition had a higher level of Mn/Mg in the last year of life, indicating higher exposure to hypoxic waters than cod with high body condition. Moreover, lifetime exposure to hypoxia was even more strongly correlated to body condition, suggesting that condition may reflect long-term hypoxia status. These results were irrespective of fish age or sex. This implies that as Baltic cod visit poor-oxygen waters, perhaps searching for benthic food, they compromise their own performance. This study specifically sheds light on the mechanisms leading to the low condition of cod and generally points to the impact of deoxygenation on ecosystems and fisheries.","container-title":"Biology Letters","DOI":"10.1098/rsbl.2019.0352","issue":"12","journalAbbreviation":"Biology Letters","note":"publisher: Royal Society","page":"20190352","source":"royalsocietypublishing.org (Atypon)","title":"Otolith chemistry indicates recent worsened Baltic cod condition is linked to hypoxia exposure","volume":"15","author":[{"family":"Limburg","given":"Karin E."},{"family":"Casini","given":"Michele"}],"issued":{"date-parts":[["2019",12,24]]}}}],"schema":"https://github.com/citation-style-language/schema/raw/master/csl-citation.json"} </w:instrText>
      </w:r>
      <w:r>
        <w:rPr>
          <w:rFonts w:eastAsia="Times New Roman"/>
          <w:sz w:val="24"/>
          <w:szCs w:val="24"/>
        </w:rPr>
        <w:fldChar w:fldCharType="separate"/>
      </w:r>
      <w:r w:rsidRPr="00B454A2">
        <w:rPr>
          <w:sz w:val="24"/>
        </w:rPr>
        <w:t xml:space="preserve">(Casini </w:t>
      </w:r>
      <w:r w:rsidRPr="00B454A2">
        <w:rPr>
          <w:i/>
          <w:iCs/>
          <w:sz w:val="24"/>
        </w:rPr>
        <w:t>et al.</w:t>
      </w:r>
      <w:r w:rsidRPr="00B454A2">
        <w:rPr>
          <w:sz w:val="24"/>
        </w:rPr>
        <w:t>, 2016a, 2021; Limburg and Casini, 2019)</w:t>
      </w:r>
      <w:r>
        <w:rPr>
          <w:rFonts w:eastAsia="Times New Roman"/>
          <w:sz w:val="24"/>
          <w:szCs w:val="24"/>
        </w:rPr>
        <w:fldChar w:fldCharType="end"/>
      </w:r>
      <w:r>
        <w:rPr>
          <w:rFonts w:eastAsia="Times New Roman"/>
          <w:sz w:val="24"/>
          <w:szCs w:val="24"/>
        </w:rPr>
        <w:t>. The Baltic Sea constitutes an interesting case study for studying the impacts of hypoxia, because it is a semi-enclosed brackish arm of the Atlantic Ocean that contains t</w:t>
      </w:r>
      <w:r w:rsidRPr="00AB6B7B">
        <w:rPr>
          <w:rFonts w:eastAsia="Times New Roman"/>
          <w:sz w:val="24"/>
          <w:szCs w:val="24"/>
        </w:rPr>
        <w:t>he</w:t>
      </w:r>
      <w:r>
        <w:rPr>
          <w:rFonts w:eastAsia="Times New Roman"/>
          <w:sz w:val="24"/>
          <w:szCs w:val="24"/>
        </w:rPr>
        <w:t xml:space="preserve"> </w:t>
      </w:r>
      <w:r w:rsidRPr="00AB6B7B">
        <w:rPr>
          <w:rFonts w:eastAsia="Times New Roman"/>
          <w:sz w:val="24"/>
          <w:szCs w:val="24"/>
        </w:rPr>
        <w:t>largest anthropogenically induced hypoxic area in the world</w:t>
      </w:r>
      <w:r>
        <w:rPr>
          <w:rFonts w:eastAsia="Times New Roman"/>
          <w:sz w:val="24"/>
          <w:szCs w:val="24"/>
        </w:rPr>
        <w:t xml:space="preserve"> </w:t>
      </w:r>
      <w:r>
        <w:rPr>
          <w:rFonts w:eastAsia="Times New Roman"/>
          <w:sz w:val="24"/>
          <w:szCs w:val="24"/>
        </w:rPr>
        <w:fldChar w:fldCharType="begin"/>
      </w:r>
      <w:r>
        <w:rPr>
          <w:rFonts w:eastAsia="Times New Roman"/>
          <w:sz w:val="24"/>
          <w:szCs w:val="24"/>
        </w:rPr>
        <w:instrText xml:space="preserve"> ADDIN ZOTERO_ITEM CSL_CITATION {"citationID":"w7jLlCgq","properties":{"formattedCitation":"(Carstensen {\\i{}et al.}, 2014)","plainCitation":"(Carstensen et al., 2014)","noteIndex":0},"citationItems":[{"id":2269,"uris":["http://zotero.org/users/6116610/items/A84IJ36F"],"uri":["http://zotero.org/users/6116610/items/A84IJ36F"],"itemData":{"id":2269,"type":"article-journal","abstract":"Deoxygenation is a global problem in coastal and open regions of the ocean, and has led to expanding areas of oxygen minimum zones and coastal hypoxia. The recent expansion of hypoxia in coastal ecosystems has been primarily attributed to global warming and enhanced nutrient input from land and atmosphere. The largest anthropogenically induced hypoxic area in the world is the Baltic Sea, where the relative importance of physical forcing versus eutrophication is still debated. We have analyzed water column oxygen and salinity profiles to reconstruct oxygen and stratification conditions over the last 115 y and compare the influence of both climate and anthropogenic forcing on hypoxia. We report a 10-fold increase of hypoxia in the Baltic Sea and show that this is primarily linked to increased inputs of nutrients from land, although increased respiration from higher temperatures during the last two decades has contributed to worsening oxygen conditions. Although shifts in climate and physical circulation are important factors modulating the extent of hypoxia, further nutrient reductions in the Baltic Sea will be necessary to reduce the ecosystems impacts of deoxygenation.","container-title":"Proceedings of the National Academy of Sciences","DOI":"10.1073/pnas.1323156111","ISSN":"0027-8424, 1091-6490","issue":"15","journalAbbreviation":"PNAS","language":"en","note":"publisher: National Academy of Sciences\nsection: Biological Sciences\nPMID: 24706804","page":"5628-5633","source":"www.pnas.org","title":"Deoxygenation of the Baltic Sea during the last century","volume":"111","author":[{"family":"Carstensen","given":"Jacob"},{"family":"Andersen","given":"Jesper H."},{"family":"Gustafsson","given":"Bo G."},{"family":"Conley","given":"Daniel J."}],"issued":{"date-parts":[["2014",4,15]]}}}],"schema":"https://github.com/citation-style-language/schema/raw/master/csl-citation.json"} </w:instrText>
      </w:r>
      <w:r>
        <w:rPr>
          <w:rFonts w:eastAsia="Times New Roman"/>
          <w:sz w:val="24"/>
          <w:szCs w:val="24"/>
        </w:rPr>
        <w:fldChar w:fldCharType="separate"/>
      </w:r>
      <w:r w:rsidRPr="00A138FC">
        <w:rPr>
          <w:sz w:val="24"/>
        </w:rPr>
        <w:t xml:space="preserve">(Carstensen </w:t>
      </w:r>
      <w:r w:rsidRPr="00A138FC">
        <w:rPr>
          <w:i/>
          <w:iCs/>
          <w:sz w:val="24"/>
        </w:rPr>
        <w:t>et al.</w:t>
      </w:r>
      <w:r w:rsidRPr="00A138FC">
        <w:rPr>
          <w:sz w:val="24"/>
        </w:rPr>
        <w:t>, 2014)</w:t>
      </w:r>
      <w:r>
        <w:rPr>
          <w:rFonts w:eastAsia="Times New Roman"/>
          <w:sz w:val="24"/>
          <w:szCs w:val="24"/>
        </w:rPr>
        <w:fldChar w:fldCharType="end"/>
      </w:r>
      <w:r>
        <w:rPr>
          <w:rFonts w:eastAsia="Times New Roman"/>
          <w:sz w:val="24"/>
          <w:szCs w:val="24"/>
        </w:rPr>
        <w:t xml:space="preserve">. Factors that make the Baltic Sea exposed to hypoxia is the irregular inflows of saline and oxygenated water from the North Sea together with a long residence time (25-30 years) </w:t>
      </w:r>
      <w:r>
        <w:rPr>
          <w:rFonts w:eastAsia="Times New Roman"/>
          <w:sz w:val="24"/>
          <w:szCs w:val="24"/>
        </w:rPr>
        <w:fldChar w:fldCharType="begin"/>
      </w:r>
      <w:r>
        <w:rPr>
          <w:rFonts w:eastAsia="Times New Roman"/>
          <w:sz w:val="24"/>
          <w:szCs w:val="24"/>
        </w:rPr>
        <w:instrText xml:space="preserve"> ADDIN ZOTERO_ITEM CSL_CITATION {"citationID":"LuoqIaRK","properties":{"formattedCitation":"(Carstensen {\\i{}et al.}, 2014)","plainCitation":"(Carstensen et al., 2014)","noteIndex":0},"citationItems":[{"id":2269,"uris":["http://zotero.org/users/6116610/items/A84IJ36F"],"uri":["http://zotero.org/users/6116610/items/A84IJ36F"],"itemData":{"id":2269,"type":"article-journal","abstract":"Deoxygenation is a global problem in coastal and open regions of the ocean, and has led to expanding areas of oxygen minimum zones and coastal hypoxia. The recent expansion of hypoxia in coastal ecosystems has been primarily attributed to global warming and enhanced nutrient input from land and atmosphere. The largest anthropogenically induced hypoxic area in the world is the Baltic Sea, where the relative importance of physical forcing versus eutrophication is still debated. We have analyzed water column oxygen and salinity profiles to reconstruct oxygen and stratification conditions over the last 115 y and compare the influence of both climate and anthropogenic forcing on hypoxia. We report a 10-fold increase of hypoxia in the Baltic Sea and show that this is primarily linked to increased inputs of nutrients from land, although increased respiration from higher temperatures during the last two decades has contributed to worsening oxygen conditions. Although shifts in climate and physical circulation are important factors modulating the extent of hypoxia, further nutrient reductions in the Baltic Sea will be necessary to reduce the ecosystems impacts of deoxygenation.","container-title":"Proceedings of the National Academy of Sciences","DOI":"10.1073/pnas.1323156111","ISSN":"0027-8424, 1091-6490","issue":"15","journalAbbreviation":"PNAS","language":"en","note":"publisher: National Academy of Sciences\nsection: Biological Sciences\nPMID: 24706804","page":"5628-5633","source":"www.pnas.org","title":"Deoxygenation of the Baltic Sea during the last century","volume":"111","author":[{"family":"Carstensen","given":"Jacob"},{"family":"Andersen","given":"Jesper H."},{"family":"Gustafsson","given":"Bo G."},{"family":"Conley","given":"Daniel J."}],"issued":{"date-parts":[["2014",4,15]]}}}],"schema":"https://github.com/citation-style-language/schema/raw/master/csl-citation.json"} </w:instrText>
      </w:r>
      <w:r>
        <w:rPr>
          <w:rFonts w:eastAsia="Times New Roman"/>
          <w:sz w:val="24"/>
          <w:szCs w:val="24"/>
        </w:rPr>
        <w:fldChar w:fldCharType="separate"/>
      </w:r>
      <w:r w:rsidRPr="007A6367">
        <w:rPr>
          <w:sz w:val="24"/>
        </w:rPr>
        <w:t xml:space="preserve">(Carstensen </w:t>
      </w:r>
      <w:r w:rsidRPr="007A6367">
        <w:rPr>
          <w:i/>
          <w:iCs/>
          <w:sz w:val="24"/>
        </w:rPr>
        <w:t>et al.</w:t>
      </w:r>
      <w:r w:rsidRPr="007A6367">
        <w:rPr>
          <w:sz w:val="24"/>
        </w:rPr>
        <w:t>, 2014)</w:t>
      </w:r>
      <w:r>
        <w:rPr>
          <w:rFonts w:eastAsia="Times New Roman"/>
          <w:sz w:val="24"/>
          <w:szCs w:val="24"/>
        </w:rPr>
        <w:fldChar w:fldCharType="end"/>
      </w:r>
      <w:r>
        <w:rPr>
          <w:rFonts w:eastAsia="Times New Roman"/>
          <w:sz w:val="24"/>
          <w:szCs w:val="24"/>
        </w:rPr>
        <w:t xml:space="preserve">. </w:t>
      </w:r>
    </w:p>
    <w:p w14:paraId="7384BE35" w14:textId="77777777" w:rsidR="00D26009" w:rsidRDefault="00D26009" w:rsidP="00D26009">
      <w:pPr>
        <w:spacing w:line="480" w:lineRule="auto"/>
        <w:ind w:firstLine="284"/>
        <w:contextualSpacing/>
        <w:jc w:val="both"/>
        <w:rPr>
          <w:rFonts w:eastAsia="Times New Roman"/>
          <w:sz w:val="24"/>
          <w:szCs w:val="24"/>
        </w:rPr>
      </w:pPr>
      <w:r>
        <w:rPr>
          <w:rFonts w:eastAsia="Times New Roman"/>
          <w:sz w:val="24"/>
          <w:szCs w:val="24"/>
        </w:rPr>
        <w:t>While variables related to the extent of hypoxic areas correlate with a decline in body condition, the story in the Baltic Sea is more complicated than that. In fact, s</w:t>
      </w:r>
      <w:r w:rsidRPr="00F2588D">
        <w:rPr>
          <w:rFonts w:eastAsia="Times New Roman"/>
          <w:sz w:val="24"/>
          <w:szCs w:val="24"/>
        </w:rPr>
        <w:t xml:space="preserve">everal </w:t>
      </w:r>
      <w:r>
        <w:rPr>
          <w:rFonts w:eastAsia="Times New Roman"/>
          <w:sz w:val="24"/>
          <w:szCs w:val="24"/>
        </w:rPr>
        <w:t xml:space="preserve">interlinked density-dependent </w:t>
      </w:r>
      <w:r w:rsidRPr="00F2588D">
        <w:rPr>
          <w:rFonts w:eastAsia="Times New Roman"/>
          <w:sz w:val="24"/>
          <w:szCs w:val="24"/>
        </w:rPr>
        <w:t xml:space="preserve">hypotheses have been put forward to explain </w:t>
      </w:r>
      <w:r>
        <w:rPr>
          <w:rFonts w:eastAsia="Times New Roman"/>
          <w:sz w:val="24"/>
          <w:szCs w:val="24"/>
        </w:rPr>
        <w:t xml:space="preserve">the negative trend in body condition and growth starting after the collapse of the </w:t>
      </w:r>
      <w:r w:rsidRPr="00F2588D">
        <w:rPr>
          <w:rFonts w:eastAsia="Times New Roman"/>
          <w:sz w:val="24"/>
          <w:szCs w:val="24"/>
        </w:rPr>
        <w:t xml:space="preserve">Eastern Baltic cod </w:t>
      </w:r>
      <w:r>
        <w:rPr>
          <w:rFonts w:eastAsia="Times New Roman"/>
          <w:sz w:val="24"/>
          <w:szCs w:val="24"/>
        </w:rPr>
        <w:t xml:space="preserve">stock in the early </w:t>
      </w:r>
      <w:r w:rsidRPr="00F2588D">
        <w:rPr>
          <w:rFonts w:eastAsia="Times New Roman"/>
          <w:sz w:val="24"/>
          <w:szCs w:val="24"/>
        </w:rPr>
        <w:t>1990’s</w:t>
      </w:r>
      <w:r>
        <w:rPr>
          <w:rFonts w:eastAsia="Times New Roman"/>
          <w:sz w:val="24"/>
          <w:szCs w:val="24"/>
        </w:rPr>
        <w:t xml:space="preserve"> and the following regime shift</w:t>
      </w:r>
      <w:r w:rsidRPr="00F2588D">
        <w:rPr>
          <w:rFonts w:eastAsia="Times New Roman"/>
          <w:sz w:val="24"/>
          <w:szCs w:val="24"/>
        </w:rPr>
        <w:t xml:space="preserve"> </w:t>
      </w:r>
      <w:r w:rsidRPr="00F2588D">
        <w:rPr>
          <w:rFonts w:eastAsia="Times New Roman"/>
          <w:sz w:val="24"/>
          <w:szCs w:val="24"/>
        </w:rPr>
        <w:fldChar w:fldCharType="begin"/>
      </w:r>
      <w:r w:rsidRPr="00F2588D">
        <w:rPr>
          <w:rFonts w:eastAsia="Times New Roman"/>
          <w:sz w:val="24"/>
          <w:szCs w:val="24"/>
        </w:rPr>
        <w:instrText xml:space="preserve"> ADDIN ZOTERO_ITEM CSL_CITATION {"citationID":"3mg0lB65","properties":{"formattedCitation":"(Casini {\\i{}et al.}, 2009; M\\uc0\\u246{}llmann {\\i{}et al.}, 2009; G\\uc0\\u229{}rdmark {\\i{}et al.}, 2015)","plainCitation":"(Casini et al., 2009; Möllmann et al., 2009; Gårdmark et al., 2015)","noteIndex":0},"citationItems":[{"id":261,"uris":["http://zotero.org/users/6116610/items/FYIQFDXV"],"uri":["http://zotero.org/users/6116610/items/FYIQFDXV"],"itemData":{"id":261,"type":"article-journal","container-title":"Proceedings of the National Academy of Sciences, USA","issue":"1","page":"197–202","title":"Trophic cascades promote threshold-like shifts in pelagic marine ecosystems","volume":"106","author":[{"family":"Casini","given":"Michele"},{"family":"Hjelm","given":"Joakim"},{"family":"Molinero","given":"Juan-Carlos"},{"family":"Lövgren","given":"Johan"},{"family":"Cardinale","given":"Massimiliano"},{"family":"Bartolino","given":"Valerio"},{"family":"Belgrano","given":"Andrea"},{"family":"Kornilovs","given":"Georgs"}],"issued":{"date-parts":[["2009"]]}}},{"id":910,"uris":["http://zotero.org/users/6116610/items/DVZJXZ48"],"uri":["http://zotero.org/users/6116610/items/DVZJXZ48"],"itemData":{"id":910,"type":"article-journal","abstract":"Marine ecosystems such as the Baltic Sea are currently under strong atmospheric and anthropogenic pressure. Besides natural and human-induced changes in climate, major anthropogenic drivers such as overfishing and anthropogenic eutrophication are significantly affecting ecosystem structure and function. Recently, studies demonstrated the existence of alternative stable states in various terrestrial and aquatic ecosystems. These so-called ecosystem regime shifts have been explained mainly as a result of multiple causes, e.g. climatic regime shifts, overexploitation or a combination of both. The occurrence of ecosystem regime shifts has important management implications, as they can cause significant losses of ecological and economic resources. Because of hysteresis in ecosystem responses, restoring regimes considered as favourable may require drastic and expensive management actions. Also the Baltic Sea, the largest brackish water body in the world ocean, and its ecosystems are strongly affected by atmospheric and anthropogenic drivers. Here, we present results of an analysis of the state and development of the Central Baltic Sea ecosystem integrating hydroclimatic, nutrient, phyto- and zooplankton as well as fisheries data. Our analyses of 52 biotic and abiotic variables using multivariate statistics demonstrated a major reorganization of the ecosystem and identified two stable states between 1974 and 2005, separated by a transition period in 1988–1993. We show the change in Baltic ecosystem structure to have the characteristics of a discontinuous regime shift, initiated by climate-induced changes in the abiotic environment and stabilized by fisheries-induced feedback loops in the food web. Our results indicate the importance of maintaining the resilience of an ecosystem to atmospherically induced environmental change by reducing the anthropogenic impact.","container-title":"Global Change Biology","DOI":"10.1111/j.1365-2486.2008.01814.x","ISSN":"1365-2486","issue":"6","language":"en","page":"1377-1393","source":"Wiley Online Library","title":"Reorganization of a large marine ecosystem due to atmospheric and anthropogenic pressure: a discontinuous regime shift in the Central Baltic Sea","title-short":"Reorganization of a large marine ecos</w:instrText>
      </w:r>
      <w:r w:rsidRPr="00B21FFF">
        <w:rPr>
          <w:rFonts w:eastAsia="Times New Roman"/>
          <w:sz w:val="24"/>
          <w:szCs w:val="24"/>
          <w:lang w:val="en-US"/>
        </w:rPr>
        <w:instrText xml:space="preserve">ystem due to atmospheric and anthropogenic pressure","volume":"15","author":[{"family":"Möllmann","given":"Christian"},{"family":"Diekmann","given":"Rabea"},{"family":"Müller‐Karulis","given":"Bärbel"},{"family":"Kornilovs","given":"Georgs"},{"family":"Plikshs","given":"Maris"},{"family":"Axe","given":"Philip"}],"issued":{"date-parts":[["2009"]]}}},{"id":810,"uris":["http://zotero.org/users/6116610/items/SJT7RQU9"],"uri":["http://zotero.org/users/6116610/items/SJT7RQU9"],"itemData":{"id":810,"type":"article-journal","container-title":"Philosophical Transactions of the Royal Society B: Biological Sciences","DOI":"10.1098/rstb.2013.0262","ISSN":"0962-8436, 1471-2970","issue":"1659","journalAbbreviation":"Phil. Trans. R. Soc. B","language":"en","page":"20130262","source":"DOI.org (Crossref)","title":"Regime shifts in exploited marine food webs: detecting mechanisms underlying alternative stable states using size-structured community dynamics theory","title-short":"Regime shifts in exploited marine food webs","volume":"370","author":[{"family":"Gårdmark","given":"Anna"},{"family":"Casini","given":"Michele"},{"family":"Huss","given":"Magnus"},{"family":"Leeuwen","given":"Anieke","non-dropping-particle":"van"},{"family":"Hjelm","given":"Joakim"},{"family":"Persson","given":"Lennart"},{"family":"Roos","given":"André M.","non-dropping-particle":"de"}],"issued":{"date-parts":[["2015",1,5]]}}}],"schema":"https://github.com/citation-style-language/schema/raw/master/csl-citation.json"} </w:instrText>
      </w:r>
      <w:r w:rsidRPr="00F2588D">
        <w:rPr>
          <w:rFonts w:eastAsia="Times New Roman"/>
          <w:sz w:val="24"/>
          <w:szCs w:val="24"/>
        </w:rPr>
        <w:fldChar w:fldCharType="separate"/>
      </w:r>
      <w:r w:rsidRPr="00B21FFF">
        <w:rPr>
          <w:sz w:val="24"/>
          <w:szCs w:val="24"/>
          <w:lang w:val="en-US"/>
        </w:rPr>
        <w:t xml:space="preserve">(Casini </w:t>
      </w:r>
      <w:r w:rsidRPr="00B21FFF">
        <w:rPr>
          <w:i/>
          <w:iCs/>
          <w:sz w:val="24"/>
          <w:szCs w:val="24"/>
          <w:lang w:val="en-US"/>
        </w:rPr>
        <w:t>et al.</w:t>
      </w:r>
      <w:r w:rsidRPr="00B21FFF">
        <w:rPr>
          <w:sz w:val="24"/>
          <w:szCs w:val="24"/>
          <w:lang w:val="en-US"/>
        </w:rPr>
        <w:t xml:space="preserve">, 2009; Möllmann </w:t>
      </w:r>
      <w:r w:rsidRPr="00B21FFF">
        <w:rPr>
          <w:i/>
          <w:iCs/>
          <w:sz w:val="24"/>
          <w:szCs w:val="24"/>
          <w:lang w:val="en-US"/>
        </w:rPr>
        <w:t>et al.</w:t>
      </w:r>
      <w:r w:rsidRPr="00B21FFF">
        <w:rPr>
          <w:sz w:val="24"/>
          <w:szCs w:val="24"/>
          <w:lang w:val="en-US"/>
        </w:rPr>
        <w:t xml:space="preserve">, 2009; Gårdmark </w:t>
      </w:r>
      <w:r w:rsidRPr="00B21FFF">
        <w:rPr>
          <w:i/>
          <w:iCs/>
          <w:sz w:val="24"/>
          <w:szCs w:val="24"/>
          <w:lang w:val="en-US"/>
        </w:rPr>
        <w:t>et al.</w:t>
      </w:r>
      <w:r w:rsidRPr="00B21FFF">
        <w:rPr>
          <w:sz w:val="24"/>
          <w:szCs w:val="24"/>
          <w:lang w:val="en-US"/>
        </w:rPr>
        <w:t>, 2015)</w:t>
      </w:r>
      <w:r w:rsidRPr="00F2588D">
        <w:rPr>
          <w:rFonts w:eastAsia="Times New Roman"/>
          <w:sz w:val="24"/>
          <w:szCs w:val="24"/>
        </w:rPr>
        <w:fldChar w:fldCharType="end"/>
      </w:r>
      <w:r w:rsidRPr="00F2588D">
        <w:rPr>
          <w:rFonts w:eastAsia="Times New Roman"/>
          <w:sz w:val="24"/>
          <w:szCs w:val="24"/>
        </w:rPr>
        <w:t xml:space="preserve">. </w:t>
      </w:r>
      <w:r>
        <w:rPr>
          <w:rFonts w:eastAsia="Times New Roman"/>
          <w:sz w:val="24"/>
          <w:szCs w:val="24"/>
        </w:rPr>
        <w:t xml:space="preserve">These include increased intra- and intraspecific competition </w:t>
      </w:r>
      <w:r w:rsidRPr="00F2588D">
        <w:rPr>
          <w:rFonts w:eastAsia="Times New Roman"/>
          <w:sz w:val="24"/>
          <w:szCs w:val="24"/>
        </w:rPr>
        <w:t xml:space="preserve">for benthic prey, such as the isopod </w:t>
      </w:r>
      <w:r w:rsidRPr="00F2588D">
        <w:rPr>
          <w:rFonts w:eastAsia="Times New Roman"/>
          <w:i/>
          <w:sz w:val="24"/>
          <w:szCs w:val="24"/>
        </w:rPr>
        <w:t>Saduria entomon</w:t>
      </w:r>
      <w:r w:rsidRPr="00A54BD6">
        <w:rPr>
          <w:rFonts w:eastAsia="Times New Roman"/>
          <w:iCs/>
          <w:sz w:val="24"/>
          <w:szCs w:val="24"/>
        </w:rPr>
        <w:t>,</w:t>
      </w:r>
      <w:r>
        <w:rPr>
          <w:rFonts w:eastAsia="Times New Roman"/>
          <w:iCs/>
          <w:sz w:val="24"/>
          <w:szCs w:val="24"/>
        </w:rPr>
        <w:t xml:space="preserve"> and lack of pelagic prey caused by changes in the spatial distribution of sprat (</w:t>
      </w:r>
      <w:r w:rsidRPr="0041560E">
        <w:rPr>
          <w:rFonts w:eastAsia="Times New Roman"/>
          <w:i/>
          <w:sz w:val="24"/>
          <w:szCs w:val="24"/>
        </w:rPr>
        <w:t>Sprattus sprattus</w:t>
      </w:r>
      <w:r>
        <w:rPr>
          <w:rFonts w:eastAsia="Times New Roman"/>
          <w:iCs/>
          <w:sz w:val="24"/>
          <w:szCs w:val="24"/>
        </w:rPr>
        <w:t xml:space="preserve">). The former has been linked to </w:t>
      </w:r>
      <w:r>
        <w:rPr>
          <w:rFonts w:eastAsia="Times New Roman"/>
          <w:sz w:val="24"/>
          <w:szCs w:val="24"/>
        </w:rPr>
        <w:t xml:space="preserve">fishery-induced size truncation of the cod stock increasing intraspecific competition </w:t>
      </w:r>
      <w:r w:rsidRPr="00F2588D">
        <w:rPr>
          <w:rFonts w:eastAsia="Times New Roman"/>
          <w:sz w:val="24"/>
          <w:szCs w:val="24"/>
        </w:rPr>
        <w:fldChar w:fldCharType="begin"/>
      </w:r>
      <w:r w:rsidRPr="00F2588D">
        <w:rPr>
          <w:rFonts w:eastAsia="Times New Roman"/>
          <w:sz w:val="24"/>
          <w:szCs w:val="24"/>
        </w:rPr>
        <w:instrText xml:space="preserve"> ADDIN ZOTERO_ITEM CSL_CITATION {"citationID":"BSMruUZ4","properties":{"formattedCitation":"(Sved\\uc0\\u228{}ng and Hornborg, 2014)","plainCitation":"(Svedäng and Hornborg, 2014)","noteIndex":0},"citationItems":[{"id":156,"uris":["http://zotero.org/users/6116610/items/IDYQ34SF"],"uri":["http://zotero.org/users/6116610/items/IDYQ34SF"],"itemData":{"id":156,"type":"article-journal","abstract":"Over the last decades, views on fisheries management have oscillated between alarm and trust in management progress. The predominant policy for remedying the world fishing crisis aims at maximum sustainable yield (MSY) by adjusting gear selectivity and fishing effort. Here we report a case study on how striving for higher yields from the Eastern Baltic cod stock by increasing selectivity has become exceedingly detrimental for its productivity. Although there is a successive increase in numbers of undersized fish, growth potential is severely reduced, and fishing mortality in fishable size has increased. Once density-dependent growth is introduced, the process is self-enforcing as long as the recruitment remains stable. Our findings suggest that policies focusing on maximum yield while targeting greater sizes are risky and should instead prioritize catch rates over yield. Disregarding the underlying population structure may jeopardize stock productivity, with dire consequences for the fishing industry and ecosystem structure and function.","container-title":"Nature Communications","DOI":"10.1038/ncomms5152","note":"PMID: 24920387","page":"4152","title":"Selective fishing induces density-dependent growth","volume":"5","author":[{"family":"Svedäng","given":"H"},{"family":"Hornborg","given":"S"}],"issued":{"date-parts":[["2014"]]}}}],"schema":"https://github.com/citation-style-language/schema/raw/master/csl-citation.json"} </w:instrText>
      </w:r>
      <w:r w:rsidRPr="00F2588D">
        <w:rPr>
          <w:rFonts w:eastAsia="Times New Roman"/>
          <w:sz w:val="24"/>
          <w:szCs w:val="24"/>
        </w:rPr>
        <w:fldChar w:fldCharType="separate"/>
      </w:r>
      <w:r w:rsidRPr="00F2588D">
        <w:rPr>
          <w:sz w:val="24"/>
          <w:szCs w:val="24"/>
        </w:rPr>
        <w:t>(Svedäng and Hornborg, 2014)</w:t>
      </w:r>
      <w:r w:rsidRPr="00F2588D">
        <w:rPr>
          <w:rFonts w:eastAsia="Times New Roman"/>
          <w:sz w:val="24"/>
          <w:szCs w:val="24"/>
        </w:rPr>
        <w:fldChar w:fldCharType="end"/>
      </w:r>
      <w:r>
        <w:rPr>
          <w:rFonts w:eastAsia="Times New Roman"/>
          <w:sz w:val="24"/>
          <w:szCs w:val="24"/>
        </w:rPr>
        <w:t xml:space="preserve">, and a hypoxia-driven spatial </w:t>
      </w:r>
      <w:r w:rsidRPr="00F2588D">
        <w:rPr>
          <w:rFonts w:eastAsia="Times New Roman"/>
          <w:sz w:val="24"/>
          <w:szCs w:val="24"/>
        </w:rPr>
        <w:t>range contraction caus</w:t>
      </w:r>
      <w:r>
        <w:rPr>
          <w:rFonts w:eastAsia="Times New Roman"/>
          <w:sz w:val="24"/>
          <w:szCs w:val="24"/>
        </w:rPr>
        <w:t xml:space="preserve">ing </w:t>
      </w:r>
      <w:r w:rsidRPr="00F2588D">
        <w:rPr>
          <w:rFonts w:eastAsia="Times New Roman"/>
          <w:sz w:val="24"/>
          <w:szCs w:val="24"/>
        </w:rPr>
        <w:t xml:space="preserve">an increased </w:t>
      </w:r>
      <w:r>
        <w:rPr>
          <w:rFonts w:eastAsia="Times New Roman"/>
          <w:sz w:val="24"/>
          <w:szCs w:val="24"/>
        </w:rPr>
        <w:t>spatial overlap with the potential competitor</w:t>
      </w:r>
      <w:r w:rsidRPr="00F2588D">
        <w:rPr>
          <w:rFonts w:eastAsia="Times New Roman"/>
          <w:sz w:val="24"/>
          <w:szCs w:val="24"/>
        </w:rPr>
        <w:t xml:space="preserve"> European flounder (</w:t>
      </w:r>
      <w:r w:rsidRPr="00F2588D">
        <w:rPr>
          <w:rFonts w:eastAsia="Times New Roman"/>
          <w:i/>
          <w:sz w:val="24"/>
          <w:szCs w:val="24"/>
        </w:rPr>
        <w:t>Platichtys flesus</w:t>
      </w:r>
      <w:r w:rsidRPr="00F2588D">
        <w:rPr>
          <w:rFonts w:eastAsia="Times New Roman"/>
          <w:sz w:val="24"/>
          <w:szCs w:val="24"/>
        </w:rPr>
        <w:t>)</w:t>
      </w:r>
      <w:r>
        <w:rPr>
          <w:rFonts w:eastAsia="Times New Roman"/>
          <w:sz w:val="24"/>
          <w:szCs w:val="24"/>
        </w:rPr>
        <w:t xml:space="preserve"> </w:t>
      </w:r>
      <w:r w:rsidRPr="00F2588D">
        <w:rPr>
          <w:rFonts w:eastAsia="Times New Roman"/>
          <w:iCs/>
          <w:sz w:val="24"/>
          <w:szCs w:val="24"/>
        </w:rPr>
        <w:fldChar w:fldCharType="begin"/>
      </w:r>
      <w:r>
        <w:rPr>
          <w:rFonts w:eastAsia="Times New Roman"/>
          <w:iCs/>
          <w:sz w:val="24"/>
          <w:szCs w:val="24"/>
        </w:rPr>
        <w:instrText xml:space="preserve"> ADDIN ZOTERO_ITEM CSL_CITATION {"citationID":"TlvY5qCF","properties":{"formattedCitation":"(Casini {\\i{}et al.}, 2016a; Orio {\\i{}et al.}, 2019; Neuenfeldt {\\i{}et al.}, 2020)","plainCitation":"(Casini et al., 2016a; Orio et al., 2019; Neuenfeldt et al., 2020)","noteIndex":0},"citationItems":[{"id":794,"uris":["http://zotero.org/users/6116610/items/39XLSPWN"],"uri":["http://zotero.org/users/6116610/items/39XLSPWN"],"itemData":{"id":794,"type":"article-journal","abstract":"Investigating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population.","container-title":"Royal Society Open Science","DOI":"10.1098/rsos.160416","issue":"10","journalAbbreviation":"Royal Society Open Science","page":"160416","source":"royalsocietypublishing.org (Atypon)","title":"Hypoxic areas, density-dependence and food limitation drive the body condition of a heavily exploited marine fish predator","volume":"3","author":[{"family":"Casini","given":"Michele"},{"family":"Käll","given":"Filip"},{"family":"Hansson","given":"Martin"},{"family":"Plikshs","given":"Maris"},{"family":"Baranova","given":"Tatjana"},{"family":"Karlsson","given":"Olle"},{"family":"Lundström","given":"Karl"},{"family":"Neuenfeldt","given":"Stefan"},{"family":"Gårdmark","given":"Anna"},{"family":"Hjelm","given":"Joakim"}],"issued":{"date-parts":[["2016"]]}}},{"id":967,"uris":["http://zotero.org/users/6116610/items/K43P9JFL"],"uri":["http://zotero.org/users/6116610/items/K43P9JFL"],"itemData":{"id":967,"type":"article-journal","abstract":"Five decades of stomach content data allowed insight into the development of consumption, diet composition, and resulting somatic growth of Gadus morhua (Atlantic cod) in the eastern Baltic Sea. We show a recent reversal in feeding level over body length. Present feeding levels of small cod indicate severe growth limitation and increased starvation-related mortality. For young cod, the low growth rate and the high mortality rate are manifested through a reduction in size-at-age. The low feeding levels are likely the result of a decrease in benthic prey abundance due to increased hypoxic areas, while decreasing abundances of pelagic species in the area of cod distribution have prevented a compensatory shift in diet. Our study emphasizes that environmental forcing and the decline in pelagic prey caused changes in consumption and growth rates of small cod. The food reduction is ampliﬁed by stunted growth leading to high densities of cod of smaller size competing for the scarce resources. The average growth rate is negative, and only individuals with feeding levels well above average will survive, though growing slowly. These results suggest that the relation between consumption rate, somatic growth and predatorprey population densities is strongly environmentally mediated.","container-title":"ICES Journal of Marine Science","DOI":"10.1093/icesjms/fsz224","ISSN":"1054-3139, 1095-9289","issue":"2","language":"en","page":"624-632","source":"DOI.org (Crossref)","title":"Feeding and growth of Atlantic cod (&lt;i&gt;Gadus morhua&lt;/i&gt; L.) in the eastern Baltic Sea under environmental change","volume":"77","author":[{"family":"Neuenfeldt","given":"Stefan"},{"family":"Bartolino","given":"Valerio"},{"family":"Orio","given":"Alessandro"},{"family":"Andersen","given":"Ken H"},{"family":"Andersen","given":"Niels G"},{"family":"Niiranen","given":"Susa"},{"family":"Bergström","given":"Ulf"},{"family":"Ustups","given":"Didzis"},{"family":"Kulatska","given":"Nataliia"},{"family":"Casini","given":"Michele"}],"editor":[{"family":"Ojaveer","given":"Henn"}],"issued":{"date-parts":[["2020"]]}}},{"id":1946,"uris":["http://zotero.org/users/6116610/items/MR2VKVWS"],"uri":["http://zotero.org/users/6116610/items/MR2VKVWS"],"itemData":{"id":1946,"type":"article-journal","abstract":"Abstract Aim The interdependencies between trophic interactions, environmental factors and anthropogenic forcing determine how species distributions change over time. Large changes in species distributions have occurred as a result of climate change. The objective of this study was to analyse how the spatial distribution of cod and flounder has changed in the Baltic Sea during the past four decades characterized by large hydrological changes. Location Baltic Sea Taxon Cod (Gadus morhua) and flounder (Platichthys flesus). Methods Catch per unit of effort (CPUE) data for adult and juvenile cod and for adult flounder were modelled using Delta-Generalized additive models including environmental and geographical variables between 1979 and 2016. From the annual CPUE predictions for each species, yearly distribution maps and depth distribution curves were obtained. Mean depth and the depth range were estimated to provide an indication on preferred depth and habitat occupancy. Results Adult and juvenile cod showed a contraction in their distribution in the southern areas of the Baltic Sea. Flounder, instead, showed an expansion in its distribution with an increase in abundance in the northern areas. The depth distributions showed a progressive shift of the mean depth of occurrence towards shallower waters for adult cod and flounder and towards deeper waters for juvenile cod, as well as a contraction of the species depth ranges, evident mainly from the late 1980s. Main conclusions Our study illustrates large changes in the spatial distribution of cod and flounder in the Baltic Sea. The changes in depth distribution occurred from the late 1980s are probably due to a combination of expanded areas of hypoxia in deep waters and an increase in predation risk in shallow waters. The net effect of these changes is an increased spatial overlap between life stages and species, which may amplify cod cannibalism and the interaction strength between cod and flounder.","container-title":"Journal of Biogeography","DOI":"10.1111/jbi.13510","ISSN":"0305-0270","issue":"3","journalAbbreviation":"Journal of Biogeography","note":"publisher: John Wiley &amp; Sons, Ltd","page":"633-645","source":"onlinelibrary.wiley.com (Atypon)","title":"Spatial contraction of demersal fish populations in a large marine ecosystem","volume":"46","author":[{"family":"Orio","given":"Alessandro"},{"family":"Bergström","given":"Ulf"},{"family":"Florin","given":"Ann-Britt"},{"family":"Lehmann","given":"Andreas"},{"family":"Šics","given":"Ivo"},{"family":"Casini","given":"Michele"}],"issued":{"date-parts":[["2019",3,1]]}}}],"schema":"https://github.com/citation-style-language/schema/raw/master/csl-citation.json"} </w:instrText>
      </w:r>
      <w:r w:rsidRPr="00F2588D">
        <w:rPr>
          <w:rFonts w:eastAsia="Times New Roman"/>
          <w:iCs/>
          <w:sz w:val="24"/>
          <w:szCs w:val="24"/>
        </w:rPr>
        <w:fldChar w:fldCharType="separate"/>
      </w:r>
      <w:r w:rsidRPr="004B3D61">
        <w:rPr>
          <w:sz w:val="24"/>
        </w:rPr>
        <w:t xml:space="preserve">(Casini </w:t>
      </w:r>
      <w:r w:rsidRPr="004B3D61">
        <w:rPr>
          <w:i/>
          <w:iCs/>
          <w:sz w:val="24"/>
        </w:rPr>
        <w:t>et al.</w:t>
      </w:r>
      <w:r w:rsidRPr="004B3D61">
        <w:rPr>
          <w:sz w:val="24"/>
        </w:rPr>
        <w:t xml:space="preserve">, 2016a; Orio </w:t>
      </w:r>
      <w:r w:rsidRPr="004B3D61">
        <w:rPr>
          <w:i/>
          <w:iCs/>
          <w:sz w:val="24"/>
        </w:rPr>
        <w:t>et al.</w:t>
      </w:r>
      <w:r w:rsidRPr="004B3D61">
        <w:rPr>
          <w:sz w:val="24"/>
        </w:rPr>
        <w:t xml:space="preserve">, 2019; Neuenfeldt </w:t>
      </w:r>
      <w:r w:rsidRPr="004B3D61">
        <w:rPr>
          <w:i/>
          <w:iCs/>
          <w:sz w:val="24"/>
        </w:rPr>
        <w:t>et al.</w:t>
      </w:r>
      <w:r w:rsidRPr="004B3D61">
        <w:rPr>
          <w:sz w:val="24"/>
        </w:rPr>
        <w:t>, 2020)</w:t>
      </w:r>
      <w:r w:rsidRPr="00F2588D">
        <w:rPr>
          <w:rFonts w:eastAsia="Times New Roman"/>
          <w:iCs/>
          <w:sz w:val="24"/>
          <w:szCs w:val="24"/>
        </w:rPr>
        <w:fldChar w:fldCharType="end"/>
      </w:r>
      <w:r w:rsidRPr="00F2588D">
        <w:rPr>
          <w:rFonts w:eastAsia="Times New Roman"/>
          <w:sz w:val="24"/>
          <w:szCs w:val="24"/>
        </w:rPr>
        <w:t xml:space="preserve">. </w:t>
      </w:r>
      <w:r>
        <w:rPr>
          <w:rFonts w:eastAsia="Times New Roman"/>
          <w:sz w:val="24"/>
          <w:szCs w:val="24"/>
        </w:rPr>
        <w:t xml:space="preserve">Hypoxia has also been suggested to lower the condition of cod directly via </w:t>
      </w:r>
      <w:r w:rsidRPr="00F2588D">
        <w:rPr>
          <w:rFonts w:eastAsia="Times New Roman"/>
          <w:sz w:val="24"/>
          <w:szCs w:val="24"/>
        </w:rPr>
        <w:t xml:space="preserve">physiological </w:t>
      </w:r>
      <w:r>
        <w:rPr>
          <w:rFonts w:eastAsia="Times New Roman"/>
          <w:sz w:val="24"/>
          <w:szCs w:val="24"/>
        </w:rPr>
        <w:t>stress</w:t>
      </w:r>
      <w:r w:rsidRPr="00F2588D">
        <w:rPr>
          <w:rFonts w:eastAsia="Times New Roman"/>
          <w:sz w:val="24"/>
          <w:szCs w:val="24"/>
        </w:rPr>
        <w:t xml:space="preserve">, including increased ventilation costs and lower food intake rates </w:t>
      </w:r>
      <w:r>
        <w:rPr>
          <w:rFonts w:eastAsia="Times New Roman"/>
          <w:sz w:val="24"/>
          <w:szCs w:val="24"/>
        </w:rPr>
        <w:fldChar w:fldCharType="begin"/>
      </w:r>
      <w:r>
        <w:rPr>
          <w:rFonts w:eastAsia="Times New Roman"/>
          <w:sz w:val="24"/>
          <w:szCs w:val="24"/>
        </w:rPr>
        <w:instrText xml:space="preserve"> ADDIN ZOTERO_ITEM CSL_CITATION {"citationID":"LegOvron","properties":{"formattedCitation":"(Limburg and Casini, 2019; Brander, 2020)","plainCitation":"(Limburg and Casini, 2019; Brander, 2020)","noteIndex":0},"citationItems":[{"id":2361,"uris":["http://zotero.org/users/6116610/items/7VRRX5L2"],"uri":["http://zotero.org/users/6116610/items/7VRRX5L2"],"itemData":{"id":2361,"type":"article-journal","abstract":"Deoxygenation worldwide is increasing in aquatic systems with implications for organisms' biology, communities and ecosystems. Eastern Baltic cod has experienced a strong decline in mean body condition (i.e. weight at a specific length) over the past 20 years with effects on the fishery relying on this resource. The decrease in cod condition has been tentatively linked in the literature to increased hypoxic areas potentially affecting habitat range, but also to benthic prey and/or cod physiology directly. To date, no studies have been performed to test these mechanisms. Using otolith trace element microchemistry and hypoxia-responding metrics based on manganese (Mn) and magnesium (Mg), we investigated the relationship between fish body condition at capture and exposure to hypoxia. Cod individuals collected after 2000 with low body condition had a higher level of Mn/Mg in the last year of life, indicating higher exposure to hypoxic waters than cod with high body condition. Moreover, lifetime exposure to hypoxia was even more strongly correlated to body condition, suggesting that condition may reflect long-term hypoxia status. These results were irrespective of fish age or sex. This implies that as Baltic cod visit poor-oxygen waters, perhaps searching for benthic food, they compromise their own performance. This study specifically sheds light on the mechanisms leading to the low condition of cod and generally points to the impact of deoxygenation on ecosystems and fisheries.","container-title":"Biology Letters","DOI":"10.1098/rsbl.2019.0352","issue":"12","journalAbbreviation":"Biology Letters","note":"publisher: Royal Society","page":"20190352","source":"royalsocietypublishing.org (Atypon)","title":"Otolith chemistry indicates recent worsened Baltic cod condition is linked to hypoxia exposure","volume":"15","author":[{"family":"Limburg","given":"Karin E."},{"family":"Casini","given":"Michele"}],"issued":{"date-parts":[["2019",12,24]]}}},{"id":2337,"uris":["http://zotero.org/users/6116610/items/V22SSVC6"],"uri":["http://zotero.org/users/6116610/items/V22SSVC6"],"itemData":{"id":2337,"type":"article-journal","abstract":"Abstract.  Daily food consumption by small Baltic Sea cod has declined in recent decades, resulting in reduced growth and biomass. Declining oxygen may cause lo","container-title":"ICES Journal of Marine Science","DOI":"10.1093/icesjms/fsaa041","ISSN":"1054-3139","issue":"5","journalAbbreviation":"ICES J Mar Sci","language":"en","note":"publisher: Oxford Academic","page":"2003-2005","source":"academic.oup.com","title":"Reduced growth in Baltic Sea cod may be due to mild hypoxia","volume":"77","author":[{"family":"Brander","given":"Keith"}],"issued":{"date-parts":[["2020",9,1]]}}}],"schema":"https://github.com/citation-style-language/schema/raw/master/csl-citation.json"} </w:instrText>
      </w:r>
      <w:r>
        <w:rPr>
          <w:rFonts w:eastAsia="Times New Roman"/>
          <w:sz w:val="24"/>
          <w:szCs w:val="24"/>
        </w:rPr>
        <w:fldChar w:fldCharType="separate"/>
      </w:r>
      <w:r>
        <w:rPr>
          <w:rFonts w:eastAsia="Times New Roman"/>
          <w:noProof/>
          <w:sz w:val="24"/>
          <w:szCs w:val="24"/>
        </w:rPr>
        <w:t>(Limburg and Casini, 2019; Brander, 2020)</w:t>
      </w:r>
      <w:r>
        <w:rPr>
          <w:rFonts w:eastAsia="Times New Roman"/>
          <w:sz w:val="24"/>
          <w:szCs w:val="24"/>
        </w:rPr>
        <w:fldChar w:fldCharType="end"/>
      </w:r>
      <w:r w:rsidRPr="00F2588D">
        <w:rPr>
          <w:rFonts w:eastAsia="Times New Roman"/>
          <w:sz w:val="24"/>
          <w:szCs w:val="24"/>
        </w:rPr>
        <w:t xml:space="preserve">. </w:t>
      </w:r>
    </w:p>
    <w:p w14:paraId="4681FBCD" w14:textId="77777777" w:rsidR="00D26009" w:rsidRDefault="00D26009" w:rsidP="00D26009">
      <w:pPr>
        <w:spacing w:line="480" w:lineRule="auto"/>
        <w:ind w:firstLine="284"/>
        <w:contextualSpacing/>
        <w:jc w:val="both"/>
        <w:rPr>
          <w:rFonts w:eastAsia="Times New Roman"/>
          <w:sz w:val="24"/>
          <w:szCs w:val="24"/>
        </w:rPr>
      </w:pPr>
      <w:r w:rsidRPr="00A414A8">
        <w:rPr>
          <w:rFonts w:eastAsia="Times New Roman"/>
          <w:sz w:val="24"/>
          <w:szCs w:val="24"/>
        </w:rPr>
        <w:lastRenderedPageBreak/>
        <w:t xml:space="preserve">The </w:t>
      </w:r>
      <w:r>
        <w:rPr>
          <w:rFonts w:eastAsia="Times New Roman"/>
          <w:sz w:val="24"/>
          <w:szCs w:val="24"/>
        </w:rPr>
        <w:t>association between these</w:t>
      </w:r>
      <w:r w:rsidRPr="00A414A8">
        <w:rPr>
          <w:rFonts w:eastAsia="Times New Roman"/>
          <w:sz w:val="24"/>
          <w:szCs w:val="24"/>
        </w:rPr>
        <w:t xml:space="preserve"> covariates </w:t>
      </w:r>
      <w:r>
        <w:rPr>
          <w:rFonts w:eastAsia="Times New Roman"/>
          <w:sz w:val="24"/>
          <w:szCs w:val="24"/>
        </w:rPr>
        <w:t xml:space="preserve">and body </w:t>
      </w:r>
      <w:r w:rsidRPr="00A414A8">
        <w:rPr>
          <w:rFonts w:eastAsia="Times New Roman"/>
          <w:sz w:val="24"/>
          <w:szCs w:val="24"/>
        </w:rPr>
        <w:t xml:space="preserve">condition </w:t>
      </w:r>
      <w:r>
        <w:rPr>
          <w:rFonts w:eastAsia="Times New Roman"/>
          <w:sz w:val="24"/>
          <w:szCs w:val="24"/>
        </w:rPr>
        <w:t xml:space="preserve">has </w:t>
      </w:r>
      <w:r w:rsidRPr="00A414A8">
        <w:rPr>
          <w:rFonts w:eastAsia="Times New Roman"/>
          <w:sz w:val="24"/>
          <w:szCs w:val="24"/>
        </w:rPr>
        <w:t xml:space="preserve">previously been </w:t>
      </w:r>
      <w:r>
        <w:rPr>
          <w:rFonts w:eastAsia="Times New Roman"/>
          <w:sz w:val="24"/>
          <w:szCs w:val="24"/>
        </w:rPr>
        <w:t xml:space="preserve">analysed </w:t>
      </w:r>
      <w:r w:rsidRPr="00A414A8">
        <w:rPr>
          <w:rFonts w:eastAsia="Times New Roman"/>
          <w:sz w:val="24"/>
          <w:szCs w:val="24"/>
        </w:rPr>
        <w:t xml:space="preserve">using average values over large spatial </w:t>
      </w:r>
      <w:r>
        <w:rPr>
          <w:rFonts w:eastAsia="Times New Roman"/>
          <w:sz w:val="24"/>
          <w:szCs w:val="24"/>
        </w:rPr>
        <w:t xml:space="preserve">scales (basin level), despite that these hypothesised density-dependent processes operate on a finer scale. Modelling body condition on a fine scale however leads to </w:t>
      </w:r>
      <w:r w:rsidRPr="00F2588D">
        <w:rPr>
          <w:rFonts w:eastAsia="Times New Roman"/>
          <w:sz w:val="24"/>
          <w:szCs w:val="24"/>
        </w:rPr>
        <w:t xml:space="preserve">spatially </w:t>
      </w:r>
      <w:r>
        <w:rPr>
          <w:rFonts w:eastAsia="Times New Roman"/>
          <w:sz w:val="24"/>
          <w:szCs w:val="24"/>
        </w:rPr>
        <w:t>residual patterns, as the processes governing condition (local environmental conditions and food availability) are spatially and temporally correlated</w:t>
      </w:r>
      <w:r w:rsidRPr="00F2588D">
        <w:rPr>
          <w:rFonts w:eastAsia="Times New Roman"/>
          <w:sz w:val="24"/>
          <w:szCs w:val="24"/>
        </w:rPr>
        <w:t xml:space="preserve">. </w:t>
      </w:r>
      <w:r>
        <w:rPr>
          <w:rFonts w:eastAsia="Times New Roman"/>
          <w:sz w:val="24"/>
          <w:szCs w:val="24"/>
        </w:rPr>
        <w:t>O</w:t>
      </w:r>
      <w:r w:rsidRPr="00F2588D">
        <w:rPr>
          <w:rFonts w:eastAsia="Times New Roman"/>
          <w:sz w:val="24"/>
          <w:szCs w:val="24"/>
        </w:rPr>
        <w:t xml:space="preserve">nly </w:t>
      </w:r>
      <w:r w:rsidRPr="000A2F8E">
        <w:rPr>
          <w:rFonts w:eastAsia="Times New Roman"/>
          <w:sz w:val="24"/>
          <w:szCs w:val="24"/>
        </w:rPr>
        <w:t xml:space="preserve">relatively recently have spatiotemporal models been applied to study variation in condition </w:t>
      </w:r>
      <w:r w:rsidRPr="000A2F8E">
        <w:rPr>
          <w:rFonts w:eastAsia="Times New Roman"/>
          <w:sz w:val="24"/>
          <w:szCs w:val="24"/>
        </w:rPr>
        <w:fldChar w:fldCharType="begin"/>
      </w:r>
      <w:r w:rsidRPr="000A2F8E">
        <w:rPr>
          <w:rFonts w:eastAsia="Times New Roman"/>
          <w:sz w:val="24"/>
          <w:szCs w:val="24"/>
        </w:rPr>
        <w:instrText xml:space="preserve"> ADDIN ZOTERO_ITEM CSL_CITATION {"citationID":"vPFU33nS","properties":{"formattedCitation":"(Thorson, 2015; Gr\\uc0\\u252{}ss {\\i{}et al.}, 2020)","plainCitation":"(Thorson, 2015; Grüss et al., 2020)","noteIndex":0},"citationItems":[{"id":709,"uris":["http://zotero.org/users/6116610/items/JE7KRANF"],"uri":["http://zotero.org/users/6116610/items/JE7KRANF"],"itemData":{"id":709,"type":"article-journal","abstract":"Condition (the relationship between individual weight and length) has been researched in fisheries science for over 100 yr and is claimed to be an integrated measure of physiological status for fishes. Spatial or temporal variation in condition can contribute to otherwise unexplained variation in the relationship between spawning biomass and recruitment. Individual condition is also included in age-structured population models, which use weight at age to convert population estimates between numbers and biomass. However, no study has analyzed spatial and temporal variation in condition for multiple marine species. Here I apply recent improvements in spatial modeling to analyze coastwide variation in condition for 28 groundfishes in the California Current. I show that, on average, 22% of individual-level variation in condition can be explained via persistent (constant over time) and annually varying spatial differences in condition, and condition for many species varies 10 to 20% spatially and among years. While population density, bottom temperature, and calendar date are parsimonious descriptors of condition in several species, the sign of these coefficients varies, and their magnitude is small relative to the magnitude of residual spatial and temporal variation. Additionally, annually varying spatial differences have nearly twice the magnitude of persistent spatial differences in condition. I therefore conclude that dynamic habitat conditions contribute a substantial portion of variation in individual condition for these groundfishes. Spatial and temporal variation in condition will be important for population models that convert between numbers, fishery catch, and population biomass, and may also clarify unexplained variability in productivity for marine fishes.","container-title":"Marine Ecology Progress Series","DOI":"10.3354/meps11204","ISSN":"0171-8630, 1616-1599","language":"en","page":"101-112","source":"www.int-res.com","title":"Spatio-temporal variation in fish condition is not consistently explained by density, temperature, or season for California Current groundfishes","volume":"526","author":[{"family":"Thorson","given":"James T."}],"issued":{"date-parts":[["2015",4,22]]}}},{"id":702,"uris":["http://zotero.org/users/6116610/items/C5WI4JA6"],"uri":["http://zotero.org/users/6116610/items/C5WI4JA6"],"itemData":{"id":702,"type":"article-journal","abstract":"Estimating fish condition, the relative weight of an individual fish given its body length, is a convenient way to relate the physiological health and energetic status of fishes to their productivity. Despite evidence of density-dependence effects on condition in some species, previous research has not jointly estimated synchronous changes in condition and density operating at fine spatial scales (a few km). Therefore, we developed a spatio-temporal modeling approach that simultaneously estimates correlated variation in density (measured as numbers per area) and condition. We applied our approach to 6 eastern Bering Sea (EBS) groundfish species (4 flatfishes and 2 gadoids) for the period 1992−2016, and estimated correlations in spatial variation (unmeasured variation that is stable over time) and spatio-temporal variation (unmeasured variation that changes between years). Spatial variation in density had a strong significant negative association with spatial variation in condition for 3 flatfishes and a positive association for one gadoid. Spatiotemporal variation in density had a significant association with spatio-temporal variation in condition for one flatfish (negative) and one gadoid (positive). Moreover, for the 6 study species, bottom temperature was identified as an important predictor of both density and condition. The increasing trend in bottom temperatures between 1992 and 2016 was accompanied by an overall increase in the abundance-weighted condition of 5 species. We conclude that forecasts of changes in weight-at-age within some EBS groundfish assessments will require an understanding of both density-dependence and bottom temperature effects on fish condition to better prepare for future climate and exploitation changes.","container-title":"Marine Ecology Progress Series","DOI":"10.3354/meps13213","ISSN":"0171-8630, 1616-1599","journalAbbreviation":"Mar. Ecol. Prog. Ser.","language":"en","page":"169-185","source":"DOI.org (Crossref)","title":"Estimating synchronous changes in condition and density in eastern Bering Sea fishes","volume":"635","author":[{"family":"Grüss","given":"A"},{"family":"Gao","given":"J"},{"family":"Thorson","given":"Jt"},{"family":"Rooper","given":"Cn"},{"family":"Thompson","given":"G"},{"family":"Boldt","given":"Jl"},{"family":"Lauth","given":"R"}],"issued":{"date-parts":[["2020",2,6]]}}}],"schema":"https://github.com/citation-style-language/schema/raw/master/csl-citation.json"} </w:instrText>
      </w:r>
      <w:r w:rsidRPr="000A2F8E">
        <w:rPr>
          <w:rFonts w:eastAsia="Times New Roman"/>
          <w:sz w:val="24"/>
          <w:szCs w:val="24"/>
        </w:rPr>
        <w:fldChar w:fldCharType="separate"/>
      </w:r>
      <w:r w:rsidRPr="000A2F8E">
        <w:rPr>
          <w:sz w:val="24"/>
          <w:szCs w:val="24"/>
        </w:rPr>
        <w:t xml:space="preserve">(Thorson, 2015; Grüss </w:t>
      </w:r>
      <w:r w:rsidRPr="000A2F8E">
        <w:rPr>
          <w:i/>
          <w:iCs/>
          <w:sz w:val="24"/>
          <w:szCs w:val="24"/>
        </w:rPr>
        <w:t>et al.</w:t>
      </w:r>
      <w:r w:rsidRPr="000A2F8E">
        <w:rPr>
          <w:sz w:val="24"/>
          <w:szCs w:val="24"/>
        </w:rPr>
        <w:t>, 2020)</w:t>
      </w:r>
      <w:r w:rsidRPr="000A2F8E">
        <w:rPr>
          <w:rFonts w:eastAsia="Times New Roman"/>
          <w:sz w:val="24"/>
          <w:szCs w:val="24"/>
        </w:rPr>
        <w:fldChar w:fldCharType="end"/>
      </w:r>
      <w:r w:rsidRPr="000A2F8E">
        <w:rPr>
          <w:rFonts w:eastAsia="Times New Roman"/>
          <w:sz w:val="24"/>
          <w:szCs w:val="24"/>
        </w:rPr>
        <w:t xml:space="preserve">. In these studies, spatially correlated residual variation was accounted for </w:t>
      </w:r>
      <w:r>
        <w:rPr>
          <w:rFonts w:eastAsia="Times New Roman"/>
          <w:sz w:val="24"/>
          <w:szCs w:val="24"/>
        </w:rPr>
        <w:t xml:space="preserve">with </w:t>
      </w:r>
      <w:r w:rsidRPr="000A2F8E">
        <w:rPr>
          <w:rFonts w:eastAsia="Times New Roman"/>
          <w:sz w:val="24"/>
          <w:szCs w:val="24"/>
        </w:rPr>
        <w:t xml:space="preserve">spatial random effects through Gaussian random fields in a GLMM framework. This approach </w:t>
      </w:r>
      <w:r>
        <w:rPr>
          <w:rFonts w:eastAsia="Times New Roman"/>
          <w:sz w:val="24"/>
          <w:szCs w:val="24"/>
        </w:rPr>
        <w:t xml:space="preserve">to model spatiotemporal data </w:t>
      </w:r>
      <w:r w:rsidRPr="000A2F8E">
        <w:rPr>
          <w:rFonts w:eastAsia="Times New Roman"/>
          <w:sz w:val="24"/>
          <w:szCs w:val="24"/>
        </w:rPr>
        <w:t xml:space="preserve">is an increasingly popular method </w:t>
      </w:r>
      <w:r>
        <w:rPr>
          <w:rFonts w:eastAsia="Times New Roman"/>
          <w:sz w:val="24"/>
          <w:szCs w:val="24"/>
        </w:rPr>
        <w:t xml:space="preserve">for </w:t>
      </w:r>
      <w:r w:rsidRPr="000A2F8E">
        <w:rPr>
          <w:rFonts w:eastAsia="Times New Roman"/>
          <w:sz w:val="24"/>
          <w:szCs w:val="24"/>
        </w:rPr>
        <w:t>explicitly account</w:t>
      </w:r>
      <w:r>
        <w:rPr>
          <w:rFonts w:eastAsia="Times New Roman"/>
          <w:sz w:val="24"/>
          <w:szCs w:val="24"/>
        </w:rPr>
        <w:t xml:space="preserve">ing </w:t>
      </w:r>
      <w:r w:rsidRPr="000A2F8E">
        <w:rPr>
          <w:rFonts w:eastAsia="Times New Roman"/>
          <w:sz w:val="24"/>
          <w:szCs w:val="24"/>
        </w:rPr>
        <w:t>for spatial and spatiotemporal variation</w:t>
      </w:r>
      <w:r>
        <w:rPr>
          <w:rFonts w:eastAsia="Times New Roman"/>
          <w:sz w:val="24"/>
          <w:szCs w:val="24"/>
        </w:rPr>
        <w:t xml:space="preserve"> – likely d</w:t>
      </w:r>
      <w:r w:rsidRPr="000A2F8E">
        <w:rPr>
          <w:rFonts w:eastAsia="Times New Roman"/>
          <w:sz w:val="24"/>
          <w:szCs w:val="24"/>
        </w:rPr>
        <w:t>ue to its ability to improve predictions on range shifts</w:t>
      </w:r>
      <w:r>
        <w:rPr>
          <w:rFonts w:eastAsia="Times New Roman"/>
          <w:sz w:val="24"/>
          <w:szCs w:val="24"/>
        </w:rPr>
        <w:t xml:space="preserve"> </w:t>
      </w:r>
      <w:r>
        <w:rPr>
          <w:rFonts w:eastAsia="Times New Roman"/>
          <w:sz w:val="24"/>
          <w:szCs w:val="24"/>
        </w:rPr>
        <w:fldChar w:fldCharType="begin"/>
      </w:r>
      <w:r>
        <w:rPr>
          <w:rFonts w:eastAsia="Times New Roman"/>
          <w:sz w:val="24"/>
          <w:szCs w:val="24"/>
        </w:rPr>
        <w:instrText xml:space="preserve"> ADDIN ZOTERO_ITEM CSL_CITATION {"citationID":"TjrrbagW","properties":{"formattedCitation":"(Thorson {\\i{}et al.}, 2015a)","plainCitation":"(Thorson et al., 2015a)","noteIndex":0},"citationItems":[{"id":703,"uris":["http://zotero.org/users/6116610/items/F2TR7F6G"],"uri":["http://zotero.org/users/6116610/items/F2TR7F6G"],"itemData":{"id":703,"type":"article-journal","abstract":"Summary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data.","container-title":"Methods in Ecology and Evolution","DOI":"10.1111/2041-210X.12359","ISSN":"2041-210X","issue":"6","journalAbbreviation":"Methods in Ecology and Evolution","note":"publisher: John Wiley &amp; Sons, Ltd","page":"627-637","source":"besjournals.onlinelibrary.wiley.com (Atypon)","title":"Spatial factor analysis: a new tool for estimating joint species distributions and correlations in species range","title-short":"Spatial factor analysis","volume":"6","author":[{"family":"Thorson","given":"James T."},{"family":"Scheuerell","given":"Mark D."},{"family":"Shelton","given":"Andrew O."},{"family":"See","given":"Kevin E."},{"family":"Skaug","given":"Hans J."},{"family":"Kristensen","given":"Kasper"}],"issued":{"date-parts":[["2015",6,1]]}}}],"schema":"https://github.com/citation-style-language/schema/raw/master/csl-citation.json"} </w:instrText>
      </w:r>
      <w:r>
        <w:rPr>
          <w:rFonts w:eastAsia="Times New Roman"/>
          <w:sz w:val="24"/>
          <w:szCs w:val="24"/>
        </w:rPr>
        <w:fldChar w:fldCharType="separate"/>
      </w:r>
      <w:r w:rsidRPr="00257DA2">
        <w:rPr>
          <w:sz w:val="24"/>
        </w:rPr>
        <w:t xml:space="preserve">(Thorson </w:t>
      </w:r>
      <w:r w:rsidRPr="00257DA2">
        <w:rPr>
          <w:i/>
          <w:iCs/>
          <w:sz w:val="24"/>
        </w:rPr>
        <w:t>et al.</w:t>
      </w:r>
      <w:r w:rsidRPr="00257DA2">
        <w:rPr>
          <w:sz w:val="24"/>
        </w:rPr>
        <w:t>, 2015a)</w:t>
      </w:r>
      <w:r>
        <w:rPr>
          <w:rFonts w:eastAsia="Times New Roman"/>
          <w:sz w:val="24"/>
          <w:szCs w:val="24"/>
        </w:rPr>
        <w:fldChar w:fldCharType="end"/>
      </w:r>
      <w:r>
        <w:rPr>
          <w:rFonts w:eastAsia="Times New Roman"/>
          <w:sz w:val="24"/>
          <w:szCs w:val="24"/>
        </w:rPr>
        <w:t xml:space="preserve"> as well as</w:t>
      </w:r>
      <w:r w:rsidRPr="000A2F8E">
        <w:rPr>
          <w:rFonts w:eastAsia="Times New Roman"/>
          <w:sz w:val="24"/>
          <w:szCs w:val="24"/>
        </w:rPr>
        <w:t xml:space="preserve"> </w:t>
      </w:r>
      <w:r>
        <w:rPr>
          <w:rFonts w:eastAsia="Times New Roman"/>
          <w:sz w:val="24"/>
          <w:szCs w:val="24"/>
        </w:rPr>
        <w:t xml:space="preserve">estimates of </w:t>
      </w:r>
      <w:r w:rsidRPr="000A2F8E">
        <w:rPr>
          <w:rFonts w:eastAsia="Times New Roman"/>
          <w:sz w:val="24"/>
          <w:szCs w:val="24"/>
        </w:rPr>
        <w:t>density</w:t>
      </w:r>
      <w:r>
        <w:rPr>
          <w:rFonts w:eastAsia="Times New Roman"/>
          <w:sz w:val="24"/>
          <w:szCs w:val="24"/>
        </w:rPr>
        <w:t xml:space="preserve"> </w:t>
      </w:r>
      <w:r>
        <w:rPr>
          <w:rFonts w:eastAsia="Times New Roman"/>
          <w:sz w:val="24"/>
          <w:szCs w:val="24"/>
        </w:rPr>
        <w:fldChar w:fldCharType="begin"/>
      </w:r>
      <w:r>
        <w:rPr>
          <w:rFonts w:eastAsia="Times New Roman"/>
          <w:sz w:val="24"/>
          <w:szCs w:val="24"/>
        </w:rPr>
        <w:instrText xml:space="preserve"> ADDIN ZOTERO_ITEM CSL_CITATION {"citationID":"B0zQrbMF","properties":{"formattedCitation":"(Thorson {\\i{}et al.}, 2015b)","plainCitation":"(Thorson et al., 2015b)","noteIndex":0},"citationItems":[{"id":2256,"uris":["http://zotero.org/users/6116610/items/JIIMZBJ8"],"uri":["http://zotero.org/users/6116610/items/JIIMZBJ8"],"itemData":{"id":2256,"type":"article-journal","abstract":"Abstract.  Indices of abundance are the bedrock for stock assessments or empirical management procedures used to manage fishery catches for fish populations wor","container-title":"ICES Journal of Marine Science","DOI":"10.1093/icesjms/fsu243","ISSN":"1054-3139","issue":"5","journalAbbreviation":"ICES J Mar Sci","language":"en","note":"publisher: Oxford Academic","page":"1297-1310","source":"academic.oup.com","title":"Geostatistical delta-generalized linear mixed models improve precision for estimated abundance indices for West Coast groundfishes","volume":"72","author":[{"family":"Thorson","given":"James T."},{"family":"Shelton","given":"Andrew O."},{"family":"Ward","given":"Eric J."},{"family":"Skaug","given":"Hans J."}],"issued":{"date-parts":[["2015",6,1]]}}}],"schema":"https://github.com/citation-style-language/schema/raw/master/csl-citation.json"} </w:instrText>
      </w:r>
      <w:r>
        <w:rPr>
          <w:rFonts w:eastAsia="Times New Roman"/>
          <w:sz w:val="24"/>
          <w:szCs w:val="24"/>
        </w:rPr>
        <w:fldChar w:fldCharType="separate"/>
      </w:r>
      <w:r w:rsidRPr="00257DA2">
        <w:rPr>
          <w:sz w:val="24"/>
        </w:rPr>
        <w:t xml:space="preserve">(Thorson </w:t>
      </w:r>
      <w:r w:rsidRPr="00257DA2">
        <w:rPr>
          <w:i/>
          <w:iCs/>
          <w:sz w:val="24"/>
        </w:rPr>
        <w:t>et al.</w:t>
      </w:r>
      <w:r w:rsidRPr="00257DA2">
        <w:rPr>
          <w:sz w:val="24"/>
        </w:rPr>
        <w:t>, 2015b)</w:t>
      </w:r>
      <w:r>
        <w:rPr>
          <w:rFonts w:eastAsia="Times New Roman"/>
          <w:sz w:val="24"/>
          <w:szCs w:val="24"/>
        </w:rPr>
        <w:fldChar w:fldCharType="end"/>
      </w:r>
      <w:r w:rsidRPr="000A2F8E">
        <w:rPr>
          <w:rFonts w:eastAsia="Times New Roman"/>
          <w:sz w:val="24"/>
          <w:szCs w:val="24"/>
        </w:rPr>
        <w:t xml:space="preserve">, </w:t>
      </w:r>
      <w:r>
        <w:rPr>
          <w:rFonts w:eastAsia="Times New Roman"/>
          <w:sz w:val="24"/>
          <w:szCs w:val="24"/>
        </w:rPr>
        <w:t xml:space="preserve">and </w:t>
      </w:r>
      <w:r w:rsidRPr="000A2F8E">
        <w:rPr>
          <w:rFonts w:eastAsia="Times New Roman"/>
          <w:sz w:val="24"/>
          <w:szCs w:val="24"/>
        </w:rPr>
        <w:t xml:space="preserve">its availability in standard open source software such as the R-packages </w:t>
      </w:r>
      <w:r w:rsidRPr="000A2F8E">
        <w:rPr>
          <w:sz w:val="24"/>
          <w:szCs w:val="24"/>
        </w:rPr>
        <w:t>INLA</w:t>
      </w:r>
      <w:r>
        <w:rPr>
          <w:sz w:val="24"/>
          <w:szCs w:val="24"/>
        </w:rPr>
        <w:t xml:space="preserve">, </w:t>
      </w:r>
      <w:r w:rsidRPr="000A2F8E">
        <w:rPr>
          <w:sz w:val="24"/>
          <w:szCs w:val="24"/>
        </w:rPr>
        <w:t>VAST</w:t>
      </w:r>
      <w:r>
        <w:rPr>
          <w:sz w:val="24"/>
          <w:szCs w:val="24"/>
        </w:rPr>
        <w:t xml:space="preserve"> </w:t>
      </w:r>
      <w:r>
        <w:rPr>
          <w:sz w:val="24"/>
          <w:szCs w:val="24"/>
        </w:rPr>
        <w:fldChar w:fldCharType="begin"/>
      </w:r>
      <w:r>
        <w:rPr>
          <w:sz w:val="24"/>
          <w:szCs w:val="24"/>
        </w:rPr>
        <w:instrText xml:space="preserve"> ADDIN ZOTERO_ITEM CSL_CITATION {"citationID":"fcRZ2Pky","properties":{"formattedCitation":"(Thorson, 2019)","plainCitation":"(Thorson, 2019)","noteIndex":0},"citationItems":[{"id":740,"uris":["http://zotero.org/users/6116610/items/7UJ4B2EM"],"uri":["http://zotero.org/users/6116610/items/7UJ4B2EM"],"itemData":{"id":740,"type":"article-journal","abstract":"Fisheries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Pr>
          <w:sz w:val="24"/>
          <w:szCs w:val="24"/>
        </w:rPr>
        <w:fldChar w:fldCharType="separate"/>
      </w:r>
      <w:r>
        <w:rPr>
          <w:noProof/>
          <w:sz w:val="24"/>
          <w:szCs w:val="24"/>
        </w:rPr>
        <w:t>(Thorson, 2019)</w:t>
      </w:r>
      <w:r>
        <w:rPr>
          <w:sz w:val="24"/>
          <w:szCs w:val="24"/>
        </w:rPr>
        <w:fldChar w:fldCharType="end"/>
      </w:r>
      <w:r w:rsidRPr="000A2F8E">
        <w:rPr>
          <w:sz w:val="24"/>
          <w:szCs w:val="24"/>
        </w:rPr>
        <w:t xml:space="preserve"> or sdmTMB</w:t>
      </w:r>
      <w:r>
        <w:rPr>
          <w:sz w:val="24"/>
          <w:szCs w:val="24"/>
        </w:rPr>
        <w:t xml:space="preserve"> </w:t>
      </w:r>
      <w:r>
        <w:rPr>
          <w:sz w:val="24"/>
          <w:szCs w:val="24"/>
        </w:rPr>
        <w:fldChar w:fldCharType="begin"/>
      </w:r>
      <w:r>
        <w:rPr>
          <w:sz w:val="24"/>
          <w:szCs w:val="24"/>
        </w:rPr>
        <w:instrText xml:space="preserve"> ADDIN ZOTERO_ITEM CSL_CITATION {"citationID":"sITIQqg7","properties":{"formattedCitation":"(Anderson and Ward, 2019; Anderson {\\i{}et al.}, 2021; Barnett {\\i{}et al.}, 2021)","plainCitation":"(Anderson and Ward, 2019; Anderson et al., 2021; Barnett et al., 2021)","noteIndex":0},"citationItems":[{"id":1964,"uris":["http://zotero.org/users/6116610/items/6WR26TSC"],"uri":["http://zotero.org/users/6116610/items/6WR26TSC"],"itemData":{"id":1964,"type":"article-journal","abstract":"In ecological systems, extremes can happen in time, such as population crashes, or in space, such as rapid range contractions. However, current methods for joint inference about temporal and spatial dynamics (e.g., spatiotemporal modeling with Gaussian random fields) may perform poorly when underlying processes include extreme events. Here we introduce a model that allows for extremes to occur simultaneously in time and space. Our model is a Bayesian predictive-process GLMM (generalized linear mixed-effects model) that uses a multivariate-t distribution to describe spatial random effects. The approach is easily implemented with our flexible R package glmmfields. First, using simulated data, we demonstrate the ability to recapture spatiotemporal extremes, and explore the consequences of fitting models that ignore such extremes. Second, we predict tree mortality from mountain pine beetle (Dendroctonus ponderosae) outbreaks in the U.S. Pacific Northwest over the last 16 yr. We show that our approach provides more accurate and precise predictions compared to traditional spatiotemporal models when extremes are present. Our R package makes these models accessible to a wide range of ecologists and scientists in other disciplines interested in fitting spatiotemporal GLMMs, with and without extremes.","container-title":"Ecology","DOI":"10.1002/ecy.2403","ISSN":"1939-9170","issue":"1","language":"en","note":"_eprint: https://esajournals.onlinelibrary.wiley.com/doi/pdf/10.1002/ecy.2403","page":"e02403","source":"Wiley Online Library","title":"Black swans in space: modeling spatiotemporal processes with extremes","title-short":"Black swans in space","volume":"100","author":[{"family":"Anderson","given":"Sean C."},{"family":"Ward","given":"Eric J."}],"issued":{"date-parts":[["2019"]]}}},{"id":2623,"uris":["http://zotero.org/users/6116610/items/6PDECC3W"],"uri":["http://zotero.org/users/6116610/items/6PDECC3W"],"itemData":{"id":2623,"type":"book","title":"sdmTMB: spatiotemporal species distribution GLMMs with ‘TMB'","URL":"https://github.com/seananderson/sdmTMB","author":[{"family":"Anderson","given":"Sean C."},{"family":"Ward","given":"Erik J."},{"family":"Barnett","given":"Lewis A. K."},{"family":"English","given":"Philina A."}],"issued":{"date-parts":[["2021"]],"season":"et al"}}},{"id":2620,"uris":["http://zotero.org/users/6116610/items/QVNGJS6B"],"uri":["http://zotero.org/users/6116610/items/QVNGJS6B"],"itemData":{"id":2620,"type":"article-journal","abstract":"A common goal in ecology and its applications is to better understand how species' distributions change over space and time, yet many conventional summary metrics (e.g. center of gravity) of distribution shifts may offer limited inference because such changes may not be spatially homogenous. We develop a modeling approach to estimate a spatially explicit temporal trend (i.e. local trend), alongside spatial (temporally constant) and spatiotemporal (time-varying) components, to compare inferred spatial shifts to those indicated by conventional metrics. This method is generalizable to many data types including presence–absence data, count data and continuous data types such as density. To demonstrate the utility of this new approach, we focus on the application of this model to a community of well-studied marine fish species on the US west coast (19 species, representing a wide range of presence–absence and densities). Results from conventional model selection indicate that the use of the model accounting for local trends is clearly justified for over 89% of these species. In addition to making more parsimonious and accurate predictions, we illustrate how estimated spatial fields from the local trend model can be used to classify regions within the species range where change is relatively homogenous. Conventional summary metrics, such as center of gravity, can then be calculated on each such region or within previously defined biogeographic boundaries. We use this approach to illustrate that change is more nuanced than what is expressed via global metrics. Using arrowtooth flounder Atheresthes stomias as an example, the observed southward shift over time in the center of gravity is not reflective of a uniform shift in densities but local trends of decreasing density in the northern region and rapidly increasing density at the southern edge of the species' range. Thus, estimating local trends with spatiotemporal models improves interpretation of species distribution change.","container-title":"Ecography","DOI":"https://doi.org/10.1111/ecog.05176","ISSN":"1600-0587","issue":"3","language":"en","note":"_eprint: https://onlinelibrary.wiley.com/doi/pdf/10.1111/ecog.05176","page":"427-439","source":"Wiley Online Library","title":"Improving estimates of species distribution change by incorporating local trends","volume":"44","author":[{"family":"Barnett","given":"Lewis A. K."},{"family":"Ward","given":"Eric J."},{"family":"Anderson","given":"Sean C."}],"issued":{"date-parts":[["2021"]]}}}],"schema":"https://github.com/citation-style-language/schema/raw/master/csl-citation.json"} </w:instrText>
      </w:r>
      <w:r>
        <w:rPr>
          <w:sz w:val="24"/>
          <w:szCs w:val="24"/>
        </w:rPr>
        <w:fldChar w:fldCharType="separate"/>
      </w:r>
      <w:r w:rsidRPr="000C0D46">
        <w:rPr>
          <w:sz w:val="24"/>
        </w:rPr>
        <w:t xml:space="preserve">(Anderson and Ward, 2019; Anderson </w:t>
      </w:r>
      <w:r w:rsidRPr="000C0D46">
        <w:rPr>
          <w:i/>
          <w:iCs/>
          <w:sz w:val="24"/>
        </w:rPr>
        <w:t>et al.</w:t>
      </w:r>
      <w:r w:rsidRPr="000C0D46">
        <w:rPr>
          <w:sz w:val="24"/>
        </w:rPr>
        <w:t xml:space="preserve">, 2021; Barnett </w:t>
      </w:r>
      <w:r w:rsidRPr="000C0D46">
        <w:rPr>
          <w:i/>
          <w:iCs/>
          <w:sz w:val="24"/>
        </w:rPr>
        <w:t>et al.</w:t>
      </w:r>
      <w:r w:rsidRPr="000C0D46">
        <w:rPr>
          <w:sz w:val="24"/>
        </w:rPr>
        <w:t>, 2021)</w:t>
      </w:r>
      <w:r>
        <w:rPr>
          <w:sz w:val="24"/>
          <w:szCs w:val="24"/>
        </w:rPr>
        <w:fldChar w:fldCharType="end"/>
      </w:r>
      <w:r>
        <w:rPr>
          <w:sz w:val="24"/>
          <w:szCs w:val="24"/>
        </w:rPr>
        <w:t>.</w:t>
      </w:r>
      <w:r w:rsidRPr="00D44EE7">
        <w:rPr>
          <w:rFonts w:eastAsia="Times New Roman"/>
          <w:sz w:val="24"/>
          <w:szCs w:val="24"/>
        </w:rPr>
        <w:t xml:space="preserve"> </w:t>
      </w:r>
      <w:r w:rsidRPr="00F2588D">
        <w:rPr>
          <w:rFonts w:eastAsia="Times New Roman"/>
          <w:sz w:val="24"/>
          <w:szCs w:val="24"/>
        </w:rPr>
        <w:t>In the first such application</w:t>
      </w:r>
      <w:r>
        <w:rPr>
          <w:rFonts w:eastAsia="Times New Roman"/>
          <w:sz w:val="24"/>
          <w:szCs w:val="24"/>
        </w:rPr>
        <w:t xml:space="preserve"> to body condition</w:t>
      </w:r>
      <w:r w:rsidRPr="00F2588D">
        <w:rPr>
          <w:rFonts w:eastAsia="Times New Roman"/>
          <w:sz w:val="24"/>
          <w:szCs w:val="24"/>
        </w:rPr>
        <w:t xml:space="preserve">, </w:t>
      </w:r>
      <w:r w:rsidRPr="00F2588D">
        <w:rPr>
          <w:rFonts w:eastAsia="Times New Roman"/>
          <w:sz w:val="24"/>
          <w:szCs w:val="24"/>
        </w:rPr>
        <w:fldChar w:fldCharType="begin"/>
      </w:r>
      <w:r w:rsidRPr="00F2588D">
        <w:rPr>
          <w:rFonts w:eastAsia="Times New Roman"/>
          <w:sz w:val="24"/>
          <w:szCs w:val="24"/>
        </w:rPr>
        <w:instrText xml:space="preserve"> ADDIN ZOTERO_ITEM CSL_CITATION {"citationID":"N5sRr2EC","properties":{"formattedCitation":"(Thorson, 2015)","plainCitation":"(Thorson, 2015)","noteIndex":0},"citationItems":[{"id":709,"uris":["http://zotero.org/users/6116610/items/JE7KRANF"],"uri":["http://zotero.org/users/6116610/items/JE7KRANF"],"itemData":{"id":709,"type":"article-journal","abstract":"Condition (the relationship between individual weight and length) has been researched in fisheries science for over 100 yr and is claimed to be an integrated measure of physiological status for fishes. Spatial or temporal variation in condition can contribute to otherwise unexplained variation in the relationship between spawning biomass and recruitment. Individual condition is also included in age-structured population models, which use weight at age to convert population estimates between numbers and biomass. However, no study has analyzed spatial and temporal variation in condition for multiple marine species. Here I apply recent improvements in spatial modeling to analyze coastwide variation in condition for 28 groundfishes in the California Current. I show that, on average, 22% of individual-level variation in condition can be explained via persistent (constant over time) and annually varying spatial differences in condition, and condition for many species varies 10 to 20% spatially and among years. While population density, bottom temperature, and calendar date are parsimonious descriptors of condition in several species, the sign of these coefficients varies, and their magnitude is small relative to the magnitude of residual spatial and temporal variation. Additionally, annually varying spatial differences have nearly twice the magnitude of persistent spatial differences in condition. I therefore conclude that dynamic habitat conditions contribute a substantial portion of variation in individual condition for these groundfishes. Spatial and temporal variation in condition will be important for population models that convert between numbers, fishery catch, and population biomass, and may also clarify unexplained variability in productivity for marine fishes.","container-title":"Marine Ecology Progress Series","DOI":"10.3354/meps11204","ISSN":"0171-8630, 1616-1599","language":"en","page":"101-112","source":"www.int-res.com","title":"Spatio-temporal variation in fish condition is not consistently explained by density, temperature, or season for California Current groundfishes","volume":"526","author":[{"family":"Thorson","given":"James T."}],"issued":{"date-parts":[["2015",4,22]]}}}],"schema":"https://github.com/citation-style-language/schema/raw/master/csl-citation.json"} </w:instrText>
      </w:r>
      <w:r w:rsidRPr="00F2588D">
        <w:rPr>
          <w:rFonts w:eastAsia="Times New Roman"/>
          <w:sz w:val="24"/>
          <w:szCs w:val="24"/>
        </w:rPr>
        <w:fldChar w:fldCharType="separate"/>
      </w:r>
      <w:r w:rsidRPr="00F2588D">
        <w:rPr>
          <w:rFonts w:eastAsia="Times New Roman"/>
          <w:noProof/>
          <w:sz w:val="24"/>
          <w:szCs w:val="24"/>
        </w:rPr>
        <w:t>(Thorson, 2015)</w:t>
      </w:r>
      <w:r w:rsidRPr="00F2588D">
        <w:rPr>
          <w:rFonts w:eastAsia="Times New Roman"/>
          <w:sz w:val="24"/>
          <w:szCs w:val="24"/>
        </w:rPr>
        <w:fldChar w:fldCharType="end"/>
      </w:r>
      <w:r w:rsidRPr="00F2588D">
        <w:rPr>
          <w:rFonts w:eastAsia="Times New Roman"/>
          <w:sz w:val="24"/>
          <w:szCs w:val="24"/>
        </w:rPr>
        <w:t xml:space="preserve"> found that spatial processes (spatial variation in condition that is constant in time) and spatiotemporal processes (spatial variation that varies among years, respectively) explained more variation than density and temperature covariates in the California current ecosystem. </w:t>
      </w:r>
      <w:r>
        <w:rPr>
          <w:rFonts w:eastAsia="Times New Roman"/>
          <w:sz w:val="24"/>
          <w:szCs w:val="24"/>
        </w:rPr>
        <w:t xml:space="preserve">Studies like these </w:t>
      </w:r>
      <w:r w:rsidRPr="00F2588D">
        <w:rPr>
          <w:rFonts w:eastAsia="Times New Roman"/>
          <w:sz w:val="24"/>
          <w:szCs w:val="24"/>
        </w:rPr>
        <w:t xml:space="preserve">reveal the importance of accounting for spatial and spatiotemporal variation in condition </w:t>
      </w:r>
      <w:r>
        <w:rPr>
          <w:rFonts w:eastAsia="Times New Roman"/>
          <w:sz w:val="24"/>
          <w:szCs w:val="24"/>
        </w:rPr>
        <w:t xml:space="preserve">for </w:t>
      </w:r>
      <w:r w:rsidRPr="00F2588D">
        <w:rPr>
          <w:rFonts w:eastAsia="Times New Roman"/>
          <w:sz w:val="24"/>
          <w:szCs w:val="24"/>
        </w:rPr>
        <w:t>clarify</w:t>
      </w:r>
      <w:r>
        <w:rPr>
          <w:rFonts w:eastAsia="Times New Roman"/>
          <w:sz w:val="24"/>
          <w:szCs w:val="24"/>
        </w:rPr>
        <w:t>ing</w:t>
      </w:r>
      <w:r w:rsidRPr="00F2588D">
        <w:rPr>
          <w:rFonts w:eastAsia="Times New Roman"/>
          <w:sz w:val="24"/>
          <w:szCs w:val="24"/>
        </w:rPr>
        <w:t xml:space="preserve"> the sources of variation in body condition</w:t>
      </w:r>
      <w:r>
        <w:rPr>
          <w:rFonts w:eastAsia="Times New Roman"/>
          <w:sz w:val="24"/>
          <w:szCs w:val="24"/>
        </w:rPr>
        <w:t xml:space="preserve"> in relation to unmeasured variation and independent variables</w:t>
      </w:r>
      <w:r w:rsidRPr="00F2588D">
        <w:rPr>
          <w:rFonts w:eastAsia="Times New Roman"/>
          <w:sz w:val="24"/>
          <w:szCs w:val="24"/>
        </w:rPr>
        <w:t>.</w:t>
      </w:r>
    </w:p>
    <w:p w14:paraId="03A5CDC1" w14:textId="77777777" w:rsidR="00D26009" w:rsidRPr="00F2588D" w:rsidRDefault="00D26009" w:rsidP="00D26009">
      <w:pPr>
        <w:spacing w:line="480" w:lineRule="auto"/>
        <w:ind w:firstLine="284"/>
        <w:contextualSpacing/>
        <w:jc w:val="both"/>
        <w:rPr>
          <w:rFonts w:eastAsia="Times New Roman"/>
          <w:sz w:val="24"/>
          <w:szCs w:val="24"/>
        </w:rPr>
      </w:pPr>
      <w:r w:rsidRPr="00F2588D">
        <w:rPr>
          <w:rFonts w:eastAsia="Times New Roman"/>
          <w:sz w:val="24"/>
          <w:szCs w:val="24"/>
        </w:rPr>
        <w:t xml:space="preserve">In this study, we apply spatiotemporal predictive-process GLMMs to characterize spatiotemporal variation in body condition of Eastern Baltic cod. We use data from the Baltic International Trawl Survey between 1991-2020, which corresponds to a period of initially high but deteriorating condition </w:t>
      </w:r>
      <w:r w:rsidRPr="00F2588D">
        <w:rPr>
          <w:rFonts w:eastAsia="Times New Roman"/>
          <w:sz w:val="24"/>
          <w:szCs w:val="24"/>
        </w:rPr>
        <w:fldChar w:fldCharType="begin"/>
      </w:r>
      <w:r w:rsidRPr="00F2588D">
        <w:rPr>
          <w:rFonts w:eastAsia="Times New Roman"/>
          <w:sz w:val="24"/>
          <w:szCs w:val="24"/>
        </w:rPr>
        <w:instrText xml:space="preserve"> ADDIN ZOTERO_ITEM CSL_CITATION {"citationID":"JNxfliAd","properties":{"formattedCitation":"(Casini {\\i{}et al.}, 2016a)","plainCitation":"(Casini et al., 2016a)","noteIndex":0},"citationItems":[{"id":794,"uris":["http://zotero.org/users/6116610/items/39XLSPWN"],"uri":["http://zotero.org/users/6116610/items/39XLSPWN"],"itemData":{"id":794,"type":"article-journal","abstract":"Investigating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population.","container-title":"Royal Society Open Science","DOI":"10.1098/rsos.160416","issue":"10","journalAbbreviation":"Royal Society Open Science","page":"160416","source":"royalsocietypublishing.org (Atypon)","title":"Hypoxic areas, density-dependence and food limitation drive the body condition of a heavily exploited marine fish predator","volume":"3","author":[{"family":"Casini","given":"Michele"},{"family":"Käll","given":"Filip"},{"family":"Hansson","given":"Martin"},{"family":"Plikshs","given":"Maris"},{"family":"Baranova","given":"Tatjana"},{"family":"Karlsson","given":"Olle"},{"family":"Lundström","given":"Karl"},{"family":"Neuenfeldt","given":"Stefan"},{"family":"Gårdmark","given":"Anna"},{"family":"Hjelm","given":"Joakim"}],"issued":{"date-parts":[["2016"]]}}}],"schema":"https://github.com/citation-style-language/schema/raw/master/csl-citation.json"} </w:instrText>
      </w:r>
      <w:r w:rsidRPr="00F2588D">
        <w:rPr>
          <w:rFonts w:eastAsia="Times New Roman"/>
          <w:sz w:val="24"/>
          <w:szCs w:val="24"/>
        </w:rPr>
        <w:fldChar w:fldCharType="separate"/>
      </w:r>
      <w:r w:rsidRPr="00F2588D">
        <w:rPr>
          <w:sz w:val="24"/>
          <w:szCs w:val="24"/>
        </w:rPr>
        <w:t xml:space="preserve">(Casini </w:t>
      </w:r>
      <w:r w:rsidRPr="00F2588D">
        <w:rPr>
          <w:i/>
          <w:iCs/>
          <w:sz w:val="24"/>
          <w:szCs w:val="24"/>
        </w:rPr>
        <w:t>et al.</w:t>
      </w:r>
      <w:r w:rsidRPr="00F2588D">
        <w:rPr>
          <w:sz w:val="24"/>
          <w:szCs w:val="24"/>
        </w:rPr>
        <w:t>, 2016a)</w:t>
      </w:r>
      <w:r w:rsidRPr="00F2588D">
        <w:rPr>
          <w:rFonts w:eastAsia="Times New Roman"/>
          <w:sz w:val="24"/>
          <w:szCs w:val="24"/>
        </w:rPr>
        <w:fldChar w:fldCharType="end"/>
      </w:r>
      <w:r w:rsidRPr="00F2588D">
        <w:rPr>
          <w:rFonts w:eastAsia="Times New Roman"/>
          <w:sz w:val="24"/>
          <w:szCs w:val="24"/>
        </w:rPr>
        <w:t xml:space="preserve">. We then seek to (1) identify which set of covariates (density of flounder, cod, availability of pelagic prey or oxygen concentration) </w:t>
      </w:r>
      <w:r w:rsidRPr="00F2588D">
        <w:rPr>
          <w:rFonts w:eastAsia="Times New Roman"/>
          <w:sz w:val="24"/>
          <w:szCs w:val="24"/>
        </w:rPr>
        <w:lastRenderedPageBreak/>
        <w:t>provide a parsimonious fit to weight-length and (2) estimate the variation explained by these covariates and contrast that to variation explained by spatial and spatiotemporal variation.</w:t>
      </w:r>
      <w:r>
        <w:rPr>
          <w:rFonts w:eastAsia="Times New Roman"/>
          <w:sz w:val="24"/>
          <w:szCs w:val="24"/>
        </w:rPr>
        <w:t xml:space="preserve"> </w:t>
      </w:r>
      <w:r w:rsidRPr="00397A3E">
        <w:rPr>
          <w:rFonts w:eastAsia="Times New Roman"/>
          <w:color w:val="FF0000"/>
          <w:sz w:val="24"/>
          <w:szCs w:val="24"/>
        </w:rPr>
        <w:t>+ End with a fitting concluding sentence</w:t>
      </w:r>
      <w:r w:rsidRPr="00F2588D">
        <w:rPr>
          <w:rFonts w:eastAsia="Times New Roman"/>
          <w:sz w:val="24"/>
          <w:szCs w:val="24"/>
        </w:rPr>
        <w:t xml:space="preserve"> </w:t>
      </w:r>
    </w:p>
    <w:p w14:paraId="10517244" w14:textId="77777777" w:rsidR="007A7259" w:rsidRDefault="00D26009"/>
    <w:sectPr w:rsidR="007A72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009"/>
    <w:rsid w:val="007C4157"/>
    <w:rsid w:val="008B3482"/>
    <w:rsid w:val="008C3642"/>
    <w:rsid w:val="00AE1D46"/>
    <w:rsid w:val="00D26009"/>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5B302027"/>
  <w15:chartTrackingRefBased/>
  <w15:docId w15:val="{3E16D6A5-CA89-D448-81EB-7D2ED0EBB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009"/>
    <w:pPr>
      <w:spacing w:line="276" w:lineRule="auto"/>
    </w:pPr>
    <w:rPr>
      <w:rFonts w:eastAsia="Arial"/>
      <w:sz w:val="22"/>
      <w:szCs w:val="22"/>
      <w:lang w:val="en-GB" w:eastAsia="en-GB"/>
    </w:rPr>
  </w:style>
  <w:style w:type="paragraph" w:styleId="Heading1">
    <w:name w:val="heading 1"/>
    <w:basedOn w:val="Normal"/>
    <w:next w:val="Normal"/>
    <w:link w:val="Heading1Char"/>
    <w:uiPriority w:val="9"/>
    <w:qFormat/>
    <w:rsid w:val="00D26009"/>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009"/>
    <w:rPr>
      <w:rFonts w:eastAsia="Arial"/>
      <w:sz w:val="40"/>
      <w:szCs w:val="4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17060</Words>
  <Characters>97243</Characters>
  <Application>Microsoft Office Word</Application>
  <DocSecurity>0</DocSecurity>
  <Lines>810</Lines>
  <Paragraphs>228</Paragraphs>
  <ScaleCrop>false</ScaleCrop>
  <Company/>
  <LinksUpToDate>false</LinksUpToDate>
  <CharactersWithSpaces>114075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Lindmark</dc:creator>
  <cp:keywords/>
  <dc:description/>
  <cp:lastModifiedBy>Max Lindmark</cp:lastModifiedBy>
  <cp:revision>1</cp:revision>
  <dcterms:created xsi:type="dcterms:W3CDTF">2021-03-19T15:20:00Z</dcterms:created>
  <dcterms:modified xsi:type="dcterms:W3CDTF">2021-03-19T15:20:00Z</dcterms:modified>
</cp:coreProperties>
</file>