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E0D93" w14:textId="77777777" w:rsidR="00736FF5" w:rsidRPr="005C3295" w:rsidRDefault="00401B29" w:rsidP="00EC14E0">
      <w:pPr>
        <w:pStyle w:val="Title"/>
        <w:spacing w:line="480" w:lineRule="auto"/>
        <w:contextualSpacing/>
        <w:jc w:val="both"/>
        <w:rPr>
          <w:rFonts w:eastAsia="Times New Roman"/>
          <w:sz w:val="36"/>
          <w:szCs w:val="36"/>
        </w:rPr>
      </w:pPr>
      <w:r w:rsidRPr="005C3295">
        <w:rPr>
          <w:rFonts w:eastAsia="Times New Roman"/>
          <w:sz w:val="36"/>
          <w:szCs w:val="36"/>
        </w:rPr>
        <w:t>Evaluating drivers of spatiotemporal changes in the condition of Eastern Baltic cod</w:t>
      </w:r>
    </w:p>
    <w:p w14:paraId="4A1B9DEA" w14:textId="6AFA1265" w:rsidR="00736FF5" w:rsidRPr="00F2588D" w:rsidRDefault="00401B29" w:rsidP="00EC14E0">
      <w:pPr>
        <w:spacing w:line="480" w:lineRule="auto"/>
        <w:contextualSpacing/>
        <w:jc w:val="both"/>
        <w:rPr>
          <w:rFonts w:eastAsia="Times New Roman"/>
          <w:sz w:val="24"/>
          <w:szCs w:val="24"/>
          <w:vertAlign w:val="superscript"/>
        </w:rPr>
      </w:pPr>
      <w:r w:rsidRPr="00F2588D">
        <w:rPr>
          <w:rFonts w:eastAsia="Times New Roman"/>
          <w:sz w:val="24"/>
          <w:szCs w:val="24"/>
        </w:rPr>
        <w:t>Max Lindmark</w:t>
      </w:r>
      <w:r w:rsidRPr="00F2588D">
        <w:rPr>
          <w:rFonts w:eastAsia="Times New Roman"/>
          <w:sz w:val="24"/>
          <w:szCs w:val="24"/>
          <w:vertAlign w:val="superscript"/>
        </w:rPr>
        <w:t>a,1</w:t>
      </w:r>
      <w:r w:rsidRPr="00F2588D">
        <w:rPr>
          <w:rFonts w:eastAsia="Times New Roman"/>
          <w:sz w:val="24"/>
          <w:szCs w:val="24"/>
        </w:rPr>
        <w:t xml:space="preserve">, </w:t>
      </w:r>
      <w:r w:rsidR="00297164" w:rsidRPr="00F2588D">
        <w:rPr>
          <w:rFonts w:eastAsia="Times New Roman"/>
          <w:sz w:val="24"/>
          <w:szCs w:val="24"/>
        </w:rPr>
        <w:t>Sean Anderson</w:t>
      </w:r>
      <w:r w:rsidR="003508D1" w:rsidRPr="00F2588D">
        <w:rPr>
          <w:rFonts w:eastAsia="Times New Roman"/>
          <w:sz w:val="24"/>
          <w:szCs w:val="24"/>
          <w:vertAlign w:val="superscript"/>
        </w:rPr>
        <w:t>b</w:t>
      </w:r>
      <w:r w:rsidR="00297164" w:rsidRPr="00F2588D">
        <w:rPr>
          <w:rFonts w:eastAsia="Times New Roman"/>
          <w:sz w:val="24"/>
          <w:szCs w:val="24"/>
        </w:rPr>
        <w:t xml:space="preserve">, </w:t>
      </w:r>
      <w:r w:rsidRPr="00F2588D">
        <w:rPr>
          <w:rFonts w:eastAsia="Times New Roman"/>
          <w:sz w:val="24"/>
          <w:szCs w:val="24"/>
        </w:rPr>
        <w:t>Michele Casini</w:t>
      </w:r>
      <w:r w:rsidRPr="00F2588D">
        <w:rPr>
          <w:rFonts w:eastAsia="Times New Roman"/>
          <w:sz w:val="24"/>
          <w:szCs w:val="24"/>
          <w:vertAlign w:val="superscript"/>
        </w:rPr>
        <w:t>a</w:t>
      </w:r>
    </w:p>
    <w:p w14:paraId="2085F63F" w14:textId="72374B67"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vertAlign w:val="superscript"/>
        </w:rPr>
        <w:t xml:space="preserve">a </w:t>
      </w:r>
      <w:r w:rsidRPr="00F2588D">
        <w:rPr>
          <w:rFonts w:eastAsia="Times New Roman"/>
          <w:sz w:val="24"/>
          <w:szCs w:val="24"/>
        </w:rPr>
        <w:t>Swedish University of Agricultural Sciences, Department of Aquatic Resources, Institute of Marine Research, Turistgatan 5, 453 30 Lysekil , Sweden</w:t>
      </w:r>
    </w:p>
    <w:p w14:paraId="7C1D7F69" w14:textId="1ACC3AF5" w:rsidR="00121E20" w:rsidRPr="00F2588D" w:rsidRDefault="00121E20" w:rsidP="00EC14E0">
      <w:pPr>
        <w:spacing w:line="480" w:lineRule="auto"/>
        <w:contextualSpacing/>
        <w:jc w:val="both"/>
        <w:rPr>
          <w:rFonts w:eastAsia="Times New Roman"/>
          <w:sz w:val="24"/>
          <w:szCs w:val="24"/>
        </w:rPr>
      </w:pPr>
      <w:r w:rsidRPr="00F2588D">
        <w:rPr>
          <w:rFonts w:eastAsia="Times New Roman"/>
          <w:sz w:val="24"/>
          <w:szCs w:val="24"/>
          <w:vertAlign w:val="superscript"/>
        </w:rPr>
        <w:t xml:space="preserve">b </w:t>
      </w:r>
      <w:r w:rsidR="005B330D" w:rsidRPr="00F2588D">
        <w:rPr>
          <w:rFonts w:eastAsia="Times New Roman"/>
          <w:sz w:val="24"/>
          <w:szCs w:val="24"/>
        </w:rPr>
        <w:t>??</w:t>
      </w:r>
    </w:p>
    <w:p w14:paraId="4E44995D" w14:textId="77777777"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vertAlign w:val="superscript"/>
        </w:rPr>
        <w:t>1</w:t>
      </w:r>
      <w:r w:rsidRPr="00F2588D">
        <w:rPr>
          <w:rFonts w:eastAsia="Times New Roman"/>
          <w:sz w:val="24"/>
          <w:szCs w:val="24"/>
        </w:rPr>
        <w:t xml:space="preserve"> Author to whom correspondence should be addressed. Current address:</w:t>
      </w:r>
    </w:p>
    <w:p w14:paraId="38BC73C1" w14:textId="77777777"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Max Lindmark, Swedish University of Agricultural Sciences, Department of Aquatic Resources, Institute of Marine Research, Turistgatan 5, 453 30 Lysekil, Sweden, Tel.: +46(0)104784137, email: max.lindmark@slu.se</w:t>
      </w:r>
    </w:p>
    <w:p w14:paraId="30B18D54" w14:textId="77777777" w:rsidR="00736FF5" w:rsidRPr="00F2588D" w:rsidRDefault="00736FF5" w:rsidP="00EC14E0">
      <w:pPr>
        <w:spacing w:line="480" w:lineRule="auto"/>
        <w:ind w:left="720"/>
        <w:contextualSpacing/>
        <w:jc w:val="both"/>
        <w:rPr>
          <w:rFonts w:eastAsia="Times New Roman"/>
          <w:sz w:val="24"/>
          <w:szCs w:val="24"/>
        </w:rPr>
      </w:pPr>
    </w:p>
    <w:p w14:paraId="26879DAB" w14:textId="178A994F" w:rsidR="00736FF5" w:rsidRPr="00540B6F" w:rsidRDefault="00401B29" w:rsidP="00EC14E0">
      <w:pPr>
        <w:spacing w:line="480" w:lineRule="auto"/>
        <w:contextualSpacing/>
        <w:jc w:val="both"/>
        <w:rPr>
          <w:rFonts w:eastAsia="Times New Roman"/>
          <w:b/>
          <w:sz w:val="28"/>
          <w:szCs w:val="28"/>
        </w:rPr>
      </w:pPr>
      <w:r w:rsidRPr="00540B6F">
        <w:rPr>
          <w:rFonts w:eastAsia="Times New Roman"/>
          <w:b/>
          <w:sz w:val="28"/>
          <w:szCs w:val="28"/>
        </w:rPr>
        <w:t>Abstract</w:t>
      </w:r>
    </w:p>
    <w:p w14:paraId="3BB86DE8" w14:textId="77777777"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 xml:space="preserve"> </w:t>
      </w:r>
    </w:p>
    <w:p w14:paraId="2D5D2D62" w14:textId="77777777" w:rsidR="00736FF5" w:rsidRPr="00F2588D" w:rsidRDefault="00736FF5" w:rsidP="00EC14E0">
      <w:pPr>
        <w:pStyle w:val="Heading1"/>
        <w:spacing w:line="480" w:lineRule="auto"/>
        <w:contextualSpacing/>
        <w:jc w:val="both"/>
        <w:rPr>
          <w:rFonts w:eastAsia="Times New Roman"/>
          <w:sz w:val="24"/>
          <w:szCs w:val="24"/>
        </w:rPr>
      </w:pPr>
      <w:bookmarkStart w:id="0" w:name="_kmo410o1ovwf" w:colFirst="0" w:colLast="0"/>
      <w:bookmarkEnd w:id="0"/>
    </w:p>
    <w:p w14:paraId="6AA2C2BE" w14:textId="77777777" w:rsidR="00736FF5" w:rsidRPr="00F2588D" w:rsidRDefault="00736FF5" w:rsidP="00EC14E0">
      <w:pPr>
        <w:spacing w:line="480" w:lineRule="auto"/>
        <w:contextualSpacing/>
        <w:rPr>
          <w:rFonts w:eastAsia="Times New Roman"/>
          <w:sz w:val="24"/>
          <w:szCs w:val="24"/>
        </w:rPr>
      </w:pPr>
    </w:p>
    <w:p w14:paraId="0115F16E" w14:textId="77777777" w:rsidR="00736FF5" w:rsidRPr="00F2588D" w:rsidRDefault="00736FF5" w:rsidP="00EC14E0">
      <w:pPr>
        <w:spacing w:line="480" w:lineRule="auto"/>
        <w:contextualSpacing/>
        <w:rPr>
          <w:rFonts w:eastAsia="Times New Roman"/>
          <w:sz w:val="24"/>
          <w:szCs w:val="24"/>
        </w:rPr>
      </w:pPr>
    </w:p>
    <w:p w14:paraId="41DBCCD9" w14:textId="77777777" w:rsidR="00736FF5" w:rsidRPr="00F2588D" w:rsidRDefault="00736FF5" w:rsidP="00EC14E0">
      <w:pPr>
        <w:spacing w:line="480" w:lineRule="auto"/>
        <w:contextualSpacing/>
        <w:rPr>
          <w:rFonts w:eastAsia="Times New Roman"/>
          <w:sz w:val="24"/>
          <w:szCs w:val="24"/>
        </w:rPr>
      </w:pPr>
    </w:p>
    <w:p w14:paraId="284E6A0A" w14:textId="77777777" w:rsidR="00736FF5" w:rsidRPr="00F2588D" w:rsidRDefault="00736FF5" w:rsidP="00EC14E0">
      <w:pPr>
        <w:spacing w:line="480" w:lineRule="auto"/>
        <w:contextualSpacing/>
        <w:rPr>
          <w:rFonts w:eastAsia="Times New Roman"/>
          <w:sz w:val="24"/>
          <w:szCs w:val="24"/>
        </w:rPr>
      </w:pPr>
    </w:p>
    <w:p w14:paraId="6346D254" w14:textId="77777777" w:rsidR="00736FF5" w:rsidRPr="00F2588D" w:rsidRDefault="00736FF5" w:rsidP="00EC14E0">
      <w:pPr>
        <w:spacing w:line="480" w:lineRule="auto"/>
        <w:contextualSpacing/>
        <w:rPr>
          <w:rFonts w:eastAsia="Times New Roman"/>
          <w:sz w:val="24"/>
          <w:szCs w:val="24"/>
        </w:rPr>
      </w:pPr>
    </w:p>
    <w:p w14:paraId="2EFFD268" w14:textId="77777777" w:rsidR="00736FF5" w:rsidRPr="00F2588D" w:rsidRDefault="00736FF5" w:rsidP="00EC14E0">
      <w:pPr>
        <w:spacing w:line="480" w:lineRule="auto"/>
        <w:contextualSpacing/>
        <w:rPr>
          <w:rFonts w:eastAsia="Times New Roman"/>
          <w:sz w:val="24"/>
          <w:szCs w:val="24"/>
        </w:rPr>
      </w:pPr>
    </w:p>
    <w:p w14:paraId="2737BD38" w14:textId="77777777" w:rsidR="00736FF5" w:rsidRPr="00F2588D" w:rsidRDefault="00736FF5" w:rsidP="00EC14E0">
      <w:pPr>
        <w:spacing w:line="480" w:lineRule="auto"/>
        <w:contextualSpacing/>
        <w:rPr>
          <w:rFonts w:eastAsia="Times New Roman"/>
          <w:sz w:val="24"/>
          <w:szCs w:val="24"/>
        </w:rPr>
      </w:pPr>
    </w:p>
    <w:p w14:paraId="2062D43A" w14:textId="77777777" w:rsidR="00736FF5" w:rsidRPr="00F2588D" w:rsidRDefault="00736FF5" w:rsidP="00EC14E0">
      <w:pPr>
        <w:spacing w:line="480" w:lineRule="auto"/>
        <w:contextualSpacing/>
        <w:rPr>
          <w:rFonts w:eastAsia="Times New Roman"/>
          <w:sz w:val="24"/>
          <w:szCs w:val="24"/>
        </w:rPr>
      </w:pPr>
    </w:p>
    <w:p w14:paraId="0A748878" w14:textId="77777777" w:rsidR="00736FF5" w:rsidRPr="00F2588D" w:rsidRDefault="00736FF5" w:rsidP="00EC14E0">
      <w:pPr>
        <w:spacing w:line="480" w:lineRule="auto"/>
        <w:contextualSpacing/>
        <w:rPr>
          <w:rFonts w:eastAsia="Times New Roman"/>
          <w:sz w:val="24"/>
          <w:szCs w:val="24"/>
        </w:rPr>
      </w:pPr>
    </w:p>
    <w:p w14:paraId="33A41D71" w14:textId="77777777" w:rsidR="00736FF5" w:rsidRPr="00540B6F" w:rsidRDefault="00401B29" w:rsidP="00EC14E0">
      <w:pPr>
        <w:pStyle w:val="Heading1"/>
        <w:spacing w:line="480" w:lineRule="auto"/>
        <w:contextualSpacing/>
        <w:jc w:val="both"/>
        <w:rPr>
          <w:rFonts w:eastAsia="Times New Roman"/>
          <w:b/>
          <w:sz w:val="28"/>
          <w:szCs w:val="28"/>
        </w:rPr>
      </w:pPr>
      <w:bookmarkStart w:id="1" w:name="_v4bo7gucfsoa" w:colFirst="0" w:colLast="0"/>
      <w:bookmarkEnd w:id="1"/>
      <w:r w:rsidRPr="00540B6F">
        <w:rPr>
          <w:rFonts w:eastAsia="Times New Roman"/>
          <w:b/>
          <w:sz w:val="28"/>
          <w:szCs w:val="28"/>
        </w:rPr>
        <w:lastRenderedPageBreak/>
        <w:t>Introduction</w:t>
      </w:r>
    </w:p>
    <w:p w14:paraId="5EF0F7BD" w14:textId="77777777" w:rsidR="00341DE0" w:rsidRDefault="00401B29" w:rsidP="00EC14E0">
      <w:pPr>
        <w:spacing w:line="480" w:lineRule="auto"/>
        <w:contextualSpacing/>
        <w:jc w:val="both"/>
        <w:rPr>
          <w:rFonts w:eastAsia="Times New Roman"/>
          <w:sz w:val="24"/>
          <w:szCs w:val="24"/>
        </w:rPr>
      </w:pPr>
      <w:r w:rsidRPr="00F2588D">
        <w:rPr>
          <w:rFonts w:eastAsia="Times New Roman"/>
          <w:sz w:val="24"/>
          <w:szCs w:val="24"/>
        </w:rPr>
        <w:t>The relationship between length and weight has a long tradition in fisheries science. From it, body condition indices can be calculated</w:t>
      </w:r>
      <w:r w:rsidR="00BB0E97" w:rsidRPr="00F2588D">
        <w:rPr>
          <w:rFonts w:eastAsia="Times New Roman"/>
          <w:sz w:val="24"/>
          <w:szCs w:val="24"/>
        </w:rPr>
        <w:t xml:space="preserve"> </w:t>
      </w:r>
      <w:r w:rsidR="00A4125F" w:rsidRPr="00F2588D">
        <w:rPr>
          <w:rFonts w:eastAsia="Times New Roman"/>
          <w:sz w:val="24"/>
          <w:szCs w:val="24"/>
        </w:rPr>
        <w:fldChar w:fldCharType="begin"/>
      </w:r>
      <w:r w:rsidR="00A4125F" w:rsidRPr="00F2588D">
        <w:rPr>
          <w:rFonts w:eastAsia="Times New Roman"/>
          <w:sz w:val="24"/>
          <w:szCs w:val="24"/>
        </w:rPr>
        <w:instrText xml:space="preserve"> ADDIN ZOTERO_ITEM CSL_CITATION {"citationID":"zdaXd9qL","properties":{"formattedCitation":"(Beverton and Holt, 1957; Ricker, 1975; Nash {\\i{}et al.}, 2006)","plainCitation":"(Beverton and Holt, 1957; Ricker, 1975; Nash et al., 2006)","noteIndex":0},"citationItems":[{"id":894,"uris":["http://zotero.org/users/6116610/items/KSR79S2Q"],"uri":["http://zotero.org/users/6116610/items/KSR79S2Q"],"itemData":{"id":894,"type":"book","abstract":"Among the fishes, a remarkably wide range of biological adaptations to diverse habitats has evolved. As well as living in the conventional habitats of lakes, ponds, rivers, rock pools and the open sea, fish have solved the problems of life in deserts, in the deep sea, in the cold antarctic, and in warm waters of high alkalinity or of low oxygen. Along with these adaptations, we find the most impressive specializations of morphology, physiology and behaviour. For example we can marvel at the high-speed swimming of the marlins, sailfish and warm-blooded tunas, air-breathing in catfish and lungfish, parental care in the mouth-brooding cichlids, and viviparity in many sharks and toothcarps. Moreover, fish are of considerable importance to the survival of the human species in the form of nutritious, delicious and diverse food. Rational exploitation and management of our global stocks of fishes must rely upon a detailed and precise insight of their biology. The Chapman &amp; Hall Fish and Fisheries Series aims to present timely volumes reviewing important aspects of fish biology. Most volumes will be of interest to research workers in biology, zoology, ecology and physiology but an additional aim is for the books to be accessible to a wide spectrum of non-specialist readers ranging from undergraduates and postgraduates to those with an interest in industrial and commercial aspects of fish and fisheries.","language":"en","publisher":"Fishery Investigations London Series 2, Volume 19.","title":"On the Dynamics of Exploited Fish Populations","author":[{"family":"Beverton","given":"Raymond J. H."},{"family":"Holt","given":"Sidney J."}],"issued":{"date-parts":[["1957"]]}}},{"id":31,"uris":["http://zotero.org/users/6116610/items/92KZYTNF"],"uri":["http://zotero.org/users/6116610/items/92KZYTNF"],"itemData":{"id":31,"type":"article-journal","container-title":"Bulletin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A4125F" w:rsidRPr="00F2588D">
        <w:rPr>
          <w:rFonts w:eastAsia="Times New Roman"/>
          <w:sz w:val="24"/>
          <w:szCs w:val="24"/>
        </w:rPr>
        <w:fldChar w:fldCharType="separate"/>
      </w:r>
      <w:r w:rsidR="00A4125F" w:rsidRPr="00F2588D">
        <w:rPr>
          <w:sz w:val="24"/>
          <w:szCs w:val="24"/>
        </w:rPr>
        <w:t xml:space="preserve">(Beverton and Holt, 1957; Ricker, 1975; Nash </w:t>
      </w:r>
      <w:r w:rsidR="00A4125F" w:rsidRPr="00F2588D">
        <w:rPr>
          <w:i/>
          <w:iCs/>
          <w:sz w:val="24"/>
          <w:szCs w:val="24"/>
        </w:rPr>
        <w:t>et al.</w:t>
      </w:r>
      <w:r w:rsidR="00A4125F" w:rsidRPr="00F2588D">
        <w:rPr>
          <w:sz w:val="24"/>
          <w:szCs w:val="24"/>
        </w:rPr>
        <w:t>, 2006)</w:t>
      </w:r>
      <w:r w:rsidR="00A4125F" w:rsidRPr="00F2588D">
        <w:rPr>
          <w:rFonts w:eastAsia="Times New Roman"/>
          <w:sz w:val="24"/>
          <w:szCs w:val="24"/>
        </w:rPr>
        <w:fldChar w:fldCharType="end"/>
      </w:r>
      <w:r w:rsidRPr="00F2588D">
        <w:rPr>
          <w:rFonts w:eastAsia="Times New Roman"/>
          <w:sz w:val="24"/>
          <w:szCs w:val="24"/>
        </w:rPr>
        <w:t>, which describe the “plumpness” of an individual, or its weight relative to its length. Hence, condition is related to accumulated energy reserves and often positively associated with fitness</w:t>
      </w:r>
      <w:r w:rsidR="00227C4E" w:rsidRPr="00F2588D">
        <w:rPr>
          <w:rFonts w:eastAsia="Times New Roman"/>
          <w:sz w:val="24"/>
          <w:szCs w:val="24"/>
        </w:rPr>
        <w:t xml:space="preserve"> </w:t>
      </w:r>
      <w:r w:rsidR="00F80416" w:rsidRPr="00F2588D">
        <w:rPr>
          <w:rFonts w:eastAsia="Times New Roman"/>
          <w:sz w:val="24"/>
          <w:szCs w:val="24"/>
        </w:rPr>
        <w:fldChar w:fldCharType="begin"/>
      </w:r>
      <w:r w:rsidR="00F80416" w:rsidRPr="00F2588D">
        <w:rPr>
          <w:rFonts w:eastAsia="Times New Roman"/>
          <w:sz w:val="24"/>
          <w:szCs w:val="24"/>
        </w:rPr>
        <w:instrText xml:space="preserve"> ADDIN ZOTERO_ITEM CSL_CITATION {"citationID":"I66ntHQ7","properties":{"formattedCitation":"(Morgan {\\i{}et al.}, 2010; Thorson, 2015)","plainCitation":"(Morgan et al., 2010; Thorson, 2015)","noteIndex":0},"citationItems":[{"id":2224,"uris":["http://zotero.org/users/6116610/items/PUXGC82U"],"uri":["http://zotero.org/users/6116610/items/PUXGC82U"],"itemData":{"id":2224,"type":"article-journal","abstract":"The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F80416" w:rsidRPr="00F2588D">
        <w:rPr>
          <w:rFonts w:eastAsia="Times New Roman"/>
          <w:sz w:val="24"/>
          <w:szCs w:val="24"/>
        </w:rPr>
        <w:fldChar w:fldCharType="separate"/>
      </w:r>
      <w:r w:rsidR="00F80416" w:rsidRPr="00F2588D">
        <w:rPr>
          <w:sz w:val="24"/>
          <w:szCs w:val="24"/>
        </w:rPr>
        <w:t xml:space="preserve">(Morgan </w:t>
      </w:r>
      <w:r w:rsidR="00F80416" w:rsidRPr="00F2588D">
        <w:rPr>
          <w:i/>
          <w:iCs/>
          <w:sz w:val="24"/>
          <w:szCs w:val="24"/>
        </w:rPr>
        <w:t>et al.</w:t>
      </w:r>
      <w:r w:rsidR="00F80416" w:rsidRPr="00F2588D">
        <w:rPr>
          <w:sz w:val="24"/>
          <w:szCs w:val="24"/>
        </w:rPr>
        <w:t>, 2010; Thorson, 2015)</w:t>
      </w:r>
      <w:r w:rsidR="00F80416" w:rsidRPr="00F2588D">
        <w:rPr>
          <w:rFonts w:eastAsia="Times New Roman"/>
          <w:sz w:val="24"/>
          <w:szCs w:val="24"/>
        </w:rPr>
        <w:fldChar w:fldCharType="end"/>
      </w:r>
      <w:r w:rsidRPr="00F2588D">
        <w:rPr>
          <w:rFonts w:eastAsia="Times New Roman"/>
          <w:sz w:val="24"/>
          <w:szCs w:val="24"/>
        </w:rPr>
        <w:t>. For instance, individuals with high condition have greater reproductive success</w:t>
      </w:r>
      <w:r w:rsidR="0039016B" w:rsidRPr="00F2588D">
        <w:rPr>
          <w:rFonts w:eastAsia="Times New Roman"/>
          <w:sz w:val="24"/>
          <w:szCs w:val="24"/>
        </w:rPr>
        <w:t xml:space="preserve"> </w:t>
      </w:r>
      <w:r w:rsidR="00B02133" w:rsidRPr="00F2588D">
        <w:rPr>
          <w:rFonts w:eastAsia="Times New Roman"/>
          <w:sz w:val="24"/>
          <w:szCs w:val="24"/>
        </w:rPr>
        <w:fldChar w:fldCharType="begin"/>
      </w:r>
      <w:r w:rsidR="00B02133" w:rsidRPr="00F2588D">
        <w:rPr>
          <w:rFonts w:eastAsia="Times New Roman"/>
          <w:sz w:val="24"/>
          <w:szCs w:val="24"/>
        </w:rPr>
        <w:instrText xml:space="preserve"> ADDIN ZOTERO_ITEM CSL_CITATION {"citationID":"xNp2crmD","properties":{"formattedCitation":"(Hislop {\\i{}et al.}, 1978; Marshall and Frank, 1999)","plainCitation":"(Hislop et al., 1978; Marshall and Frank, 1999)","noteIndex":0},"citationItems":[{"id":2222,"uris":["http://zotero.org/users/6116610/items/59YF49UR"],"uri":["http://zotero.org/users/6116610/items/59YF49UR"],"itemData":{"id":2222,"type":"article-journal","abstract":"Individual haddock, Melanogrammus aeglefinus (L.) were maintained at different feeding levels in an aquarium from November until the completion of spawning. The mean duration of spawning was 33.2 days (range 19–59) during which an average of 16.6 (range 10–25) batches of eggs were produced. The size and dry weight of the eggs declined during the spawning period. Egg production and feeding level were correlated positively. There was some suggestion that when female haddock received low rations (&lt; 5 kcal day-1) a lower proportion spawned, and the dry weights of the eggs were lower compared with females on high rations (&gt; 13 kcal day -1). The relation between daily growth in wet weight, g, and daily surplus energy intake, kcal, was: G=(0.295E)— 0.328. When food energy is restricted, haddock appear to achieve a balance between somatic growth and reproduction.","container-title":"Journal of Fish Biology","DOI":"10.1111/j.1095-8649.1978.tb03416.x","ISSN":"1095-8649","issue":"1","language":"en","note":"_eprint: https://onlinelibrary.wiley.com/doi/pdf/10.1111/j.1095-8649.1978.tb03416.x","page":"85-98","source":"Wiley Online Library","title":"Observations on effects of feeding level on growth and reproduction in haddock, Melanogrammus aeglefinus (L.) in captivity","volume":"13","author":[{"family":"Hislop","given":"J. R. G."},{"family":"Robb","given":"A. P."},{"family":"Gauld","given":"J. A."}],"issued":{"date-parts":[["1978"]]}}},{"id":2186,"uris":["http://zotero.org/users/6116610/items/7NNEWGWU"],"uri":["http://zotero.org/users/6116610/items/7NNEWGWU"],"itemData":{"id":2186,"type":"article-journal","abstract":"The relationship between recruitment and spawner biomass assumes that estimates of spawner biomass are proportional to total egg production by the stock. The validity of this assumption is in question for long-lived gadoid stocks; however, estimating total egg production independently of spawner biomass is seldom feasible. An alternative approach is to examine correlations between recruitment and variables likely to be proxies for total egg production by the stock. This indirect approach was used for haddock on the Scotian Shelf. Indices of growth (mean length at age-4) and condition (weight at 50 cm) were used as proxies for the reproductive potential of individual spawners. Both variables were positively correlated with recruitment over a 3-decade period (1964-1995). During the same time period, there was no relationship between recruitment and spawner biomass estimated by Virtual Population Analysis (VPA). This is further evidence that VPA-based spawner biomass is a poor index of the true reproductive potential of the stock. The results highlight the need to develop more accurate/precise measures of total egg production for use in recruitment research.","container-title":"Canadian Journal of Fisheries and Aquatic Sciences","DOI":"10.1139/f99-019","ISSN":"0706-652X","issue":"3","journalAbbreviation":"Can. J. Fish. Aquat. Sci.","note":"publisher: NRC Research Press","page":"347-355","source":"nrcresearchpress.com (Atypon)","title":"The effect of interannual variation in growth and condition on haddock recruitment","volume":"56","author":[{"family":"Marshall","given":"C Tara"},{"family":"Frank","given":"Kenneth T"}],"issued":{"date-parts":[["1999",3,1]]}}}],"schema":"https://github.com/citation-style-language/schema/raw/master/csl-citation.json"} </w:instrText>
      </w:r>
      <w:r w:rsidR="00B02133" w:rsidRPr="00F2588D">
        <w:rPr>
          <w:rFonts w:eastAsia="Times New Roman"/>
          <w:sz w:val="24"/>
          <w:szCs w:val="24"/>
        </w:rPr>
        <w:fldChar w:fldCharType="separate"/>
      </w:r>
      <w:r w:rsidR="00B02133" w:rsidRPr="00F2588D">
        <w:rPr>
          <w:sz w:val="24"/>
          <w:szCs w:val="24"/>
        </w:rPr>
        <w:t xml:space="preserve">(Hislop </w:t>
      </w:r>
      <w:r w:rsidR="00B02133" w:rsidRPr="00F2588D">
        <w:rPr>
          <w:i/>
          <w:iCs/>
          <w:sz w:val="24"/>
          <w:szCs w:val="24"/>
        </w:rPr>
        <w:t>et al.</w:t>
      </w:r>
      <w:r w:rsidR="00B02133" w:rsidRPr="00F2588D">
        <w:rPr>
          <w:sz w:val="24"/>
          <w:szCs w:val="24"/>
        </w:rPr>
        <w:t>, 1978; Marshall and Frank, 1999)</w:t>
      </w:r>
      <w:r w:rsidR="00B02133" w:rsidRPr="00F2588D">
        <w:rPr>
          <w:rFonts w:eastAsia="Times New Roman"/>
          <w:sz w:val="24"/>
          <w:szCs w:val="24"/>
        </w:rPr>
        <w:fldChar w:fldCharType="end"/>
      </w:r>
      <w:r w:rsidR="00B02133" w:rsidRPr="00F2588D">
        <w:rPr>
          <w:rFonts w:eastAsia="Times New Roman"/>
          <w:sz w:val="24"/>
          <w:szCs w:val="24"/>
        </w:rPr>
        <w:t>,</w:t>
      </w:r>
      <w:r w:rsidRPr="00F2588D">
        <w:rPr>
          <w:rFonts w:eastAsia="Times New Roman"/>
          <w:sz w:val="24"/>
          <w:szCs w:val="24"/>
        </w:rPr>
        <w:t xml:space="preserve"> and poor condition increases the likelihood of skipped spawning</w:t>
      </w:r>
      <w:r w:rsidR="00E22473" w:rsidRPr="00F2588D">
        <w:rPr>
          <w:rFonts w:eastAsia="Times New Roman"/>
          <w:sz w:val="24"/>
          <w:szCs w:val="24"/>
        </w:rPr>
        <w:t xml:space="preserve"> </w:t>
      </w:r>
      <w:r w:rsidR="007D0945" w:rsidRPr="00F2588D">
        <w:rPr>
          <w:rFonts w:eastAsia="Times New Roman"/>
          <w:sz w:val="24"/>
          <w:szCs w:val="24"/>
        </w:rPr>
        <w:fldChar w:fldCharType="begin"/>
      </w:r>
      <w:r w:rsidR="007D0945" w:rsidRPr="00F2588D">
        <w:rPr>
          <w:rFonts w:eastAsia="Times New Roman"/>
          <w:sz w:val="24"/>
          <w:szCs w:val="24"/>
        </w:rPr>
        <w:instrText xml:space="preserve"> ADDIN ZOTERO_ITEM CSL_CITATION {"citationID":"z9l5e6oy","properties":{"formattedCitation":"(J\\uc0\\u248{}rgensen {\\i{}et al.}, 2006; Mion {\\i{}et al.}, 2018)","plainCitation":"(Jørgensen et al., 2006; Mion et al., 2018)","noteIndex":0},"citationItems":[{"id":2219,"uris":["http://zotero.org/users/6116610/items/6NSIEJGS"],"uri":["http://zotero.org/users/6116610/items/6NSIEJGS"],"itemData":{"id":2219,"type":"article-journal","abstract":"That sexually mature fish skip reproduction, especially in response to poor condition, has been documented in many species. We present results from an energy-allocation life history model that shed light on the underlying logic of skipped spawning, based on the Northeast Arctic stock of Atlantic cod (Gadus morhua). The model predicts that skipped spawning is a regular phenomenon, with up to 30% of the sexually mature biomass skipping spawning. Spawning should be skipped if the expected future gain in reproductive output, discounted by survival, more than balances the expected reproductive success the current year. Skipped spawning was most common (i) among potential  second-time spawners and (ii) early in life, (iii) when fishing mortality at the spawning grounds was high, (iv) when fishing mortality at the feeding grounds was low, (v) when natural mortality was low, and (vi) when the energetic and mortality costs associated with migration and spawning were high. Cod skipped spawning more often when food availability was both increased (opportunities for better growth) and decreased (too little energy for gonad development), and this pattern interacted with mortality rate. We conclude that skipped spawning may be more widespread than  appreciated and highlight potential consequences for the understanding of stockrecruitment relationships.","container-title":"Canadian Journal of Fisheries and Aquatic Sciences","DOI":"10.1139/f05-210","ISSN":"0706-652X","issue":"1","journalAbbreviation":"Can. J. Fish</w:instrText>
      </w:r>
      <w:r w:rsidR="007D0945" w:rsidRPr="00702F1A">
        <w:rPr>
          <w:rFonts w:eastAsia="Times New Roman"/>
          <w:sz w:val="24"/>
          <w:szCs w:val="24"/>
          <w:lang w:val="en-US"/>
        </w:rPr>
        <w:instrText>. Aquat. Sci.","note":"publisher: NR</w:instrText>
      </w:r>
      <w:r w:rsidR="007D0945" w:rsidRPr="00F2588D">
        <w:rPr>
          <w:rFonts w:eastAsia="Times New Roman"/>
          <w:sz w:val="24"/>
          <w:szCs w:val="24"/>
          <w:lang w:val="en-US"/>
        </w:rPr>
        <w:instrText xml:space="preserve">C Research Press","page":"200-211","source":"nrcresearchpress.com (Atypon)","title":"The logic of skipped spawning in fish","volume":"63","author":[{"family":"Jørgensen","given":"Christian"},{"family":"Ernande","given":"Bruno"},{"family":"Fiksen","given":"Øyvind"},{"family":"Dieckmann","given":"Ulf"}],"issued":{"date-parts":[["2006",1,1]]}}},{"id":876,"uris":["http://zotero.org/users/6116610/items/2NFIJQCW"],"uri":["http://zotero.org/users/6116610/items/2NFIJQCW"],"itemData":{"id":876,"type":"article-journal","container-title":"Journal of Fish Biology","DOI":"10.1111/jfb.13563","ISSN":"00221112","issue":"4","language":"en","page":"1016-1034","source":"Crossref","title":"Effect of fish length and nutritional condition on the fecundity of distressed Atlantic cod &lt;i&gt;Gadus morhua&lt;/i&gt; from the Baltic Sea: POTENTIAL FECUNDITY OF BALTIC &lt;i&gt;G. MORHUA&lt;/i&gt;","title-short":"Effect of fish length and nutritional condition on the fecundity of distressed Atlantic cod &lt;i&gt;Gadus morhua&lt;/i&gt; from the Baltic Sea","volume":"92","author":[{"family":"Mion","given":"M."},{"family":"Thorsen","given":"A."},{"family":"Vitale","given":"F."},{"family":"Dierking","given":"J."},{"family":"Herrmann","given":"J. P."},{"family":"Huwer","given":"B."},{"family":"Dewitz","given":"B.","non-dropping-particle":"von"},{"family":"Casini","given":"M."}],"issued":{"date-parts":[["2018",4]]}}}],"schema":"https://github.com/citation-style-language/schema/raw/master/csl-citation.json"} </w:instrText>
      </w:r>
      <w:r w:rsidR="007D0945" w:rsidRPr="00F2588D">
        <w:rPr>
          <w:rFonts w:eastAsia="Times New Roman"/>
          <w:sz w:val="24"/>
          <w:szCs w:val="24"/>
        </w:rPr>
        <w:fldChar w:fldCharType="separate"/>
      </w:r>
      <w:r w:rsidR="007D0945" w:rsidRPr="00F2588D">
        <w:rPr>
          <w:sz w:val="24"/>
          <w:szCs w:val="24"/>
          <w:lang w:val="en-US"/>
        </w:rPr>
        <w:t xml:space="preserve">(Jørgensen </w:t>
      </w:r>
      <w:r w:rsidR="007D0945" w:rsidRPr="00F2588D">
        <w:rPr>
          <w:i/>
          <w:iCs/>
          <w:sz w:val="24"/>
          <w:szCs w:val="24"/>
          <w:lang w:val="en-US"/>
        </w:rPr>
        <w:t>et al.</w:t>
      </w:r>
      <w:r w:rsidR="007D0945" w:rsidRPr="00F2588D">
        <w:rPr>
          <w:sz w:val="24"/>
          <w:szCs w:val="24"/>
          <w:lang w:val="en-US"/>
        </w:rPr>
        <w:t xml:space="preserve">, 2006; Mion </w:t>
      </w:r>
      <w:r w:rsidR="007D0945" w:rsidRPr="00F2588D">
        <w:rPr>
          <w:i/>
          <w:iCs/>
          <w:sz w:val="24"/>
          <w:szCs w:val="24"/>
          <w:lang w:val="en-US"/>
        </w:rPr>
        <w:t>et al.</w:t>
      </w:r>
      <w:r w:rsidR="007D0945" w:rsidRPr="00F2588D">
        <w:rPr>
          <w:sz w:val="24"/>
          <w:szCs w:val="24"/>
          <w:lang w:val="en-US"/>
        </w:rPr>
        <w:t>, 2018)</w:t>
      </w:r>
      <w:r w:rsidR="007D0945" w:rsidRPr="00F2588D">
        <w:rPr>
          <w:rFonts w:eastAsia="Times New Roman"/>
          <w:sz w:val="24"/>
          <w:szCs w:val="24"/>
        </w:rPr>
        <w:fldChar w:fldCharType="end"/>
      </w:r>
      <w:r w:rsidR="007D0945" w:rsidRPr="00F2588D">
        <w:rPr>
          <w:rFonts w:eastAsia="Times New Roman"/>
          <w:sz w:val="24"/>
          <w:szCs w:val="24"/>
        </w:rPr>
        <w:t xml:space="preserve"> </w:t>
      </w:r>
      <w:r w:rsidRPr="00F2588D">
        <w:rPr>
          <w:rFonts w:eastAsia="Times New Roman"/>
          <w:sz w:val="24"/>
          <w:szCs w:val="24"/>
        </w:rPr>
        <w:t>and can lower chances of survival</w:t>
      </w:r>
      <w:r w:rsidR="002E5F7A" w:rsidRPr="00F2588D">
        <w:rPr>
          <w:rFonts w:eastAsia="Times New Roman"/>
          <w:sz w:val="24"/>
          <w:szCs w:val="24"/>
        </w:rPr>
        <w:t xml:space="preserve"> </w:t>
      </w:r>
      <w:r w:rsidR="00926269" w:rsidRPr="00F2588D">
        <w:rPr>
          <w:rFonts w:eastAsia="Times New Roman"/>
          <w:sz w:val="24"/>
          <w:szCs w:val="24"/>
        </w:rPr>
        <w:fldChar w:fldCharType="begin"/>
      </w:r>
      <w:r w:rsidR="002E0D05" w:rsidRPr="00F2588D">
        <w:rPr>
          <w:rFonts w:eastAsia="Times New Roman"/>
          <w:sz w:val="24"/>
          <w:szCs w:val="24"/>
        </w:rPr>
        <w:instrText xml:space="preserve"> ADDIN ZOTERO_ITEM CSL_CITATION {"citationID":"dVe85ueN","properties":{"formattedCitation":"(Dutil and Lambert, 2000; Casini {\\i{}et al.}, 2016b)","plainCitation":"(Dutil and Lambert, 2000; Casini et al., 2016b)","noteIndex":0},"citationItems":[{"id":2266,"uris":["http://zotero.org/users/6116610/items/6RBE2REJ"],"uri":["http://zotero.org/users/6116610/items/6RBE2REJ"],"itemData":{"id":2266,"type":"article-journal","abstract":"The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2262,"uris":["http://zotero.org/users/6116610/items/K5QZ6B6K"],"uri":["http://zotero.org/users/6116610/items/K5QZ6B6K"],"itemData":{"id":2262,"type":"article-journal","abstract":"The inclusion of biological and ecological aspects in the assessment of fish population status is one of the bases for an ecosystem-based fisheries management.","container-title":"ICES Journal of Marine Science","DOI":"10.1093/icesjms/fsw117","ISSN":"1054-3139","issue":"10","journalAbbreviation":"ICES J Mar Sci","language":"en","note":"publisher: Oxford Academic","page":"2625-2631","source":"academic.oup.com","title":"Using alternative biological information in stock assessment: condition-corrected natural mortality of Eastern Baltic cod","title-short":"Using alternative biological information in stock assessment","volume":"73","author":[{"family":"Casini","given":"Michele"},{"family":"Eero","given":"Margit"},{"family":"Carlshamre","given":"Sofia"},{"family":"Lövgren","given":"Johan"}],"issued":{"date-parts":[["2016",11,1]]}}}],"schema":"https://github.com/citation-style-language/schema/raw/master/csl-citation.json"} </w:instrText>
      </w:r>
      <w:r w:rsidR="00926269" w:rsidRPr="00F2588D">
        <w:rPr>
          <w:rFonts w:eastAsia="Times New Roman"/>
          <w:sz w:val="24"/>
          <w:szCs w:val="24"/>
        </w:rPr>
        <w:fldChar w:fldCharType="separate"/>
      </w:r>
      <w:r w:rsidR="002E0D05" w:rsidRPr="00F2588D">
        <w:rPr>
          <w:sz w:val="24"/>
          <w:szCs w:val="24"/>
        </w:rPr>
        <w:t xml:space="preserve">(Dutil and Lambert, 2000; Casini </w:t>
      </w:r>
      <w:r w:rsidR="002E0D05" w:rsidRPr="00F2588D">
        <w:rPr>
          <w:i/>
          <w:iCs/>
          <w:sz w:val="24"/>
          <w:szCs w:val="24"/>
        </w:rPr>
        <w:t>et al.</w:t>
      </w:r>
      <w:r w:rsidR="002E0D05" w:rsidRPr="00F2588D">
        <w:rPr>
          <w:sz w:val="24"/>
          <w:szCs w:val="24"/>
        </w:rPr>
        <w:t>, 2016b)</w:t>
      </w:r>
      <w:r w:rsidR="00926269" w:rsidRPr="00F2588D">
        <w:rPr>
          <w:rFonts w:eastAsia="Times New Roman"/>
          <w:sz w:val="24"/>
          <w:szCs w:val="24"/>
        </w:rPr>
        <w:fldChar w:fldCharType="end"/>
      </w:r>
      <w:r w:rsidRPr="00F2588D">
        <w:rPr>
          <w:rFonts w:eastAsia="Times New Roman"/>
          <w:sz w:val="24"/>
          <w:szCs w:val="24"/>
        </w:rPr>
        <w:t xml:space="preserve">. Because of the link between condition and physiological status, and the availability of length-weight data, body condition constitutes a valuable index for evaluating changes in productivity of fish stocks </w:t>
      </w:r>
      <w:r w:rsidR="004D41C9" w:rsidRPr="00F2588D">
        <w:rPr>
          <w:rFonts w:eastAsia="Times New Roman"/>
          <w:sz w:val="24"/>
          <w:szCs w:val="24"/>
        </w:rPr>
        <w:fldChar w:fldCharType="begin"/>
      </w:r>
      <w:r w:rsidR="004D41C9" w:rsidRPr="00F2588D">
        <w:rPr>
          <w:rFonts w:eastAsia="Times New Roman"/>
          <w:sz w:val="24"/>
          <w:szCs w:val="24"/>
        </w:rPr>
        <w:instrText xml:space="preserve"> ADDIN ZOTERO_ITEM CSL_CITATION {"citationID":"2KYYxj9J","properties":{"formattedCitation":"(Thorson,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D41C9" w:rsidRPr="00F2588D">
        <w:rPr>
          <w:rFonts w:eastAsia="Times New Roman"/>
          <w:sz w:val="24"/>
          <w:szCs w:val="24"/>
        </w:rPr>
        <w:fldChar w:fldCharType="separate"/>
      </w:r>
      <w:r w:rsidR="004D41C9" w:rsidRPr="00F2588D">
        <w:rPr>
          <w:sz w:val="24"/>
          <w:szCs w:val="24"/>
        </w:rPr>
        <w:t xml:space="preserve">(Thorson, 2015; Grüss </w:t>
      </w:r>
      <w:r w:rsidR="004D41C9" w:rsidRPr="00F2588D">
        <w:rPr>
          <w:i/>
          <w:iCs/>
          <w:sz w:val="24"/>
          <w:szCs w:val="24"/>
        </w:rPr>
        <w:t>et al.</w:t>
      </w:r>
      <w:r w:rsidR="004D41C9" w:rsidRPr="00F2588D">
        <w:rPr>
          <w:sz w:val="24"/>
          <w:szCs w:val="24"/>
        </w:rPr>
        <w:t>, 2020)</w:t>
      </w:r>
      <w:r w:rsidR="004D41C9" w:rsidRPr="00F2588D">
        <w:rPr>
          <w:rFonts w:eastAsia="Times New Roman"/>
          <w:sz w:val="24"/>
          <w:szCs w:val="24"/>
        </w:rPr>
        <w:fldChar w:fldCharType="end"/>
      </w:r>
      <w:r w:rsidRPr="00F2588D">
        <w:rPr>
          <w:rFonts w:eastAsia="Times New Roman"/>
          <w:sz w:val="24"/>
          <w:szCs w:val="24"/>
        </w:rPr>
        <w:t xml:space="preserve">. </w:t>
      </w:r>
    </w:p>
    <w:p w14:paraId="5810EA13" w14:textId="77777777" w:rsidR="00554191"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t>Being related to energy reserves, condition can vary seasonally due to maturation, migration, reproduction and overwintering</w:t>
      </w:r>
      <w:r w:rsidR="00607309" w:rsidRPr="00F2588D">
        <w:rPr>
          <w:rFonts w:eastAsia="Times New Roman"/>
          <w:sz w:val="24"/>
          <w:szCs w:val="24"/>
        </w:rPr>
        <w:t xml:space="preserve"> </w:t>
      </w:r>
      <w:r w:rsidR="00E73745" w:rsidRPr="00F2588D">
        <w:rPr>
          <w:rFonts w:eastAsia="Times New Roman"/>
          <w:sz w:val="24"/>
          <w:szCs w:val="24"/>
        </w:rPr>
        <w:fldChar w:fldCharType="begin"/>
      </w:r>
      <w:r w:rsidR="00E73745" w:rsidRPr="00F2588D">
        <w:rPr>
          <w:rFonts w:eastAsia="Times New Roman"/>
          <w:sz w:val="24"/>
          <w:szCs w:val="24"/>
        </w:rPr>
        <w:instrText xml:space="preserve"> ADDIN ZOTERO_ITEM CSL_CITATION {"citationID":"IQY7gFWA","properties":{"formattedCitation":"(Bromley, 2000; Dutil and Lambert, 2000; Yaragina and Marshall, 2000)","plainCitation":"(Bromley, 2000; Dutil and Lambert, 2000; Yaragina and Marshall, 2000)","noteIndex":0},"citationItems":[{"id":2216,"uris":["http://zotero.org/users/6116610/items/QRD3WYTF"],"uri":["http://zotero.org/users/6116610/items/QRD3WYTF"],"itemData":{"id":2216,"type":"article-journal","abstract":"This paper investigates sexual maturation in North Sea plaice using data from the commercial catch of plaice landed on Lowestoft fish market from 1983–1996, along with data from the English summer groundfish surveys from 1977–1993. Two offshore spawning areas were identified in the central North Sea – central-northern and central-southern. A general linear model (GLM) showed plaice sexual maturation was influenced by body weight, age and geographical location and was subject to annual and seasonal variation. Few three year old female place appeared to spawn in the central North Sea, similar to the situation early in the 20th century. The condition factor of plaice peaked at the start of spawning and declined sharply during spawning, with older females investing the most heavily in reproduction, both in absolute and relative terms. The loss of older females through fishing is, therefore, likely to compromise the overall reproductive fitness of the remaining population, comprising of young females. The reproductive fitness of the males was also compromised, since young males tended to be in running condition for about a month less than older males. Reproductive investment in females was about twice the level found in males. There was evidence that plaice in the northern North Sea matured at a slower rate than fish in the south. From the mid-1980s until the mid-1990s there was an increase in the proportion of young plaice reaching sexual maturity, following an earlier decline from the late 1970s. Problems with using maturity ogives derived from market sampling data in order to assess the proportion of spawning plaice in the North Sea are discussed.","container-title":"Journal of Sea Research","DOI":"10.1016/S1385-1101(00)00043-5","ISSN":"1385-1101","issue":"1","journalAbbreviation":"Journal of Sea Research","language":"en","page":"27-43","source":"ScienceDirect","title":"Growth, sexual maturation and spawning in central North Sea plaice (Pleuronectes platessa L.), and the generation of maturity ogives from commercial catch data","volume":"44","author":[{"family":"Bromley","given":"P. J"}],"issued":{"date-parts":[["2000",10,1]]}}},{"id":2266,"uris":["http://zotero.org/users/6116610/items/6RBE2REJ"],"uri":["http://zotero.org/users/6116610/items/6RBE2REJ"],"itemData":{"id":2266,"type":"article-journal","abstract":"The extent of energy depletion was assessed in Atlantic cod (Gadus morhua) in spring and early summer (1993-1995) to assess relationships between poor condition and natural mortality. Several indic...","archive_location":"Ottawa, Canada","container-title":"Canadian Journal of Fisheries and Aquatic Sciences","DOI":"10.1139/f00-023","language":"en","note":"publisher: NRC Research Press Ottawa, Canada","source":"cdnsciencepub.com","title":"Natural mortality from poor condition in Atlantic cod (Gadus morhua)","URL":"https://cdnsciencepub.com/doi/abs/10.1139/f00-023","author":[{"family":"Dutil","given":"Jean-Denis"},{"family":"Lambert","given":"Yvan"}],"accessed":{"date-parts":[["2020",10,8]]},"issued":{"date-parts":[["2000"]]}}},{"id":2189,"uris":["http://zotero.org/users/6116610/items/RLZWUZ3T"],"uri":["http://zotero.org/users/6116610/items/RLZWUZ3T"],"itemData":{"id":2189,"type":"article-journal","abstract":"Abstract.  Temporal variation in the liver condition index (LCI) of five length classes of Northeast Arctic cod was described and compared to the abundance and","container-title":"ICES Journal of Marine Science","DOI":"10.1006/jmsc.1999.0493","ISSN":"1054-3139","issue":"1","journalAbbreviation":"ICES J Mar Sci","language":"en","note":"publisher: Oxford Academic","page":"42-55","source":"academic.oup.com","title":"Trophic influences on interannual and seasonal variation in the liver condition index of Northeast Arctic cod (Gadus morhua)","volume":"57","author":[{"family":"Yaragina","given":"N. A."},{"family":"Marshall","given":"C. T."}],"issued":{"date-parts":[["2000",2,1]]}}}],"schema":"https://github.com/citation-style-language/schema/raw/master/csl-citation.json"} </w:instrText>
      </w:r>
      <w:r w:rsidR="00E73745" w:rsidRPr="00F2588D">
        <w:rPr>
          <w:rFonts w:eastAsia="Times New Roman"/>
          <w:sz w:val="24"/>
          <w:szCs w:val="24"/>
        </w:rPr>
        <w:fldChar w:fldCharType="separate"/>
      </w:r>
      <w:r w:rsidR="00E73745" w:rsidRPr="00F2588D">
        <w:rPr>
          <w:rFonts w:eastAsia="Times New Roman"/>
          <w:noProof/>
          <w:sz w:val="24"/>
          <w:szCs w:val="24"/>
        </w:rPr>
        <w:t>(Bromley, 2000; Dutil and Lambert, 2000; Yaragina and Marshall, 2000)</w:t>
      </w:r>
      <w:r w:rsidR="00E73745" w:rsidRPr="00F2588D">
        <w:rPr>
          <w:rFonts w:eastAsia="Times New Roman"/>
          <w:sz w:val="24"/>
          <w:szCs w:val="24"/>
        </w:rPr>
        <w:fldChar w:fldCharType="end"/>
      </w:r>
      <w:r w:rsidRPr="00F2588D">
        <w:rPr>
          <w:rFonts w:eastAsia="Times New Roman"/>
          <w:sz w:val="24"/>
          <w:szCs w:val="24"/>
        </w:rPr>
        <w:t>. Interannual variation in condition is affected by both density dependent, such as variation in population density, affecting intra- and interspecific competition for a limiting food source</w:t>
      </w:r>
      <w:r w:rsidR="0077022B" w:rsidRPr="00F2588D">
        <w:rPr>
          <w:rFonts w:eastAsia="Times New Roman"/>
          <w:sz w:val="24"/>
          <w:szCs w:val="24"/>
        </w:rPr>
        <w:t xml:space="preserve"> </w:t>
      </w:r>
      <w:r w:rsidR="00C91EFC" w:rsidRPr="00F2588D">
        <w:rPr>
          <w:rFonts w:eastAsia="Times New Roman"/>
          <w:sz w:val="24"/>
          <w:szCs w:val="24"/>
        </w:rPr>
        <w:fldChar w:fldCharType="begin"/>
      </w:r>
      <w:r w:rsidR="00C91EFC" w:rsidRPr="00F2588D">
        <w:rPr>
          <w:rFonts w:eastAsia="Times New Roman"/>
          <w:sz w:val="24"/>
          <w:szCs w:val="24"/>
        </w:rPr>
        <w:instrText xml:space="preserve"> ADDIN ZOTERO_ITEM CSL_CITATION {"citationID":"IPc3O39B","properties":{"formattedCitation":"(Cardinale and Arrhenius, 2000; Casini {\\i{}et al.}, 2006; Gr\\uc0\\u252{}ss {\\i{}et al.}, 2020)","plainCitation":"(Cardinale and Arrhenius, 2000; Casini et al., 2006; Grüss et al., 2020)","noteIndex":0},"citationItems":[{"id":2250,"uris":["http://zotero.org/users/6116610/items/57CFIV7R"],"uri":["http://zotero.org/users/6116610/items/57CFIV7R"],"itemData":{"id":2250,"type":"article-journal","abstract":"Abstract.  Observations during the 1990s indicate that individual growth rate of Atlantic herring (Clupea harengus) decreased by 30% to 50% in the Baltic proper","container-title":"ICES Journal of Marine Science","DOI":"10.1006/jmsc.2000.0575","ISSN":"1054-3139","issue":"4","journalAbbreviation":"ICES J Mar Sci","language":"en","note":"publisher: Oxford Academic","page":"882-893","source":"academic.oup.com","title":"Decreasing weight-at-age of Atlantic herring (Clupea harengus) from the Baltic Sea between 1986 and 1996: a statistical analysis","title-short":"Decreasing weight-at-age of Atlantic herring (Clupea harengus) from the Baltic Sea between 1986 and 1996","volume":"57","author":[{"family":"Cardinale","given":"M."},{"family":"Arrhenius","given":"F."}],"issued":{"date-parts":[["2000",8,1]]}}},{"id":2247,"uris":["http://zotero.org/users/6116610/items/898MP79J"],"uri":["http://zotero.org/users/6116610/items/898MP79J"],"itemData":{"id":2247,"type":"article-journal","abstract":"The Baltic Sea ecosystem has undergone large changes during the last two decades, including a severe reduction in cod and herring biomass but, at the same time, a large increase in sprat abundance. The lower trophic levels of the Baltic Sea also changed due to environmental fluctuations, including variations in salinity and in volume of oxygenated water. In this apparently shifting environment, the conditions of herring and sprat have undergone large inter-annual variations during the past 15–20 years. In this study, we explore how abiotic factors (i.e. salinity and temperature) and biotic factors (biomass of the copepods Pseudocalanus elongatus, Temora longicornis, Acartia spp. and of cladocerans as well as clupeid abundance) in different seasons (May and August) affect clupeid body condition. Our analyses suggest that data of zooplankton biomass and abiotic factors in August have higher predictive power than May data. Although our analysis suggests that salinity (a bottom-up process) has an effect on sprat condition, total abundance of clupeids (a top-down process) is by far the most significant predictor of both herring and sprat condition. The strong correlation between clupeid abundance and total zooplankton biomass points to food competition and to top-down control by herring and sprat on common food resources. Furthermore, clupeid condition co-varied with the changes in the weight of zooplankton in the stomachs, which further suggest food competition being the main mechanism behind the changes in clupeid condition during the last two decades. Hence, our results are not in agreement with most of the current literature that has suggested that clupeid growth is regulated by environmentally mediated bottom-up processes acting on the abundance of copepods. This is, to our knowledge, the first evidence of food resources mediated density-dependent fish growth in a large marine ecosystem.","container-title":"Oikos","DOI":"10.1111/j.0030-1299.2006.13860.x","ISSN":"1600-0706","issue":"3","language":"en","note":"_eprint: https://onlinelibrary.wiley.com/doi/pdf/10.1111/j.0030-1299.2006.13860.x","page":"638-650","source":"Wiley Online Library","title":"Inter-annual variation in herring, Clupea harengus, and sprat, Sprattus sprattus, condition in the central Baltic Sea: what gives the tune?","title-short":"Inter-annual variation in herring, Clupea harengus, and sprat, Sprattus sprattus, condition in the central Baltic Sea","volume":"112","author":[{"family":"Casini","given":"Michele"},{"family":"Cardinale","given":"Massimiliano"},{"family":"Hjelm","given":"Joakim"}],"issued":{"date-parts":[["2006"]]}}},{"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C91EFC" w:rsidRPr="00F2588D">
        <w:rPr>
          <w:rFonts w:eastAsia="Times New Roman"/>
          <w:sz w:val="24"/>
          <w:szCs w:val="24"/>
        </w:rPr>
        <w:fldChar w:fldCharType="separate"/>
      </w:r>
      <w:r w:rsidR="00C91EFC" w:rsidRPr="00F2588D">
        <w:rPr>
          <w:sz w:val="24"/>
          <w:szCs w:val="24"/>
        </w:rPr>
        <w:t xml:space="preserve">(Cardinale and Arrhenius, 2000; Casini </w:t>
      </w:r>
      <w:r w:rsidR="00C91EFC" w:rsidRPr="00F2588D">
        <w:rPr>
          <w:i/>
          <w:iCs/>
          <w:sz w:val="24"/>
          <w:szCs w:val="24"/>
        </w:rPr>
        <w:t>et al.</w:t>
      </w:r>
      <w:r w:rsidR="00C91EFC" w:rsidRPr="00F2588D">
        <w:rPr>
          <w:sz w:val="24"/>
          <w:szCs w:val="24"/>
        </w:rPr>
        <w:t xml:space="preserve">, 2006; Grüss </w:t>
      </w:r>
      <w:r w:rsidR="00C91EFC" w:rsidRPr="00F2588D">
        <w:rPr>
          <w:i/>
          <w:iCs/>
          <w:sz w:val="24"/>
          <w:szCs w:val="24"/>
        </w:rPr>
        <w:t>et al.</w:t>
      </w:r>
      <w:r w:rsidR="00C91EFC" w:rsidRPr="00F2588D">
        <w:rPr>
          <w:sz w:val="24"/>
          <w:szCs w:val="24"/>
        </w:rPr>
        <w:t>, 2020)</w:t>
      </w:r>
      <w:r w:rsidR="00C91EFC" w:rsidRPr="00F2588D">
        <w:rPr>
          <w:rFonts w:eastAsia="Times New Roman"/>
          <w:sz w:val="24"/>
          <w:szCs w:val="24"/>
        </w:rPr>
        <w:fldChar w:fldCharType="end"/>
      </w:r>
      <w:r w:rsidRPr="00F2588D">
        <w:rPr>
          <w:rFonts w:eastAsia="Times New Roman"/>
          <w:sz w:val="24"/>
          <w:szCs w:val="24"/>
        </w:rPr>
        <w:t>, and density independent factors, such as environmental conditions (e.g. temperature and salinity) determining productivity and local habitat quality (food availability)</w:t>
      </w:r>
      <w:r w:rsidR="00694D36" w:rsidRPr="00F2588D">
        <w:rPr>
          <w:rFonts w:eastAsia="Times New Roman"/>
          <w:sz w:val="24"/>
          <w:szCs w:val="24"/>
        </w:rPr>
        <w:t xml:space="preserve"> </w:t>
      </w:r>
      <w:r w:rsidR="00436258" w:rsidRPr="00F2588D">
        <w:rPr>
          <w:rFonts w:eastAsia="Times New Roman"/>
          <w:sz w:val="24"/>
          <w:szCs w:val="24"/>
        </w:rPr>
        <w:fldChar w:fldCharType="begin"/>
      </w:r>
      <w:r w:rsidR="00436258" w:rsidRPr="00F2588D">
        <w:rPr>
          <w:rFonts w:eastAsia="Times New Roman"/>
          <w:sz w:val="24"/>
          <w:szCs w:val="24"/>
        </w:rPr>
        <w:instrText xml:space="preserve"> ADDIN ZOTERO_ITEM CSL_CITATION {"citationID":"AYVcXkMt","properties":{"formattedCitation":"(M\\uc0\\u246{}llmann {\\i{}et al.}, 2003; Morgan {\\i{}et al.}, 2010; Gr\\uc0\\u252{}ss {\\i{}et al.}, 2020)","plainCitation":"(Möllmann et al., 2003; Morgan et al., 2010; Grüss et al., 2020)","noteIndex":0},"citationItems":[{"id":2244,"uris":["http://zotero.org/users/6116610/items/TZU6H97V"],"uri":["http://zotero.org/users/6116610/items/TZU6H97V"],"itemData":{"id":2244,"type":"article-journal","abstract":"Pseudocalanus elongatus is a key species in the pelagic zone of the deep basins of the Central Baltic Sea. The copepod serves as a major food organism for larval as well as for adult, pelagic planktivorous fish. Large interannual fluctuations in the standing stock of P. elongatus have been attributed to significant changes in the hydrographic environment over the last two decades. In particular, the decreasing salinity in the Baltic deep basins, a result of a change in atmospheric forcing leading to an increase in rainfall since the 1980s and of a lack of pulses of saline water intrusions from the North Sea, was found to affect reproduction and maturation of the copepod. In parallel, dramatic changes in the weight-at-age of herring, one of the most important commercial fishes of the Baltic Sea, have been observed since the late 1980s. Using time-series on herring stomach contents, as well as length and weight, we provide evidence for a chain of events relating variability in climate, salinity and P. elongatus abundance to changes in diet and condition of herring in the Central Baltic Sea.","container-title":"Fisheries Oceanography","DOI":"10.1046/j.1365-2419.2003.00257.x","ISSN":"1365-2419","issue":"4-5","language":"en","note":"_eprint: https://onlinelibrary.wiley.com/doi/pdf/10.1046/j.1365-2419.2003.00257.x","page":"360-368","source":"Wiley Online Library","title":"The marine copepod, Pseudocalanus elongatus, as a mediator between climate variability and fisheries in the Central Baltic Sea","volume":"12","author":[{"family":"Möllmann","given":"C."},{"family":"Kornilovs","given":"G."},{"family":"Fetter","given":"M."},{"family":"Köster","given":"F. W."},{"family":"Hinrichsen","given":"H.-H."}],"issued":{"date-parts":[["2003"]]}}},{"id":2224,"uris":["http://zotero.org/users/6116610/items/PUXGC82U"],"uri":["http://zotero.org/users/6116610/items/PUXGC82U"],"itemData":{"id":2224,"type":"article-journal","abstract":"The effect of temperature on the allocation of energy to growth, condition and reproduction was examined in juvenile and adult Atlantic cod Gadus morhua inhabiting the southern Grand Bank off Newfoundland, Canada. The study period included both the warmest and coldest environmental conditions in the area over the past 60 yr. Temperature did not influence growth in length or weight, perhaps because growth at higher temperatures was limited by prey availability. Temperature significantly influenced both gutted body condition and liver condition (observed weight divided by predicted weight at length), but the effect was not consistent between the 2 measures of condition. Gutted body condition was highest at warm temperatures, whereas liver condition was highest at low temperatures. Measures of reproductive investment showed clear temperature effects. Fish matured earlier at both low and high temperatures than at intermediate temperatures. Fecundity of southern Grand Bank cod was highest at low temperatures, while the gonadosomatic index (GSI) was highest at warm temperatures. The lack of correlation with fecundity indicates that GSI may not be a good metric of reproductive investment but may be an indicator of how close fish are to spawning. The lower maturity and fecundity at intermediate temperatures could indicate a decrease in reproductive potential under these environmental conditions. Temperature throughout the entire year influenced fish condition, but only temperature during October to May affected reproductive investment. Most of the metrics were highly correlated between males and females, suggesting that both sexes make similar decisions about energy allocation over the observed temperature range.","container-title":"Marine Ecology Progress Series","DOI":"10.3354/meps08502","ISSN":"0171-8630, 1616-1599","language":"en","page":"185-195","source":"www.int-res.com","title":"Impact of environmental temperature on Atlantic cod Gadus morhua energy allocation to growth, condition and reproduction","volume":"404","author":[{"family":"Morgan","given":"M. J."},{"family":"Rideout","given":"R. M."},{"family":"Colbourne","given":"E. B."}],"issued":{"date-parts":[["2010",4,8]]}}},{"id":702,"uris":["http://zotero.org/users/6116610/items/C5WI4JA6"],"uri":["http://zotero.org/users/6116610/items/C5WI4JA6"],"itemData":{"id":702,"type":"article-journal","abstract":"Estimating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w:instrText>
      </w:r>
      <w:r w:rsidR="00436258" w:rsidRPr="00F2588D">
        <w:rPr>
          <w:rFonts w:eastAsia="Times New Roman"/>
          <w:sz w:val="24"/>
          <w:szCs w:val="24"/>
          <w:lang w:val="sv-SE"/>
        </w:rPr>
        <w:instrText xml:space="preserve">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436258" w:rsidRPr="00F2588D">
        <w:rPr>
          <w:rFonts w:eastAsia="Times New Roman"/>
          <w:sz w:val="24"/>
          <w:szCs w:val="24"/>
        </w:rPr>
        <w:fldChar w:fldCharType="separate"/>
      </w:r>
      <w:r w:rsidR="00436258" w:rsidRPr="00F2588D">
        <w:rPr>
          <w:sz w:val="24"/>
          <w:szCs w:val="24"/>
          <w:lang w:val="sv-SE"/>
        </w:rPr>
        <w:t xml:space="preserve">(Möllmann </w:t>
      </w:r>
      <w:r w:rsidR="00436258" w:rsidRPr="00F2588D">
        <w:rPr>
          <w:i/>
          <w:iCs/>
          <w:sz w:val="24"/>
          <w:szCs w:val="24"/>
          <w:lang w:val="sv-SE"/>
        </w:rPr>
        <w:t>et al.</w:t>
      </w:r>
      <w:r w:rsidR="00436258" w:rsidRPr="00F2588D">
        <w:rPr>
          <w:sz w:val="24"/>
          <w:szCs w:val="24"/>
          <w:lang w:val="sv-SE"/>
        </w:rPr>
        <w:t xml:space="preserve">, 2003; Morgan </w:t>
      </w:r>
      <w:r w:rsidR="00436258" w:rsidRPr="00F2588D">
        <w:rPr>
          <w:i/>
          <w:iCs/>
          <w:sz w:val="24"/>
          <w:szCs w:val="24"/>
          <w:lang w:val="sv-SE"/>
        </w:rPr>
        <w:t>et al.</w:t>
      </w:r>
      <w:r w:rsidR="00436258" w:rsidRPr="00F2588D">
        <w:rPr>
          <w:sz w:val="24"/>
          <w:szCs w:val="24"/>
          <w:lang w:val="sv-SE"/>
        </w:rPr>
        <w:t xml:space="preserve">, 2010; Grüss </w:t>
      </w:r>
      <w:r w:rsidR="00436258" w:rsidRPr="00F2588D">
        <w:rPr>
          <w:i/>
          <w:iCs/>
          <w:sz w:val="24"/>
          <w:szCs w:val="24"/>
          <w:lang w:val="sv-SE"/>
        </w:rPr>
        <w:t>et al.</w:t>
      </w:r>
      <w:r w:rsidR="00436258" w:rsidRPr="00F2588D">
        <w:rPr>
          <w:sz w:val="24"/>
          <w:szCs w:val="24"/>
          <w:lang w:val="sv-SE"/>
        </w:rPr>
        <w:t>, 2020)</w:t>
      </w:r>
      <w:r w:rsidR="00436258" w:rsidRPr="00F2588D">
        <w:rPr>
          <w:rFonts w:eastAsia="Times New Roman"/>
          <w:sz w:val="24"/>
          <w:szCs w:val="24"/>
        </w:rPr>
        <w:fldChar w:fldCharType="end"/>
      </w:r>
      <w:r w:rsidRPr="00F2588D">
        <w:rPr>
          <w:rFonts w:eastAsia="Times New Roman"/>
          <w:sz w:val="24"/>
          <w:szCs w:val="24"/>
        </w:rPr>
        <w:t>. In both cases, variation in condition is attributed to changes in food availability. Moreover, plankton, benthic organisms and small pelagic fish, are patchily distributed</w:t>
      </w:r>
      <w:r w:rsidR="009B6B1B" w:rsidRPr="00F2588D">
        <w:rPr>
          <w:rFonts w:eastAsia="Times New Roman"/>
          <w:sz w:val="24"/>
          <w:szCs w:val="24"/>
        </w:rPr>
        <w:t xml:space="preserve"> </w:t>
      </w:r>
      <w:r w:rsidR="007E4A82" w:rsidRPr="00F2588D">
        <w:rPr>
          <w:rFonts w:eastAsia="Times New Roman"/>
          <w:sz w:val="24"/>
          <w:szCs w:val="24"/>
        </w:rPr>
        <w:fldChar w:fldCharType="begin"/>
      </w:r>
      <w:r w:rsidR="007E4A82" w:rsidRPr="00F2588D">
        <w:rPr>
          <w:rFonts w:eastAsia="Times New Roman"/>
          <w:sz w:val="24"/>
          <w:szCs w:val="24"/>
        </w:rPr>
        <w:instrText xml:space="preserve"> ADDIN ZOTERO_ITEM CSL_CITATION {"citationID":"BGTDO3C6","properties":{"formattedCitation":"(Omori and Hamner, 1982; Bergstr\\uc0\\u246{}m {\\i{}et al.}, 2002; Boyd {\\i{}et al.}, 2015; Greer {\\i{}et al.}, 2015)","plainCitation":"(Omori and Hamner, 1982; Bergström et al., 2002; Boyd et al., 2015; Greer et al., 2015)","noteIndex":0},"citationItems":[{"id":2292,"uris":["http://zotero.org/users/6116610/items/4IBHIFWP"],"uri":["http://zotero.org/users/6116610/items/4IBHIFWP"],"itemData":{"id":2292,"type":"article-journal","abstract":"Zooplankton and micronekton are often highly aggregated. Density in aggregations can reach 100 to more than 1000 times the average density of the population as estimated by net sampling. In order to assess true abundance of the animals and understand the significance of the aggregations, more information is needed on the behavior and population ecology of individual species and the species-specific attributes of discrete assemblages. We present information on patterns of intense aggregations of protozoans, platyhelminthes, scyphomedusae, copepods, mysids, and sergestids from our own observations. Characteristics behaviors of different species include feeding swarms of Noctiluca miliaris, behaviorally maintained swarms of planktonic flatworms, diel horizontal migration of Mastigias sp. swarms, three patterns of copepod swarms, bathymetric zonation of mysid schools, and seasonal migration and near bottom swarming of Sergia lucens. After the principles were demonstrated, we consider how to relate sampling, behavior, and population dynamics. We stress that the methodology is the result of the question, not the other way round. To tackle the problems associated with “behavior” in the open ocean, which we did not observe from the surface, it is necessary to sample in more than one way to extract data on differences in population-specific biology that alternative methods supply.","container-title":"Marine Biology","DOI":"10.1007/BF00396920","ISSN":"1432-1793","issue":"2","journalAbbreviation":"Marine Biology","language":"en","page":"193-200","source":"Springer Link","title":"Patchy distribution of zooplankton: Behavior, population assessment and sampling problems","title-short":"Patchy distribution of zooplankton","volume":"72","author":[{"family":"Omori","given":"M."},{"family":"Hamner","given":"W. M."}],"issued":{"date-parts":[["1982",12,1]]}}},{"id":2284,"uris":["http://zotero.org/users/6116610/items/BJMX5XDN"],"uri":["http://zotero.org/users/6116610/items/BJMX5XDN"],"itemData":{"id":2284,"type":"article-journal","abstract":"In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id":493,"uris":["http://zotero.org/users/6116610/items/52HBVDJI"],"uri":["http://zotero.org/users/6116610/items/52HBVDJI"],"itemData":{"id":493,"type":"article-journal","container-title":"Canadian Journal of Fisheries and Aquatic Sciences","DOI":"10.1139/cjfas-2014-0234","issue":"2","page":"290–303","title":"Bayesian posterior prediction of the patchy spatial distributions of small pelagic fish in regions of suitable habitat","volume":"72","author":[{"family":"Boyd","given":"Charlotte"},{"family":"Woillez","given":"Mathieu"},{"family":"Bertrand","given":"Sophie"},{"family":"Castillo","given":"Ramiro"},{"family":"Bertrand","given":"Arnaud"},{"family":"Punt","given":"André E"},{"family":"Trenkel","given":"Verena"}],"issued":{"date-parts":[["2015"]]}}},{"id":2287,"uris":["http://zotero.org/users/6116610/items/69HG5IGI"],"uri":["http://zotero.org/users/6116610/items/69HG5IGI"],"itemData":{"id":2287,"type":"article-journal","abstract":"Ocean fronts represent productive regions of the ocean, but predator–prey interactions within these features are poorly understood partially due to the coarse-scale and biases of net-based sampling methods. We used the In Situ Ichthyoplankton Imaging System (ISIIS) to sample across a front near the Georges Bank shelf edge on two separate sampling days in August 2010. Salinity characterized the transition from shelf to slope water, with isopycnals sloping vertically, seaward, and shoaling at the thermocline. A frontal feature defined by the convergence of isopycnals and a surface temperature gradient was sampled inshore </w:instrText>
      </w:r>
      <w:r w:rsidR="007E4A82" w:rsidRPr="00702F1A">
        <w:rPr>
          <w:rFonts w:eastAsia="Times New Roman"/>
          <w:sz w:val="24"/>
          <w:szCs w:val="24"/>
          <w:lang w:val="en-US"/>
        </w:rPr>
        <w:instrText>of the shallowest zone of the shelf-slope front. Zooplankton and larval fishes w</w:instrText>
      </w:r>
      <w:r w:rsidR="007E4A82" w:rsidRPr="00F2588D">
        <w:rPr>
          <w:rFonts w:eastAsia="Times New Roman"/>
          <w:sz w:val="24"/>
          <w:szCs w:val="24"/>
          <w:lang w:val="en-US"/>
        </w:rPr>
        <w:instrText xml:space="preserve">ere abundant on the shelf side of the front and displayed taxon-dependent depth distributions but were rare in the slope waters. Supervised automated particle counting showed small particles with high solidity, verified to be zooplankton (copepods and appendicularians), aggregating near surface above the front. Salps were most abundant in zones of intermediate chlorophyll-a fluorescence, distinctly separate from high abundances of other grazers and found almost exclusively in colonial form (97.5%). Distributions of gelatinous zooplankton differed among taxa but tended to follow isopycnals. Fine-scale sampling revealed distinct habitat partitioning of various planktonic taxa, resulting from a balance of physical and biological drivers in relation to the front.","container-title":"Journal of Marine Systems","DOI":"10.1016/j.jmarsys.2014.10.008","ISSN":"0924-7963","journalAbbreviation":"Journal of Marine Systems","language":"en","page":"111-125","source":"ScienceDirect","title":"Fine-scale planktonic habitat partitioning at a shelf-slope front revealed by a high-resolution imaging system","volume":"142","author":[{"family":"Greer","given":"Adam T."},{"family":"Cowen","given":"Robert K."},{"family":"Guigand","given":"Cedric M."},{"family":"Hare","given":"Jonathan A."}],"issued":{"date-parts":[["2015",2,1]]}}}],"schema":"https://github.com/citation-style-language/schema/raw/master/csl-citation.json"} </w:instrText>
      </w:r>
      <w:r w:rsidR="007E4A82" w:rsidRPr="00F2588D">
        <w:rPr>
          <w:rFonts w:eastAsia="Times New Roman"/>
          <w:sz w:val="24"/>
          <w:szCs w:val="24"/>
        </w:rPr>
        <w:fldChar w:fldCharType="separate"/>
      </w:r>
      <w:r w:rsidR="007E4A82" w:rsidRPr="00F2588D">
        <w:rPr>
          <w:sz w:val="24"/>
          <w:szCs w:val="24"/>
          <w:lang w:val="en-US"/>
        </w:rPr>
        <w:t xml:space="preserve">(Omori and Hamner, 1982; Bergström </w:t>
      </w:r>
      <w:r w:rsidR="007E4A82" w:rsidRPr="00F2588D">
        <w:rPr>
          <w:i/>
          <w:iCs/>
          <w:sz w:val="24"/>
          <w:szCs w:val="24"/>
          <w:lang w:val="en-US"/>
        </w:rPr>
        <w:t>et al.</w:t>
      </w:r>
      <w:r w:rsidR="007E4A82" w:rsidRPr="00F2588D">
        <w:rPr>
          <w:sz w:val="24"/>
          <w:szCs w:val="24"/>
          <w:lang w:val="en-US"/>
        </w:rPr>
        <w:t xml:space="preserve">, 2002; Boyd </w:t>
      </w:r>
      <w:r w:rsidR="007E4A82" w:rsidRPr="00F2588D">
        <w:rPr>
          <w:i/>
          <w:iCs/>
          <w:sz w:val="24"/>
          <w:szCs w:val="24"/>
          <w:lang w:val="en-US"/>
        </w:rPr>
        <w:t>et al.</w:t>
      </w:r>
      <w:r w:rsidR="007E4A82" w:rsidRPr="00F2588D">
        <w:rPr>
          <w:sz w:val="24"/>
          <w:szCs w:val="24"/>
          <w:lang w:val="en-US"/>
        </w:rPr>
        <w:t xml:space="preserve">, 2015; Greer </w:t>
      </w:r>
      <w:r w:rsidR="007E4A82" w:rsidRPr="00F2588D">
        <w:rPr>
          <w:i/>
          <w:iCs/>
          <w:sz w:val="24"/>
          <w:szCs w:val="24"/>
          <w:lang w:val="en-US"/>
        </w:rPr>
        <w:t>et al.</w:t>
      </w:r>
      <w:r w:rsidR="007E4A82" w:rsidRPr="00F2588D">
        <w:rPr>
          <w:sz w:val="24"/>
          <w:szCs w:val="24"/>
          <w:lang w:val="en-US"/>
        </w:rPr>
        <w:t>, 2015)</w:t>
      </w:r>
      <w:r w:rsidR="007E4A82" w:rsidRPr="00F2588D">
        <w:rPr>
          <w:rFonts w:eastAsia="Times New Roman"/>
          <w:sz w:val="24"/>
          <w:szCs w:val="24"/>
        </w:rPr>
        <w:fldChar w:fldCharType="end"/>
      </w:r>
      <w:r w:rsidRPr="00F2588D">
        <w:rPr>
          <w:rFonts w:eastAsia="Times New Roman"/>
          <w:sz w:val="24"/>
          <w:szCs w:val="24"/>
        </w:rPr>
        <w:t>, and local densities can be governed by species interactions</w:t>
      </w:r>
      <w:r w:rsidR="00FB4998" w:rsidRPr="00F2588D">
        <w:rPr>
          <w:rFonts w:eastAsia="Times New Roman"/>
          <w:sz w:val="24"/>
          <w:szCs w:val="24"/>
        </w:rPr>
        <w:t xml:space="preserve"> </w:t>
      </w:r>
      <w:r w:rsidR="00454CF1" w:rsidRPr="00F2588D">
        <w:rPr>
          <w:rFonts w:eastAsia="Times New Roman"/>
          <w:sz w:val="24"/>
          <w:szCs w:val="24"/>
        </w:rPr>
        <w:fldChar w:fldCharType="begin"/>
      </w:r>
      <w:r w:rsidR="00454CF1" w:rsidRPr="00F2588D">
        <w:rPr>
          <w:rFonts w:eastAsia="Times New Roman"/>
          <w:sz w:val="24"/>
          <w:szCs w:val="24"/>
        </w:rPr>
        <w:instrText xml:space="preserve"> ADDIN ZOTERO_ITEM CSL_CITATION {"citationID":"d8w8IcYQ","properties":{"formattedCitation":"(Bergstr\\uc0\\u246{}m {\\i{}et al.}, 2002)","plainCitation":"(Bergström et al., 2002)","noteIndex":0},"citationItems":[{"id":2284,"uris":["http://zotero.org/users/6116610/items/BJMX5XDN"],"uri":["http://zotero.org/users/6116610/items/BJMX5XDN"],"itemData":{"id":2284,"type":"article-journal","abstract":"In this study, we describe small-scale (6 cm–5 m) spatial patterns of four dominating infaunal taxa in the northern Baltic Sea, with the objective to construct hypotheses about pattern-generating processes. Two neighbouring sites, differing in their physical environment, were extensively sampled, and the distributions of adults and juveniles were analysed with spatial autocorrelograms. Relationships between taxa and size classes were studied with correlations at different scales. As similar spatial patterns and correlations appeared at both sites, this suggests that biotic interactions rather than physical factors were responsible for the patterns. We found that several taxa exhibited patchy distributions at the studied scales. In the case of juvenile Monoporeia affinis (Amphipoda) and juvenile Corophium volutator (Amphipoda), we propose that positive intragroup interactions were responsible for the patterns. The correlation analyses suggested that areas with high densities of adult Macoma balthica (Bivalvia) were avoided by juvenile conspecifics and adults of M. affinis and C. volutator, probably because adult M. balthica reduced the amount of detritus in the surficial sediment.","container-title":"Journal of Experimental Marine Biology and Ecology","DOI":"10.1016/S0022-0981(02)00440-9","ISSN":"0022-0981","issue":"1","journalAbbreviation":"Journal of Experimental Marine Biology and Ecology","language":"en","page":"123-136","source":"ScienceDirect","title":"Small-scale spatial structure of Baltic Sea zoobenthos—inferring processes from patterns","volume":"281","author":[{"family":"Bergström","given":"Ulf"},{"family":"Englund","given":"Göran"},{"family":"Bonsdorff","given":"Erik"}],"issued":{"date-parts":[["2002",12,12]]}}}],"schema":"https://github.com/citation-style-language/schema/raw/master/csl-citation.json"} </w:instrText>
      </w:r>
      <w:r w:rsidR="00454CF1" w:rsidRPr="00F2588D">
        <w:rPr>
          <w:rFonts w:eastAsia="Times New Roman"/>
          <w:sz w:val="24"/>
          <w:szCs w:val="24"/>
        </w:rPr>
        <w:fldChar w:fldCharType="separate"/>
      </w:r>
      <w:r w:rsidR="00454CF1" w:rsidRPr="00F2588D">
        <w:rPr>
          <w:sz w:val="24"/>
          <w:szCs w:val="24"/>
        </w:rPr>
        <w:t xml:space="preserve">(Bergström </w:t>
      </w:r>
      <w:r w:rsidR="00454CF1" w:rsidRPr="00F2588D">
        <w:rPr>
          <w:i/>
          <w:iCs/>
          <w:sz w:val="24"/>
          <w:szCs w:val="24"/>
        </w:rPr>
        <w:t>et al.</w:t>
      </w:r>
      <w:r w:rsidR="00454CF1" w:rsidRPr="00F2588D">
        <w:rPr>
          <w:sz w:val="24"/>
          <w:szCs w:val="24"/>
        </w:rPr>
        <w:t>, 2002)</w:t>
      </w:r>
      <w:r w:rsidR="00454CF1" w:rsidRPr="00F2588D">
        <w:rPr>
          <w:rFonts w:eastAsia="Times New Roman"/>
          <w:sz w:val="24"/>
          <w:szCs w:val="24"/>
        </w:rPr>
        <w:fldChar w:fldCharType="end"/>
      </w:r>
      <w:r w:rsidRPr="00F2588D">
        <w:rPr>
          <w:rFonts w:eastAsia="Times New Roman"/>
          <w:sz w:val="24"/>
          <w:szCs w:val="24"/>
        </w:rPr>
        <w:t xml:space="preserve">. Hence, spatially correlated density dependent and independent factors can lead to spatially correlated variation in condition. However only relatively recently have </w:t>
      </w:r>
      <w:r w:rsidRPr="00F2588D">
        <w:rPr>
          <w:rFonts w:eastAsia="Times New Roman"/>
          <w:sz w:val="24"/>
          <w:szCs w:val="24"/>
        </w:rPr>
        <w:lastRenderedPageBreak/>
        <w:t>spatiotemporal models been applied to study variation in condition</w:t>
      </w:r>
      <w:r w:rsidR="00EF2B04" w:rsidRPr="00F2588D">
        <w:rPr>
          <w:rFonts w:eastAsia="Times New Roman"/>
          <w:sz w:val="24"/>
          <w:szCs w:val="24"/>
        </w:rPr>
        <w:t xml:space="preserve"> </w:t>
      </w:r>
      <w:r w:rsidR="00FE2A29"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{"citationID":"vPFU33nS","properties":{"formattedCitation":"(Thorson,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FE2A29" w:rsidRPr="00F2588D">
        <w:rPr>
          <w:rFonts w:eastAsia="Times New Roman"/>
          <w:sz w:val="24"/>
          <w:szCs w:val="24"/>
        </w:rPr>
        <w:fldChar w:fldCharType="separate"/>
      </w:r>
      <w:r w:rsidR="00FE2A29" w:rsidRPr="00F2588D">
        <w:rPr>
          <w:sz w:val="24"/>
          <w:szCs w:val="24"/>
        </w:rPr>
        <w:t xml:space="preserve">(Thorson, 2015; Grüss </w:t>
      </w:r>
      <w:r w:rsidR="00FE2A29" w:rsidRPr="00F2588D">
        <w:rPr>
          <w:i/>
          <w:iCs/>
          <w:sz w:val="24"/>
          <w:szCs w:val="24"/>
        </w:rPr>
        <w:t>et al.</w:t>
      </w:r>
      <w:r w:rsidR="00FE2A29" w:rsidRPr="00F2588D">
        <w:rPr>
          <w:sz w:val="24"/>
          <w:szCs w:val="24"/>
        </w:rPr>
        <w:t>, 2020)</w:t>
      </w:r>
      <w:r w:rsidR="00FE2A29" w:rsidRPr="00F2588D">
        <w:rPr>
          <w:rFonts w:eastAsia="Times New Roman"/>
          <w:sz w:val="24"/>
          <w:szCs w:val="24"/>
        </w:rPr>
        <w:fldChar w:fldCharType="end"/>
      </w:r>
      <w:r w:rsidRPr="00F2588D">
        <w:rPr>
          <w:rFonts w:eastAsia="Times New Roman"/>
          <w:sz w:val="24"/>
          <w:szCs w:val="24"/>
        </w:rPr>
        <w:t xml:space="preserve">. </w:t>
      </w:r>
    </w:p>
    <w:p w14:paraId="4FD21B83" w14:textId="77777777" w:rsidR="00B61672"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t>By including spatial random effects through Gaussian random fields in a GLMM framework, spatially correlated residual variation can be accounted for, and the magnitude of spatial or spatiotemporal variation can be directly compared to other covariates</w:t>
      </w:r>
      <w:r w:rsidR="00DF7592" w:rsidRPr="00F2588D">
        <w:rPr>
          <w:rFonts w:eastAsia="Times New Roman"/>
          <w:sz w:val="24"/>
          <w:szCs w:val="24"/>
        </w:rPr>
        <w:t xml:space="preserve"> </w:t>
      </w:r>
      <w:r w:rsidR="00DF7592"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{"citationID":"LoGmYbGL","properties":{"formattedCitation":"(Thorson,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DF7592" w:rsidRPr="00F2588D">
        <w:rPr>
          <w:rFonts w:eastAsia="Times New Roman"/>
          <w:sz w:val="24"/>
          <w:szCs w:val="24"/>
        </w:rPr>
        <w:fldChar w:fldCharType="separate"/>
      </w:r>
      <w:r w:rsidR="00DF7592" w:rsidRPr="00F2588D">
        <w:rPr>
          <w:sz w:val="24"/>
          <w:szCs w:val="24"/>
        </w:rPr>
        <w:t xml:space="preserve">(Thorson, 2015; Grüss </w:t>
      </w:r>
      <w:r w:rsidR="00DF7592" w:rsidRPr="00F2588D">
        <w:rPr>
          <w:i/>
          <w:iCs/>
          <w:sz w:val="24"/>
          <w:szCs w:val="24"/>
        </w:rPr>
        <w:t>et al.</w:t>
      </w:r>
      <w:r w:rsidR="00DF7592" w:rsidRPr="00F2588D">
        <w:rPr>
          <w:sz w:val="24"/>
          <w:szCs w:val="24"/>
        </w:rPr>
        <w:t>, 2020)</w:t>
      </w:r>
      <w:r w:rsidR="00DF7592" w:rsidRPr="00F2588D">
        <w:rPr>
          <w:rFonts w:eastAsia="Times New Roman"/>
          <w:sz w:val="24"/>
          <w:szCs w:val="24"/>
        </w:rPr>
        <w:fldChar w:fldCharType="end"/>
      </w:r>
      <w:r w:rsidRPr="00F2588D">
        <w:rPr>
          <w:rFonts w:eastAsia="Times New Roman"/>
          <w:sz w:val="24"/>
          <w:szCs w:val="24"/>
        </w:rPr>
        <w:t xml:space="preserve">. In the first such application, </w:t>
      </w:r>
      <w:r w:rsidR="00EE1923" w:rsidRPr="00F2588D">
        <w:rPr>
          <w:rFonts w:eastAsia="Times New Roman"/>
          <w:sz w:val="24"/>
          <w:szCs w:val="24"/>
        </w:rPr>
        <w:fldChar w:fldCharType="begin"/>
      </w:r>
      <w:r w:rsidR="00EE1923" w:rsidRPr="00F2588D">
        <w:rPr>
          <w:rFonts w:eastAsia="Times New Roman"/>
          <w:sz w:val="24"/>
          <w:szCs w:val="24"/>
        </w:rPr>
        <w:instrText xml:space="preserve"> ADDIN ZOTERO_ITEM CSL_CITATION {"citationID":"N5sRr2EC","properties":{"formattedCitation":"(Thorson, 2015)","plainCitation":"(Thorson, 2015)","noteIndex":0},"citationItems":[{"id":709,"uris":["http://zotero.org/users/6116610/items/JE7KRANF"],"uri":["http://zotero.org/users/6116610/items/JE7KRANF"],"itemData":{"id":709,"type":"article-journal","abstract":"Condition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T."}],"issued":{"date-parts":[["2015",4,22]]}}}],"schema":"https://github.com/citation-style-language/schema/raw/master/csl-citation.json"} </w:instrText>
      </w:r>
      <w:r w:rsidR="00EE1923" w:rsidRPr="00F2588D">
        <w:rPr>
          <w:rFonts w:eastAsia="Times New Roman"/>
          <w:sz w:val="24"/>
          <w:szCs w:val="24"/>
        </w:rPr>
        <w:fldChar w:fldCharType="separate"/>
      </w:r>
      <w:r w:rsidR="00EE1923" w:rsidRPr="00F2588D">
        <w:rPr>
          <w:rFonts w:eastAsia="Times New Roman"/>
          <w:noProof/>
          <w:sz w:val="24"/>
          <w:szCs w:val="24"/>
        </w:rPr>
        <w:t>(Thorson, 2015)</w:t>
      </w:r>
      <w:r w:rsidR="00EE1923" w:rsidRPr="00F2588D">
        <w:rPr>
          <w:rFonts w:eastAsia="Times New Roman"/>
          <w:sz w:val="24"/>
          <w:szCs w:val="24"/>
        </w:rPr>
        <w:fldChar w:fldCharType="end"/>
      </w:r>
      <w:r w:rsidR="00EE1923" w:rsidRPr="00F2588D">
        <w:rPr>
          <w:rFonts w:eastAsia="Times New Roman"/>
          <w:sz w:val="24"/>
          <w:szCs w:val="24"/>
        </w:rPr>
        <w:t xml:space="preserve"> </w:t>
      </w:r>
      <w:r w:rsidRPr="00F2588D">
        <w:rPr>
          <w:rFonts w:eastAsia="Times New Roman"/>
          <w:sz w:val="24"/>
          <w:szCs w:val="24"/>
        </w:rPr>
        <w:t>found that spatial processes (spatial variation in condition that is constant in time) and spatiotemporal processes (spatial variation that varies among years, respectively) explained more variation than density and temperature covariates in the California current ecosystem. Moreover, these covariates did not have consistent effects across species. Using a similar modelling approach, but where condition and density were simultaneously estimated in a multivariate framework,</w:t>
      </w:r>
      <w:r w:rsidR="0090605B" w:rsidRPr="00F2588D">
        <w:rPr>
          <w:rFonts w:eastAsia="Times New Roman"/>
          <w:sz w:val="24"/>
          <w:szCs w:val="24"/>
        </w:rPr>
        <w:t xml:space="preserve"> </w:t>
      </w:r>
      <w:r w:rsidR="00640AC9" w:rsidRPr="00F2588D">
        <w:rPr>
          <w:rFonts w:eastAsia="Times New Roman"/>
          <w:sz w:val="24"/>
          <w:szCs w:val="24"/>
        </w:rPr>
        <w:fldChar w:fldCharType="begin"/>
      </w:r>
      <w:r w:rsidR="00640AC9" w:rsidRPr="00F2588D">
        <w:rPr>
          <w:rFonts w:eastAsia="Times New Roman"/>
          <w:sz w:val="24"/>
          <w:szCs w:val="24"/>
        </w:rPr>
        <w:instrText xml:space="preserve"> ADDIN ZOTERO_ITEM CSL_CITATION {"citationID":"gXUDp721","properties":{"formattedCitation":"(Gr\\uc0\\u252{}ss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640AC9" w:rsidRPr="00F2588D">
        <w:rPr>
          <w:rFonts w:eastAsia="Times New Roman"/>
          <w:sz w:val="24"/>
          <w:szCs w:val="24"/>
        </w:rPr>
        <w:fldChar w:fldCharType="separate"/>
      </w:r>
      <w:r w:rsidR="00640AC9" w:rsidRPr="00F2588D">
        <w:rPr>
          <w:sz w:val="24"/>
          <w:szCs w:val="24"/>
        </w:rPr>
        <w:t xml:space="preserve">(Grüss </w:t>
      </w:r>
      <w:r w:rsidR="00640AC9" w:rsidRPr="00F2588D">
        <w:rPr>
          <w:i/>
          <w:iCs/>
          <w:sz w:val="24"/>
          <w:szCs w:val="24"/>
        </w:rPr>
        <w:t>et al.</w:t>
      </w:r>
      <w:r w:rsidR="00640AC9" w:rsidRPr="00F2588D">
        <w:rPr>
          <w:sz w:val="24"/>
          <w:szCs w:val="24"/>
        </w:rPr>
        <w:t>, 2020)</w:t>
      </w:r>
      <w:r w:rsidR="00640AC9" w:rsidRPr="00F2588D">
        <w:rPr>
          <w:rFonts w:eastAsia="Times New Roman"/>
          <w:sz w:val="24"/>
          <w:szCs w:val="24"/>
        </w:rPr>
        <w:fldChar w:fldCharType="end"/>
      </w:r>
      <w:r w:rsidRPr="00F2588D">
        <w:rPr>
          <w:rFonts w:eastAsia="Times New Roman"/>
          <w:sz w:val="24"/>
          <w:szCs w:val="24"/>
        </w:rPr>
        <w:t xml:space="preserve"> showed that spatial variation in temperature had positive associations with condition in general in the Eastern Bering Sea and density negative. These studies reveal the importance of accounting for spatial and spatiotemporal variation in condition, and clarify the sources of variation in body condition.</w:t>
      </w:r>
    </w:p>
    <w:p w14:paraId="0680788F" w14:textId="77777777" w:rsidR="0033437F"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t>The growth and body condition of  Eastern Baltic cod (</w:t>
      </w:r>
      <w:r w:rsidRPr="00F2588D">
        <w:rPr>
          <w:rFonts w:eastAsia="Times New Roman"/>
          <w:i/>
          <w:sz w:val="24"/>
          <w:szCs w:val="24"/>
        </w:rPr>
        <w:t>Gadus morhua</w:t>
      </w:r>
      <w:r w:rsidRPr="00F2588D">
        <w:rPr>
          <w:rFonts w:eastAsia="Times New Roman"/>
          <w:sz w:val="24"/>
          <w:szCs w:val="24"/>
        </w:rPr>
        <w:t>) has declined steadily since the early 1990’s, which corresponds to a period after the collapse of the cod stock and a regime shift</w:t>
      </w:r>
      <w:r w:rsidR="0065164A" w:rsidRPr="00F2588D">
        <w:rPr>
          <w:rFonts w:eastAsia="Times New Roman"/>
          <w:sz w:val="24"/>
          <w:szCs w:val="24"/>
        </w:rPr>
        <w:t xml:space="preserve"> </w:t>
      </w:r>
      <w:r w:rsidR="00466EBB" w:rsidRPr="00F2588D">
        <w:rPr>
          <w:rFonts w:eastAsia="Times New Roman"/>
          <w:sz w:val="24"/>
          <w:szCs w:val="24"/>
        </w:rPr>
        <w:fldChar w:fldCharType="begin"/>
      </w:r>
      <w:r w:rsidR="00466EBB" w:rsidRPr="00F2588D">
        <w:rPr>
          <w:rFonts w:eastAsia="Times New Roman"/>
          <w:sz w:val="24"/>
          <w:szCs w:val="24"/>
        </w:rPr>
        <w:instrText xml:space="preserve"> ADDIN ZOTERO_ITEM CSL_CITATION {"citationID":"3mg0lB65","properties":{"formattedCitation":"(Casini {\\i{}et al.}, 2009; M\\uc0\\u246{}llmann {\\i{}et al.}, 2009; G\\uc0\\u229{}rdmark {\\i{}et al.}, 2015)","plainCitation":"(Casini et al., 2009; Möllmann et al., 2009; Gårdmark et al., 2015)","noteIndex":0},"citationItems":[{"id":261,"uris":["http://zotero.org/users/6116610/items/FYIQFDXV"],"uri":["http://zotero.org/users/6116610/items/FYIQFDXV"],"itemData":{"id":261,"type":"article-journal","container-title":"Proceedings of the National Academy of Sciences, USA","issue":"1","page":"197–202","title":"Trophic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id":910,"uris":["http://zotero.org/users/6116610/items/DVZJXZ48"],"uri":["http://zotero.org/users/6116610/items/DVZJXZ48"],"itemData":{"id":910,"type":"article-journal","abstract":"Marine ecosystems such as the Baltic Sea are currently under strong atmospheric and anthropogenic pressure. Besides natural and human-induced changes in climate, major anthropogenic drivers such as overfishing and anthropogenic eutrophication are significantly affecting ecosystem structure and function. Recently, studies demonstrated the existence of alternative stable states in various terrestrial and aquatic ecosystems. These so-called ecosystem regime shifts have been explained mainly as a result of multiple causes, e.g. climatic regime shifts, overexploitation or a combination of both. The occurrence of ecosystem regime shifts has important management implications, as they can cause significant losses of ecological and economic resources. Because of hysteresis in ecosystem responses, restoring regimes considered as favourable may require drastic and expensive management actions. Also the Baltic Sea, the largest brackish water body in the world ocean, and its ecosystems are strongly affected by atmospheric and anthropogenic drivers. Here, we present results of an analysis of the state and development of the Central Baltic Sea ecosystem integrating hydroclimatic, nutrient, phyto- and zooplankton as well as fisheries data. Our analyses of 52 biotic and abiotic variables using multivariate statistics demonstrated a major reorganization of the ecosystem and identified two stable states between 1974 and 2005, separated by a transition period in 1988–1993. We show the change in Baltic ecosystem structure to have the characteristics of a discontinuous regime shift, initiated by climate-induced changes in the abiotic environment and stabilized by fisheries-induced feedback loops in the food web. Our results indicate the importance of maintaining the resilience of an ecosystem to atmospherically induced environmental change by reducing the anthropogenic impact.","container-title":"Global Change Biology","DOI":"10.1111/j.1365-2486.2008.01814.x","ISSN":"1365-2486","issue":"6","language":"en","page":"1377-1393","source":"Wiley Online Library","title":"Reorganization of a large marine ecosystem due to atmospheric and anthropogenic pressure: a discontinuous regime shift in the Central Baltic Sea","title-short":"Reorganization of a large marine ecos</w:instrText>
      </w:r>
      <w:r w:rsidR="00466EBB" w:rsidRPr="00F2588D">
        <w:rPr>
          <w:rFonts w:eastAsia="Times New Roman"/>
          <w:sz w:val="24"/>
          <w:szCs w:val="24"/>
          <w:lang w:val="sv-SE"/>
        </w:rPr>
        <w:instrText xml:space="preserve">ystem due to atmospheric and anthropogenic pressure","volume":"15","author":[{"family":"Möllmann","given":"Christian"},{"family":"Diekmann","given":"Rabea"},{"family":"Müller‐Karulis","given":"Bärbel"},{"family":"Kornilovs","given":"Georgs"},{"family":"Plikshs","given":"Maris"},{"family":"Axe","given":"Philip"}],"issued":{"date-parts":[["2009"]]}}},{"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M.","non-dropping-particle":"de"}],"issued":{"date-parts":[["2015",1,5]]}}}],"schema":"https://github.com/citation-style-language/schema/raw/master/csl-citation.json"} </w:instrText>
      </w:r>
      <w:r w:rsidR="00466EBB" w:rsidRPr="00F2588D">
        <w:rPr>
          <w:rFonts w:eastAsia="Times New Roman"/>
          <w:sz w:val="24"/>
          <w:szCs w:val="24"/>
        </w:rPr>
        <w:fldChar w:fldCharType="separate"/>
      </w:r>
      <w:r w:rsidR="00466EBB" w:rsidRPr="00F2588D">
        <w:rPr>
          <w:sz w:val="24"/>
          <w:szCs w:val="24"/>
          <w:lang w:val="sv-SE"/>
        </w:rPr>
        <w:t xml:space="preserve">(Casini </w:t>
      </w:r>
      <w:r w:rsidR="00466EBB" w:rsidRPr="00F2588D">
        <w:rPr>
          <w:i/>
          <w:iCs/>
          <w:sz w:val="24"/>
          <w:szCs w:val="24"/>
          <w:lang w:val="sv-SE"/>
        </w:rPr>
        <w:t>et al.</w:t>
      </w:r>
      <w:r w:rsidR="00466EBB" w:rsidRPr="00F2588D">
        <w:rPr>
          <w:sz w:val="24"/>
          <w:szCs w:val="24"/>
          <w:lang w:val="sv-SE"/>
        </w:rPr>
        <w:t xml:space="preserve">, 2009; Möllmann </w:t>
      </w:r>
      <w:r w:rsidR="00466EBB" w:rsidRPr="00F2588D">
        <w:rPr>
          <w:i/>
          <w:iCs/>
          <w:sz w:val="24"/>
          <w:szCs w:val="24"/>
          <w:lang w:val="sv-SE"/>
        </w:rPr>
        <w:t>et al.</w:t>
      </w:r>
      <w:r w:rsidR="00466EBB" w:rsidRPr="00F2588D">
        <w:rPr>
          <w:sz w:val="24"/>
          <w:szCs w:val="24"/>
          <w:lang w:val="sv-SE"/>
        </w:rPr>
        <w:t xml:space="preserve">, 2009; Gårdmark </w:t>
      </w:r>
      <w:r w:rsidR="00466EBB" w:rsidRPr="00F2588D">
        <w:rPr>
          <w:i/>
          <w:iCs/>
          <w:sz w:val="24"/>
          <w:szCs w:val="24"/>
          <w:lang w:val="sv-SE"/>
        </w:rPr>
        <w:t>et al.</w:t>
      </w:r>
      <w:r w:rsidR="00466EBB" w:rsidRPr="00F2588D">
        <w:rPr>
          <w:sz w:val="24"/>
          <w:szCs w:val="24"/>
          <w:lang w:val="sv-SE"/>
        </w:rPr>
        <w:t>, 2015)</w:t>
      </w:r>
      <w:r w:rsidR="00466EBB" w:rsidRPr="00F2588D">
        <w:rPr>
          <w:rFonts w:eastAsia="Times New Roman"/>
          <w:sz w:val="24"/>
          <w:szCs w:val="24"/>
        </w:rPr>
        <w:fldChar w:fldCharType="end"/>
      </w:r>
      <w:r w:rsidRPr="00F2588D">
        <w:rPr>
          <w:rFonts w:eastAsia="Times New Roman"/>
          <w:sz w:val="24"/>
          <w:szCs w:val="24"/>
        </w:rPr>
        <w:t>. Several hypotheses have been put forward to explain this trend. A growth bottleneck has been proposed to be induced by increasingly size selective fishing pressure on large cod during the rebuilding of stock after its collapse in the early 1990s, causing a size-truncation of the population and increased intraspecific competition among individuals below maturation size</w:t>
      </w:r>
      <w:r w:rsidR="00A8128E" w:rsidRPr="00F2588D">
        <w:rPr>
          <w:rFonts w:eastAsia="Times New Roman"/>
          <w:sz w:val="24"/>
          <w:szCs w:val="24"/>
        </w:rPr>
        <w:t xml:space="preserve"> </w:t>
      </w:r>
      <w:r w:rsidR="00443B23" w:rsidRPr="00F2588D">
        <w:rPr>
          <w:rFonts w:eastAsia="Times New Roman"/>
          <w:sz w:val="24"/>
          <w:szCs w:val="24"/>
        </w:rPr>
        <w:fldChar w:fldCharType="begin"/>
      </w:r>
      <w:r w:rsidR="00443B23" w:rsidRPr="00F2588D">
        <w:rPr>
          <w:rFonts w:eastAsia="Times New Roman"/>
          <w:sz w:val="24"/>
          <w:szCs w:val="24"/>
        </w:rPr>
        <w:instrText xml:space="preserve"> ADDIN ZOTERO_ITEM CSL_CITATION {"citationID":"BSMruUZ4","properties":{"formattedCitation":"(Sved\\uc0\\u228{}ng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00443B23" w:rsidRPr="00F2588D">
        <w:rPr>
          <w:rFonts w:eastAsia="Times New Roman"/>
          <w:sz w:val="24"/>
          <w:szCs w:val="24"/>
        </w:rPr>
        <w:fldChar w:fldCharType="separate"/>
      </w:r>
      <w:r w:rsidR="00443B23" w:rsidRPr="00F2588D">
        <w:rPr>
          <w:sz w:val="24"/>
          <w:szCs w:val="24"/>
        </w:rPr>
        <w:t>(Svedäng and Hornborg, 2014)</w:t>
      </w:r>
      <w:r w:rsidR="00443B23" w:rsidRPr="00F2588D">
        <w:rPr>
          <w:rFonts w:eastAsia="Times New Roman"/>
          <w:sz w:val="24"/>
          <w:szCs w:val="24"/>
        </w:rPr>
        <w:fldChar w:fldCharType="end"/>
      </w:r>
      <w:r w:rsidRPr="00F2588D">
        <w:rPr>
          <w:rFonts w:eastAsia="Times New Roman"/>
          <w:sz w:val="24"/>
          <w:szCs w:val="24"/>
        </w:rPr>
        <w:t>. It has also been linked to changes in the spatial distribution of species. A range contraction of the cod population driven by an increase in hypoxic areas, has been hypothesized to cause an increased competition with European flounder (</w:t>
      </w:r>
      <w:r w:rsidRPr="00F2588D">
        <w:rPr>
          <w:rFonts w:eastAsia="Times New Roman"/>
          <w:i/>
          <w:sz w:val="24"/>
          <w:szCs w:val="24"/>
        </w:rPr>
        <w:t>Platichtys flesus</w:t>
      </w:r>
      <w:r w:rsidRPr="00F2588D">
        <w:rPr>
          <w:rFonts w:eastAsia="Times New Roman"/>
          <w:sz w:val="24"/>
          <w:szCs w:val="24"/>
        </w:rPr>
        <w:t xml:space="preserve">) for </w:t>
      </w:r>
      <w:r w:rsidRPr="00F2588D">
        <w:rPr>
          <w:rFonts w:eastAsia="Times New Roman"/>
          <w:sz w:val="24"/>
          <w:szCs w:val="24"/>
        </w:rPr>
        <w:lastRenderedPageBreak/>
        <w:t xml:space="preserve">benthic prey, such as the isopod </w:t>
      </w:r>
      <w:r w:rsidRPr="00F2588D">
        <w:rPr>
          <w:rFonts w:eastAsia="Times New Roman"/>
          <w:i/>
          <w:sz w:val="24"/>
          <w:szCs w:val="24"/>
        </w:rPr>
        <w:t>Saduria entomon</w:t>
      </w:r>
      <w:r w:rsidR="00DE6077" w:rsidRPr="00F2588D">
        <w:rPr>
          <w:rFonts w:eastAsia="Times New Roman"/>
          <w:iCs/>
          <w:sz w:val="24"/>
          <w:szCs w:val="24"/>
        </w:rPr>
        <w:t xml:space="preserve"> </w:t>
      </w:r>
      <w:r w:rsidR="002E0D05" w:rsidRPr="00F2588D">
        <w:rPr>
          <w:rFonts w:eastAsia="Times New Roman"/>
          <w:iCs/>
          <w:sz w:val="24"/>
          <w:szCs w:val="24"/>
        </w:rPr>
        <w:fldChar w:fldCharType="begin"/>
      </w:r>
      <w:r w:rsidR="002E0D05" w:rsidRPr="00F2588D">
        <w:rPr>
          <w:rFonts w:eastAsia="Times New Roman"/>
          <w:iCs/>
          <w:sz w:val="24"/>
          <w:szCs w:val="24"/>
        </w:rPr>
        <w:instrText xml:space="preserve"> ADDIN ZOTERO_ITEM CSL_CITATION {"citationID":"TlvY5qCF","properties":{"formattedCitation":"(Casini {\\i{}et al.}, 2016a; Neuenfeldt {\\i{}et al.}, 2019; Orio {\\i{}et al.}, 2019)","plainCitation":"(Casini et al., 2016a; Neuenfeldt et al., 2019; Orio et al., 2019)","noteIndex":0},"citationItems":[{"id":794,"uris":["http://zotero.org/users/6116610/items/39XLSPWN"],"uri":["http://zotero.org/users/6116610/items/39XLSPWN"],"itemData":{"id":794,"type":"article-journal","abstract":"Investigating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2E0D05" w:rsidRPr="00F2588D">
        <w:rPr>
          <w:rFonts w:eastAsia="Times New Roman"/>
          <w:iCs/>
          <w:sz w:val="24"/>
          <w:szCs w:val="24"/>
        </w:rPr>
        <w:fldChar w:fldCharType="separate"/>
      </w:r>
      <w:r w:rsidR="002E0D05" w:rsidRPr="00F2588D">
        <w:rPr>
          <w:sz w:val="24"/>
          <w:szCs w:val="24"/>
        </w:rPr>
        <w:t xml:space="preserve">(Casini </w:t>
      </w:r>
      <w:r w:rsidR="002E0D05" w:rsidRPr="00F2588D">
        <w:rPr>
          <w:i/>
          <w:iCs/>
          <w:sz w:val="24"/>
          <w:szCs w:val="24"/>
        </w:rPr>
        <w:t>et al.</w:t>
      </w:r>
      <w:r w:rsidR="002E0D05" w:rsidRPr="00F2588D">
        <w:rPr>
          <w:sz w:val="24"/>
          <w:szCs w:val="24"/>
        </w:rPr>
        <w:t xml:space="preserve">, 2016a; Neuenfeldt </w:t>
      </w:r>
      <w:r w:rsidR="002E0D05" w:rsidRPr="00F2588D">
        <w:rPr>
          <w:i/>
          <w:iCs/>
          <w:sz w:val="24"/>
          <w:szCs w:val="24"/>
        </w:rPr>
        <w:t>et al.</w:t>
      </w:r>
      <w:r w:rsidR="002E0D05" w:rsidRPr="00F2588D">
        <w:rPr>
          <w:sz w:val="24"/>
          <w:szCs w:val="24"/>
        </w:rPr>
        <w:t xml:space="preserve">, 2019; Orio </w:t>
      </w:r>
      <w:r w:rsidR="002E0D05" w:rsidRPr="00F2588D">
        <w:rPr>
          <w:i/>
          <w:iCs/>
          <w:sz w:val="24"/>
          <w:szCs w:val="24"/>
        </w:rPr>
        <w:t>et al.</w:t>
      </w:r>
      <w:r w:rsidR="002E0D05" w:rsidRPr="00F2588D">
        <w:rPr>
          <w:sz w:val="24"/>
          <w:szCs w:val="24"/>
        </w:rPr>
        <w:t>, 2019)</w:t>
      </w:r>
      <w:r w:rsidR="002E0D05" w:rsidRPr="00F2588D">
        <w:rPr>
          <w:rFonts w:eastAsia="Times New Roman"/>
          <w:iCs/>
          <w:sz w:val="24"/>
          <w:szCs w:val="24"/>
        </w:rPr>
        <w:fldChar w:fldCharType="end"/>
      </w:r>
      <w:r w:rsidRPr="00F2588D">
        <w:rPr>
          <w:rFonts w:eastAsia="Times New Roman"/>
          <w:sz w:val="24"/>
          <w:szCs w:val="24"/>
        </w:rPr>
        <w:t xml:space="preserve">. </w:t>
      </w:r>
      <w:commentRangeStart w:id="2"/>
      <w:r w:rsidRPr="00F2588D">
        <w:rPr>
          <w:rFonts w:eastAsia="Times New Roman"/>
          <w:sz w:val="24"/>
          <w:szCs w:val="24"/>
        </w:rPr>
        <w:t xml:space="preserve">Oxygen also modulates several physiological processes that could affect body condition, including increased ventilation costs and lower food intake rates </w:t>
      </w:r>
      <w:commentRangeStart w:id="3"/>
      <w:r w:rsidRPr="00F2588D">
        <w:rPr>
          <w:rFonts w:eastAsia="Times New Roman"/>
          <w:sz w:val="24"/>
          <w:szCs w:val="24"/>
        </w:rPr>
        <w:t>()</w:t>
      </w:r>
      <w:commentRangeEnd w:id="3"/>
      <w:r w:rsidR="006550C8" w:rsidRPr="00F2588D">
        <w:rPr>
          <w:rStyle w:val="CommentReference"/>
          <w:sz w:val="24"/>
          <w:szCs w:val="24"/>
        </w:rPr>
        <w:commentReference w:id="3"/>
      </w:r>
      <w:r w:rsidRPr="00F2588D">
        <w:rPr>
          <w:rFonts w:eastAsia="Times New Roman"/>
          <w:sz w:val="24"/>
          <w:szCs w:val="24"/>
        </w:rPr>
        <w:t xml:space="preserve">. </w:t>
      </w:r>
      <w:commentRangeEnd w:id="2"/>
      <w:r w:rsidR="00803FFD">
        <w:rPr>
          <w:rStyle w:val="CommentReference"/>
        </w:rPr>
        <w:commentReference w:id="2"/>
      </w:r>
      <w:r w:rsidRPr="00F2588D">
        <w:rPr>
          <w:rFonts w:eastAsia="Times New Roman"/>
          <w:sz w:val="24"/>
          <w:szCs w:val="24"/>
        </w:rPr>
        <w:t xml:space="preserve">Reduced spatial overlap with pelagic prey (sprat, </w:t>
      </w:r>
      <w:r w:rsidRPr="00F2588D">
        <w:rPr>
          <w:rFonts w:eastAsia="Times New Roman"/>
          <w:i/>
          <w:sz w:val="24"/>
          <w:szCs w:val="24"/>
        </w:rPr>
        <w:t>Sprattus sprattus</w:t>
      </w:r>
      <w:r w:rsidRPr="00F2588D">
        <w:rPr>
          <w:rFonts w:eastAsia="Times New Roman"/>
          <w:sz w:val="24"/>
          <w:szCs w:val="24"/>
        </w:rPr>
        <w:t>) has also been suggested to cause declines in food availability and by extension, condition</w:t>
      </w:r>
      <w:r w:rsidR="00CF0554" w:rsidRPr="00F2588D">
        <w:rPr>
          <w:rFonts w:eastAsia="Times New Roman"/>
          <w:sz w:val="24"/>
          <w:szCs w:val="24"/>
        </w:rPr>
        <w:t xml:space="preserve"> </w:t>
      </w:r>
      <w:r w:rsidR="009E4C55" w:rsidRPr="00F2588D">
        <w:rPr>
          <w:rFonts w:eastAsia="Times New Roman"/>
          <w:sz w:val="24"/>
          <w:szCs w:val="24"/>
        </w:rPr>
        <w:fldChar w:fldCharType="begin"/>
      </w:r>
      <w:r w:rsidR="009E4C55" w:rsidRPr="00F2588D">
        <w:rPr>
          <w:rFonts w:eastAsia="Times New Roman"/>
          <w:sz w:val="24"/>
          <w:szCs w:val="24"/>
        </w:rPr>
        <w:instrText xml:space="preserve"> ADDIN ZOTERO_ITEM CSL_CITATION {"citationID":"rSPPrAbP","properties":{"formattedCitation":"(Casini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9E4C55" w:rsidRPr="00F2588D">
        <w:rPr>
          <w:rFonts w:eastAsia="Times New Roman"/>
          <w:sz w:val="24"/>
          <w:szCs w:val="24"/>
        </w:rPr>
        <w:fldChar w:fldCharType="separate"/>
      </w:r>
      <w:r w:rsidR="009E4C55" w:rsidRPr="00F2588D">
        <w:rPr>
          <w:sz w:val="24"/>
          <w:szCs w:val="24"/>
        </w:rPr>
        <w:t xml:space="preserve">(Casini </w:t>
      </w:r>
      <w:r w:rsidR="009E4C55" w:rsidRPr="00F2588D">
        <w:rPr>
          <w:i/>
          <w:iCs/>
          <w:sz w:val="24"/>
          <w:szCs w:val="24"/>
        </w:rPr>
        <w:t>et al.</w:t>
      </w:r>
      <w:r w:rsidR="009E4C55" w:rsidRPr="00F2588D">
        <w:rPr>
          <w:sz w:val="24"/>
          <w:szCs w:val="24"/>
        </w:rPr>
        <w:t>, 2016a)</w:t>
      </w:r>
      <w:r w:rsidR="009E4C55" w:rsidRPr="00F2588D">
        <w:rPr>
          <w:rFonts w:eastAsia="Times New Roman"/>
          <w:sz w:val="24"/>
          <w:szCs w:val="24"/>
        </w:rPr>
        <w:fldChar w:fldCharType="end"/>
      </w:r>
      <w:r w:rsidRPr="00F2588D">
        <w:rPr>
          <w:rFonts w:eastAsia="Times New Roman"/>
          <w:sz w:val="24"/>
          <w:szCs w:val="24"/>
        </w:rPr>
        <w:t>. However, the effects of these covariates on condition have previously been evaluated on larger spatial scales (e.g. averages over sub</w:t>
      </w:r>
      <w:r w:rsidR="003C005A" w:rsidRPr="00F2588D">
        <w:rPr>
          <w:rFonts w:eastAsia="Times New Roman"/>
          <w:sz w:val="24"/>
          <w:szCs w:val="24"/>
        </w:rPr>
        <w:t>-</w:t>
      </w:r>
      <w:r w:rsidRPr="00F2588D">
        <w:rPr>
          <w:rFonts w:eastAsia="Times New Roman"/>
          <w:sz w:val="24"/>
          <w:szCs w:val="24"/>
        </w:rPr>
        <w:t>division or in across short time scales) and the variation explained by these variables have not been compared directly on a fine spatial scale.</w:t>
      </w:r>
    </w:p>
    <w:p w14:paraId="7766BFB7" w14:textId="2A97395D" w:rsidR="00736FF5" w:rsidRPr="00F2588D"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t>In this study, we apply spatiotemporal predictive-process GLMMs to characterize spatiotemporal variation in body condition of Eastern Baltic cod. We use Le Cren’s condition index</w:t>
      </w:r>
      <w:r w:rsidR="002D5BA9" w:rsidRPr="00F2588D">
        <w:rPr>
          <w:rFonts w:eastAsia="Times New Roman"/>
          <w:sz w:val="24"/>
          <w:szCs w:val="24"/>
        </w:rPr>
        <w:t xml:space="preserve"> </w:t>
      </w:r>
      <w:r w:rsidR="00153E2E" w:rsidRPr="00F2588D">
        <w:rPr>
          <w:rFonts w:eastAsia="Times New Roman"/>
          <w:sz w:val="24"/>
          <w:szCs w:val="24"/>
        </w:rPr>
        <w:fldChar w:fldCharType="begin"/>
      </w:r>
      <w:r w:rsidR="00153E2E" w:rsidRPr="00F2588D">
        <w:rPr>
          <w:rFonts w:eastAsia="Times New Roman"/>
          <w:sz w:val="24"/>
          <w:szCs w:val="24"/>
        </w:rPr>
        <w:instrText xml:space="preserve"> ADDIN ZOTERO_ITEM CSL_CITATION {"citationID":"L1gTg5TG","properties":{"formattedCitation":"(Le Cren, 1951)","plainCitation":"(Le Cren, 1951)","noteIndex":0},"citationItems":[{"id":1979,"uris":["http://zotero.org/users/6116610/items/S7UA2C9X"],"uri":["http://zotero.org/users/6116610/items/S7UA2C9X"],"itemData":{"id":1979,"type":"article-journal","abstract":"1. The methods of analysing length-weight data from fish are reviewed. Emphasis is laid on empirical formulae of the type W = aLn, and the limitations of the conventional condition factor. 2. The length-weight relationship of perch of all sizes was determined from a series of regressions of log weight on log length, and an analysis of covariance. Relative condition factors were calculated for individual fish from smoothed mean weights obtained from the regression lines. 3. In length-weight relationship it was found that the perch could be divided into a series of six groups corresponding with age, sex and maturity. Each group was generally homogeneous within itself throughout the seasons, but usually differed significantly from the other groups. Relative condition was found to vary significantly with the season. 4. At any one season the gonad weight is a constant percentage of the body weight for fish of all sizes. The seasonal changes in gonad weight are described and differ somewhat for the two sexes. Stomach contents weigh up to 2% of the body weight in summer. 5. There is a regular seasonal cycle in condition which is at its maximum in September and minimum in early spring. The different seasonal changes in condition between mature and immature fish can largely be accounted for by the cycle in gonad weight of the former.","archive":"JSTOR","container-title":"Journal of Animal Ecology","DOI":"10.2307/1540","ISSN":"0021-8790","issue":"2","note":"publisher: [Wiley, British Ecological Society]","page":"201-219","source":"JSTOR","title":"The Length-Weight Relationship and Seasonal Cycle in Gonad Weight and Condition in the Perch (Perca fluviatilis)","volume":"20","author":[{"family":"Le Cren","given":"E. D."}],"issued":{"date-parts":[["1951"]]}}}],"schema":"https://github.com/citation-style-language/schema/raw/master/csl-citation.json"} </w:instrText>
      </w:r>
      <w:r w:rsidR="00153E2E" w:rsidRPr="00F2588D">
        <w:rPr>
          <w:rFonts w:eastAsia="Times New Roman"/>
          <w:sz w:val="24"/>
          <w:szCs w:val="24"/>
        </w:rPr>
        <w:fldChar w:fldCharType="separate"/>
      </w:r>
      <w:r w:rsidR="00153E2E" w:rsidRPr="00F2588D">
        <w:rPr>
          <w:rFonts w:eastAsia="Times New Roman"/>
          <w:noProof/>
          <w:sz w:val="24"/>
          <w:szCs w:val="24"/>
        </w:rPr>
        <w:t>(Le Cren, 1951)</w:t>
      </w:r>
      <w:r w:rsidR="00153E2E" w:rsidRPr="00F2588D">
        <w:rPr>
          <w:rFonts w:eastAsia="Times New Roman"/>
          <w:sz w:val="24"/>
          <w:szCs w:val="24"/>
        </w:rPr>
        <w:fldChar w:fldCharType="end"/>
      </w:r>
      <w:r w:rsidRPr="00F2588D">
        <w:rPr>
          <w:rFonts w:eastAsia="Times New Roman"/>
          <w:sz w:val="24"/>
          <w:szCs w:val="24"/>
        </w:rPr>
        <w:t>, which defines condition as the residuals from a fitted length-weight regression. Hence, it allows for allometric growth, i.e. a length-exponent slightly larger than 3 (as is often observed in fishes)</w:t>
      </w:r>
      <w:r w:rsidR="00D15B87" w:rsidRPr="00F2588D">
        <w:rPr>
          <w:rFonts w:eastAsia="Times New Roman"/>
          <w:sz w:val="24"/>
          <w:szCs w:val="24"/>
        </w:rPr>
        <w:t xml:space="preserve"> </w:t>
      </w:r>
      <w:r w:rsidR="00790C6A" w:rsidRPr="00F2588D">
        <w:rPr>
          <w:rFonts w:eastAsia="Times New Roman"/>
          <w:sz w:val="24"/>
          <w:szCs w:val="24"/>
        </w:rPr>
        <w:fldChar w:fldCharType="begin"/>
      </w:r>
      <w:r w:rsidR="00790C6A" w:rsidRPr="00F2588D">
        <w:rPr>
          <w:rFonts w:eastAsia="Times New Roman"/>
          <w:sz w:val="24"/>
          <w:szCs w:val="24"/>
        </w:rPr>
        <w:instrText xml:space="preserve"> ADDIN ZOTERO_ITEM CSL_CITATION {"citationID":"U0lMZ4Di","properties":{"formattedCitation":"(Froese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790C6A" w:rsidRPr="00F2588D">
        <w:rPr>
          <w:rFonts w:eastAsia="Times New Roman"/>
          <w:sz w:val="24"/>
          <w:szCs w:val="24"/>
        </w:rPr>
        <w:fldChar w:fldCharType="separate"/>
      </w:r>
      <w:r w:rsidR="00790C6A" w:rsidRPr="00F2588D">
        <w:rPr>
          <w:sz w:val="24"/>
          <w:szCs w:val="24"/>
        </w:rPr>
        <w:t xml:space="preserve">(Froese </w:t>
      </w:r>
      <w:r w:rsidR="00790C6A" w:rsidRPr="00F2588D">
        <w:rPr>
          <w:i/>
          <w:iCs/>
          <w:sz w:val="24"/>
          <w:szCs w:val="24"/>
        </w:rPr>
        <w:t>et al.</w:t>
      </w:r>
      <w:r w:rsidR="00790C6A" w:rsidRPr="00F2588D">
        <w:rPr>
          <w:sz w:val="24"/>
          <w:szCs w:val="24"/>
        </w:rPr>
        <w:t>, 2014)</w:t>
      </w:r>
      <w:r w:rsidR="00790C6A" w:rsidRPr="00F2588D">
        <w:rPr>
          <w:rFonts w:eastAsia="Times New Roman"/>
          <w:sz w:val="24"/>
          <w:szCs w:val="24"/>
        </w:rPr>
        <w:fldChar w:fldCharType="end"/>
      </w:r>
      <w:r w:rsidRPr="00F2588D">
        <w:rPr>
          <w:rFonts w:eastAsia="Times New Roman"/>
          <w:sz w:val="24"/>
          <w:szCs w:val="24"/>
        </w:rPr>
        <w:t>, in contrast to Fulton’s condition factor which assumes isometric growth (weight being related to the length cubed)</w:t>
      </w:r>
      <w:r w:rsidR="00A16228" w:rsidRPr="00F2588D">
        <w:rPr>
          <w:rFonts w:eastAsia="Times New Roman"/>
          <w:sz w:val="24"/>
          <w:szCs w:val="24"/>
        </w:rPr>
        <w:t xml:space="preserve"> </w:t>
      </w:r>
      <w:r w:rsidR="00E26164" w:rsidRPr="00F2588D">
        <w:rPr>
          <w:rFonts w:eastAsia="Times New Roman"/>
          <w:sz w:val="24"/>
          <w:szCs w:val="24"/>
        </w:rPr>
        <w:fldChar w:fldCharType="begin"/>
      </w:r>
      <w:r w:rsidR="00E26164" w:rsidRPr="00F2588D">
        <w:rPr>
          <w:rFonts w:eastAsia="Times New Roman"/>
          <w:sz w:val="24"/>
          <w:szCs w:val="24"/>
        </w:rPr>
        <w:instrText xml:space="preserve"> ADDIN ZOTERO_ITEM CSL_CITATION {"citationID":"oyBnBQy6","properties":{"formattedCitation":"(Ricker, 1975; Nash {\\i{}et al.}, 2006)","plainCitation":"(Ricker, 1975; Nash et al., 2006)","noteIndex":0},"citationItems":[{"id":31,"uris":["http://zotero.org/users/6116610/items/92KZYTNF"],"uri":["http://zotero.org/users/6116610/items/92KZYTNF"],"itemData":{"id":31,"type":"article-journal","container-title":"Bulletin of the Fisheries Research Board of Canada","DOI":"10.2307/3800109","ISSN":"0022541X","language":"en","page":"1-382","source":"Crossref","title":"Computation and interpretation of biological statistics of fish populations","volume":"191","author":[{"family":"Ricker","given":"W. E."}],"issued":{"date-parts":[["1975"]]}}},{"id":2195,"uris":["http://zotero.org/users/6116610/items/9ZYSPDCR"],"uri":["http://zotero.org/users/6116610/items/9ZYSPDCR"],"itemData":{"id":2195,"type":"article-journal","container-title":"Fisheries","issue":"5","language":"en","page":"236-238","title":"The origin of fulton's condition factor : Setting the record straight","title-short":"The origin of fulton's condition factor","volume":"31","author":[{"family":"Nash","given":"R."},{"family":"Valencia","given":"Antonio"},{"family":"Geffen","given":"A."}],"issued":{"date-parts":[["2006"]]}}}],"schema":"https://github.com/citation-style-language/schema/raw/master/csl-citation.json"} </w:instrText>
      </w:r>
      <w:r w:rsidR="00E26164" w:rsidRPr="00F2588D">
        <w:rPr>
          <w:rFonts w:eastAsia="Times New Roman"/>
          <w:sz w:val="24"/>
          <w:szCs w:val="24"/>
        </w:rPr>
        <w:fldChar w:fldCharType="separate"/>
      </w:r>
      <w:r w:rsidR="00E26164" w:rsidRPr="00F2588D">
        <w:rPr>
          <w:sz w:val="24"/>
          <w:szCs w:val="24"/>
        </w:rPr>
        <w:t xml:space="preserve">(Ricker, 1975; Nash </w:t>
      </w:r>
      <w:r w:rsidR="00E26164" w:rsidRPr="00F2588D">
        <w:rPr>
          <w:i/>
          <w:iCs/>
          <w:sz w:val="24"/>
          <w:szCs w:val="24"/>
        </w:rPr>
        <w:t>et al.</w:t>
      </w:r>
      <w:r w:rsidR="00E26164" w:rsidRPr="00F2588D">
        <w:rPr>
          <w:sz w:val="24"/>
          <w:szCs w:val="24"/>
        </w:rPr>
        <w:t>, 2006)</w:t>
      </w:r>
      <w:r w:rsidR="00E26164" w:rsidRPr="00F2588D">
        <w:rPr>
          <w:rFonts w:eastAsia="Times New Roman"/>
          <w:sz w:val="24"/>
          <w:szCs w:val="24"/>
        </w:rPr>
        <w:fldChar w:fldCharType="end"/>
      </w:r>
      <w:r w:rsidRPr="00F2588D">
        <w:rPr>
          <w:rFonts w:eastAsia="Times New Roman"/>
          <w:sz w:val="24"/>
          <w:szCs w:val="24"/>
        </w:rPr>
        <w:t>. We use data from the Baltic International Trawl Survey between 1991-2020, which corresponds to a period of initially high but deteriorating condition</w:t>
      </w:r>
      <w:r w:rsidR="00FF62CC" w:rsidRPr="00F2588D">
        <w:rPr>
          <w:rFonts w:eastAsia="Times New Roman"/>
          <w:sz w:val="24"/>
          <w:szCs w:val="24"/>
        </w:rPr>
        <w:t xml:space="preserve"> </w:t>
      </w:r>
      <w:r w:rsidR="00C42BBD" w:rsidRPr="00F2588D">
        <w:rPr>
          <w:rFonts w:eastAsia="Times New Roman"/>
          <w:sz w:val="24"/>
          <w:szCs w:val="24"/>
        </w:rPr>
        <w:fldChar w:fldCharType="begin"/>
      </w:r>
      <w:r w:rsidR="00C42BBD" w:rsidRPr="00F2588D">
        <w:rPr>
          <w:rFonts w:eastAsia="Times New Roman"/>
          <w:sz w:val="24"/>
          <w:szCs w:val="24"/>
        </w:rPr>
        <w:instrText xml:space="preserve"> ADDIN ZOTERO_ITEM CSL_CITATION {"citationID":"JNxfliAd","properties":{"formattedCitation":"(Casini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C42BBD" w:rsidRPr="00F2588D">
        <w:rPr>
          <w:rFonts w:eastAsia="Times New Roman"/>
          <w:sz w:val="24"/>
          <w:szCs w:val="24"/>
        </w:rPr>
        <w:fldChar w:fldCharType="separate"/>
      </w:r>
      <w:r w:rsidR="00C42BBD" w:rsidRPr="00F2588D">
        <w:rPr>
          <w:sz w:val="24"/>
          <w:szCs w:val="24"/>
        </w:rPr>
        <w:t xml:space="preserve">(Casini </w:t>
      </w:r>
      <w:r w:rsidR="00C42BBD" w:rsidRPr="00F2588D">
        <w:rPr>
          <w:i/>
          <w:iCs/>
          <w:sz w:val="24"/>
          <w:szCs w:val="24"/>
        </w:rPr>
        <w:t>et al.</w:t>
      </w:r>
      <w:r w:rsidR="00C42BBD" w:rsidRPr="00F2588D">
        <w:rPr>
          <w:sz w:val="24"/>
          <w:szCs w:val="24"/>
        </w:rPr>
        <w:t>, 2016a)</w:t>
      </w:r>
      <w:r w:rsidR="00C42BBD" w:rsidRPr="00F2588D">
        <w:rPr>
          <w:rFonts w:eastAsia="Times New Roman"/>
          <w:sz w:val="24"/>
          <w:szCs w:val="24"/>
        </w:rPr>
        <w:fldChar w:fldCharType="end"/>
      </w:r>
      <w:r w:rsidRPr="00F2588D">
        <w:rPr>
          <w:rFonts w:eastAsia="Times New Roman"/>
          <w:sz w:val="24"/>
          <w:szCs w:val="24"/>
        </w:rPr>
        <w:t xml:space="preserve">. We then seek to (1) identify which set of covariates (density of flounder, cod, availability of pelagic prey or oxygen concentration) provide a parsimonious fit to weight-length and (2) estimate the variation explained by these covariates and contrast that to variation explained by spatial and spatiotemporal variation. </w:t>
      </w:r>
      <w:commentRangeStart w:id="4"/>
    </w:p>
    <w:commentRangeEnd w:id="4"/>
    <w:p w14:paraId="5274707C" w14:textId="77777777" w:rsidR="0024794B" w:rsidRDefault="00401B29" w:rsidP="00EC14E0">
      <w:pPr>
        <w:spacing w:line="480" w:lineRule="auto"/>
        <w:contextualSpacing/>
        <w:jc w:val="both"/>
        <w:rPr>
          <w:rFonts w:eastAsia="Times New Roman"/>
          <w:b/>
          <w:sz w:val="24"/>
          <w:szCs w:val="24"/>
        </w:rPr>
      </w:pPr>
      <w:r w:rsidRPr="00F2588D">
        <w:rPr>
          <w:sz w:val="24"/>
          <w:szCs w:val="24"/>
        </w:rPr>
        <w:commentReference w:id="4"/>
      </w:r>
      <w:bookmarkStart w:id="5" w:name="_m6jzr4bicnw5" w:colFirst="0" w:colLast="0"/>
      <w:bookmarkEnd w:id="5"/>
    </w:p>
    <w:p w14:paraId="10B90A80" w14:textId="657EF471" w:rsidR="00736FF5" w:rsidRPr="0090664E" w:rsidRDefault="00401B29" w:rsidP="00EC14E0">
      <w:pPr>
        <w:spacing w:line="480" w:lineRule="auto"/>
        <w:contextualSpacing/>
        <w:jc w:val="both"/>
        <w:rPr>
          <w:rFonts w:eastAsia="Times New Roman"/>
          <w:b/>
          <w:sz w:val="28"/>
          <w:szCs w:val="28"/>
        </w:rPr>
      </w:pPr>
      <w:r w:rsidRPr="0090664E">
        <w:rPr>
          <w:rFonts w:eastAsia="Times New Roman"/>
          <w:b/>
          <w:sz w:val="28"/>
          <w:szCs w:val="28"/>
        </w:rPr>
        <w:t>Materials and methods</w:t>
      </w:r>
    </w:p>
    <w:p w14:paraId="25D4834E" w14:textId="77777777" w:rsidR="00736FF5" w:rsidRPr="00F2588D" w:rsidRDefault="00401B29" w:rsidP="00EC14E0">
      <w:pPr>
        <w:spacing w:line="480" w:lineRule="auto"/>
        <w:contextualSpacing/>
        <w:jc w:val="both"/>
        <w:rPr>
          <w:rFonts w:eastAsia="Times New Roman"/>
          <w:i/>
          <w:sz w:val="24"/>
          <w:szCs w:val="24"/>
        </w:rPr>
      </w:pPr>
      <w:r w:rsidRPr="00F2588D">
        <w:rPr>
          <w:rFonts w:eastAsia="Times New Roman"/>
          <w:i/>
          <w:sz w:val="24"/>
          <w:szCs w:val="24"/>
        </w:rPr>
        <w:t>Data</w:t>
      </w:r>
    </w:p>
    <w:p w14:paraId="64BE00A7" w14:textId="41DC56DF"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 xml:space="preserve">To model the spatiotemporal development of cod condition, we acquired weight-at-length data from the Baltic International Trawl Survey (BITS) between the years 1991-2020. Hauls north </w:t>
      </w:r>
      <w:r w:rsidRPr="00F2588D">
        <w:rPr>
          <w:rFonts w:eastAsia="Times New Roman"/>
          <w:sz w:val="24"/>
          <w:szCs w:val="24"/>
        </w:rPr>
        <w:lastRenderedPageBreak/>
        <w:t>of 58° and west of 12.5° and in the Kattegat (west coast of Sweden) were excluded due to inconsistent coverage in the data and because they represent a different cod stock with no mixing with the Eastern Baltic cod, as in</w:t>
      </w:r>
      <w:r w:rsidR="001A386E" w:rsidRPr="00F2588D">
        <w:rPr>
          <w:rFonts w:eastAsia="Times New Roman"/>
          <w:sz w:val="24"/>
          <w:szCs w:val="24"/>
        </w:rPr>
        <w:t xml:space="preserve"> </w:t>
      </w:r>
      <w:r w:rsidR="00F853A5" w:rsidRPr="00F2588D">
        <w:rPr>
          <w:rFonts w:eastAsia="Times New Roman"/>
          <w:sz w:val="24"/>
          <w:szCs w:val="24"/>
        </w:rPr>
        <w:fldChar w:fldCharType="begin"/>
      </w:r>
      <w:r w:rsidR="00F853A5" w:rsidRPr="00F2588D">
        <w:rPr>
          <w:rFonts w:eastAsia="Times New Roman"/>
          <w:sz w:val="24"/>
          <w:szCs w:val="24"/>
        </w:rPr>
        <w:instrText xml:space="preserve"> ADDIN ZOTERO_ITEM CSL_CITATION {"citationID":"zp8fJpww","properties":{"formattedCitation":"(Orio {\\i{}et al.}, 2019)","plainCitation":"(Orio et al., 2019)","noteIndex":0},"citationItems":[{"id":1946,"uris":["http://zotero.org/users/6116610/items/MR2VKVWS"],"uri":["http://zotero.org/users/6116610/items/MR2VKVWS"],"itemData":{"id":1946,"type":"article-journal","abstract":"Abstract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00F853A5" w:rsidRPr="00F2588D">
        <w:rPr>
          <w:rFonts w:eastAsia="Times New Roman"/>
          <w:sz w:val="24"/>
          <w:szCs w:val="24"/>
        </w:rPr>
        <w:fldChar w:fldCharType="separate"/>
      </w:r>
      <w:r w:rsidR="00F853A5" w:rsidRPr="00F2588D">
        <w:rPr>
          <w:sz w:val="24"/>
          <w:szCs w:val="24"/>
        </w:rPr>
        <w:t xml:space="preserve">(Orio </w:t>
      </w:r>
      <w:r w:rsidR="00F853A5" w:rsidRPr="00F2588D">
        <w:rPr>
          <w:i/>
          <w:iCs/>
          <w:sz w:val="24"/>
          <w:szCs w:val="24"/>
        </w:rPr>
        <w:t>et al.</w:t>
      </w:r>
      <w:r w:rsidR="00F853A5" w:rsidRPr="00F2588D">
        <w:rPr>
          <w:sz w:val="24"/>
          <w:szCs w:val="24"/>
        </w:rPr>
        <w:t>, 2019)</w:t>
      </w:r>
      <w:r w:rsidR="00F853A5" w:rsidRPr="00F2588D">
        <w:rPr>
          <w:rFonts w:eastAsia="Times New Roman"/>
          <w:sz w:val="24"/>
          <w:szCs w:val="24"/>
        </w:rPr>
        <w:fldChar w:fldCharType="end"/>
      </w:r>
      <w:r w:rsidRPr="00F2588D">
        <w:rPr>
          <w:rFonts w:eastAsia="Times New Roman"/>
          <w:sz w:val="24"/>
          <w:szCs w:val="24"/>
        </w:rPr>
        <w:t>. We used only data from the fourth quarter, which corresponds to the main growing and feeding season</w:t>
      </w:r>
      <w:r w:rsidR="00FB0A58" w:rsidRPr="00F2588D">
        <w:rPr>
          <w:rFonts w:eastAsia="Times New Roman"/>
          <w:sz w:val="24"/>
          <w:szCs w:val="24"/>
        </w:rPr>
        <w:t xml:space="preserve"> </w:t>
      </w:r>
      <w:r w:rsidR="007203A5" w:rsidRPr="00F2588D">
        <w:rPr>
          <w:rFonts w:eastAsia="Times New Roman"/>
          <w:sz w:val="24"/>
          <w:szCs w:val="24"/>
        </w:rPr>
        <w:fldChar w:fldCharType="begin"/>
      </w:r>
      <w:r w:rsidR="007203A5" w:rsidRPr="00F2588D">
        <w:rPr>
          <w:rFonts w:eastAsia="Times New Roman"/>
          <w:sz w:val="24"/>
          <w:szCs w:val="24"/>
        </w:rPr>
        <w:instrText xml:space="preserve"> ADDIN ZOTERO_ITEM CSL_CITATION {"citationID":"RLEJgpiA","properties":{"formattedCitation":"(Aro, 1989)","plainCitation":"(Aro, 1989)","noteIndex":0},"citationItems":[{"id":1981,"uris":["http://zotero.org/users/6116610/items/LG4S3R2U"],"uri":["http://zotero.org/users/6116610/items/LG4S3R2U"],"itemData":{"id":1981,"type":"article-journal","container-title":"Rap. Proc.-verb. Re. Cons. Int. Explor. Mer","page":"72-96","source":"CiNii","title":"A review of fish migration patterns in the Baltic","volume":"190","author":[{"family":"Aro","given":"E."}],"issued":{"date-parts":[["1989"]]}}}],"schema":"https://github.com/citation-style-language/schema/raw/master/csl-citation.json"} </w:instrText>
      </w:r>
      <w:r w:rsidR="007203A5" w:rsidRPr="00F2588D">
        <w:rPr>
          <w:rFonts w:eastAsia="Times New Roman"/>
          <w:sz w:val="24"/>
          <w:szCs w:val="24"/>
        </w:rPr>
        <w:fldChar w:fldCharType="separate"/>
      </w:r>
      <w:r w:rsidR="007203A5" w:rsidRPr="00F2588D">
        <w:rPr>
          <w:rFonts w:eastAsia="Times New Roman"/>
          <w:noProof/>
          <w:sz w:val="24"/>
          <w:szCs w:val="24"/>
        </w:rPr>
        <w:t>(Aro, 1989)</w:t>
      </w:r>
      <w:r w:rsidR="007203A5" w:rsidRPr="00F2588D">
        <w:rPr>
          <w:rFonts w:eastAsia="Times New Roman"/>
          <w:sz w:val="24"/>
          <w:szCs w:val="24"/>
        </w:rPr>
        <w:fldChar w:fldCharType="end"/>
      </w:r>
      <w:r w:rsidRPr="00F2588D">
        <w:rPr>
          <w:rFonts w:eastAsia="Times New Roman"/>
          <w:sz w:val="24"/>
          <w:szCs w:val="24"/>
        </w:rPr>
        <w:t xml:space="preserve"> and the quarter in which the Baltic International Acoustic Survey (BIAS) survey is conducted and therefore biomass estimates of pelagic fish used as covariates are available, following</w:t>
      </w:r>
      <w:r w:rsidR="00CF4B77" w:rsidRPr="00F2588D">
        <w:rPr>
          <w:rFonts w:eastAsia="Times New Roman"/>
          <w:sz w:val="24"/>
          <w:szCs w:val="24"/>
        </w:rPr>
        <w:t xml:space="preserve"> </w:t>
      </w:r>
      <w:r w:rsidR="00FB078F" w:rsidRPr="00F2588D">
        <w:rPr>
          <w:rFonts w:eastAsia="Times New Roman"/>
          <w:sz w:val="24"/>
          <w:szCs w:val="24"/>
        </w:rPr>
        <w:fldChar w:fldCharType="begin"/>
      </w:r>
      <w:r w:rsidR="00FB078F" w:rsidRPr="00F2588D">
        <w:rPr>
          <w:rFonts w:eastAsia="Times New Roman"/>
          <w:sz w:val="24"/>
          <w:szCs w:val="24"/>
        </w:rPr>
        <w:instrText xml:space="preserve"> ADDIN ZOTERO_ITEM CSL_CITATION {"citationID":"YbEK11Ia","properties":{"formattedCitation":"(Casini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00FB078F" w:rsidRPr="00F2588D">
        <w:rPr>
          <w:rFonts w:eastAsia="Times New Roman"/>
          <w:sz w:val="24"/>
          <w:szCs w:val="24"/>
        </w:rPr>
        <w:fldChar w:fldCharType="separate"/>
      </w:r>
      <w:r w:rsidR="00FB078F" w:rsidRPr="00F2588D">
        <w:rPr>
          <w:sz w:val="24"/>
          <w:szCs w:val="24"/>
        </w:rPr>
        <w:t xml:space="preserve">(Casini </w:t>
      </w:r>
      <w:r w:rsidR="00FB078F" w:rsidRPr="00F2588D">
        <w:rPr>
          <w:i/>
          <w:iCs/>
          <w:sz w:val="24"/>
          <w:szCs w:val="24"/>
        </w:rPr>
        <w:t>et al.</w:t>
      </w:r>
      <w:r w:rsidR="00FB078F" w:rsidRPr="00F2588D">
        <w:rPr>
          <w:sz w:val="24"/>
          <w:szCs w:val="24"/>
        </w:rPr>
        <w:t>, 2016a)</w:t>
      </w:r>
      <w:r w:rsidR="00FB078F" w:rsidRPr="00F2588D">
        <w:rPr>
          <w:rFonts w:eastAsia="Times New Roman"/>
          <w:sz w:val="24"/>
          <w:szCs w:val="24"/>
        </w:rPr>
        <w:fldChar w:fldCharType="end"/>
      </w:r>
      <w:r w:rsidRPr="00F2588D">
        <w:rPr>
          <w:rFonts w:eastAsia="Times New Roman"/>
          <w:sz w:val="24"/>
          <w:szCs w:val="24"/>
        </w:rPr>
        <w:t>.</w:t>
      </w:r>
    </w:p>
    <w:p w14:paraId="682C0525" w14:textId="77777777" w:rsidR="00736FF5" w:rsidRPr="00F2588D" w:rsidRDefault="00736FF5" w:rsidP="00EC14E0">
      <w:pPr>
        <w:spacing w:line="480" w:lineRule="auto"/>
        <w:contextualSpacing/>
        <w:jc w:val="both"/>
        <w:rPr>
          <w:rFonts w:eastAsia="Times New Roman"/>
          <w:sz w:val="24"/>
          <w:szCs w:val="24"/>
        </w:rPr>
      </w:pPr>
    </w:p>
    <w:p w14:paraId="7BCE4DA8" w14:textId="77777777" w:rsidR="00736FF5" w:rsidRPr="00F2588D" w:rsidRDefault="00401B29" w:rsidP="00EC14E0">
      <w:pPr>
        <w:spacing w:line="480" w:lineRule="auto"/>
        <w:contextualSpacing/>
        <w:jc w:val="both"/>
        <w:rPr>
          <w:rFonts w:eastAsia="Times New Roman"/>
          <w:b/>
          <w:sz w:val="24"/>
          <w:szCs w:val="24"/>
        </w:rPr>
      </w:pPr>
      <w:r w:rsidRPr="00F2588D">
        <w:rPr>
          <w:rFonts w:eastAsia="Times New Roman"/>
          <w:i/>
          <w:sz w:val="24"/>
          <w:szCs w:val="24"/>
        </w:rPr>
        <w:t>Covariates</w:t>
      </w:r>
    </w:p>
    <w:p w14:paraId="3486117B" w14:textId="4FA7D533"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Covariates were carefully selected to represent a hypothesized driver of variation in condition, and is likely to explain at least some variation (Table 1). Following</w:t>
      </w:r>
      <w:r w:rsidR="006F3B2A" w:rsidRPr="00F2588D">
        <w:rPr>
          <w:rFonts w:eastAsia="Times New Roman"/>
          <w:sz w:val="24"/>
          <w:szCs w:val="24"/>
        </w:rPr>
        <w:t xml:space="preserve"> </w:t>
      </w:r>
      <w:r w:rsidR="00351788" w:rsidRPr="00F2588D">
        <w:rPr>
          <w:rFonts w:eastAsia="Times New Roman"/>
          <w:sz w:val="24"/>
          <w:szCs w:val="24"/>
        </w:rPr>
        <w:fldChar w:fldCharType="begin"/>
      </w:r>
      <w:r w:rsidR="00351788" w:rsidRPr="00F2588D">
        <w:rPr>
          <w:rFonts w:eastAsia="Times New Roman"/>
          <w:sz w:val="24"/>
          <w:szCs w:val="24"/>
        </w:rPr>
        <w:instrText xml:space="preserve"> ADDIN ZOTERO_ITEM CSL_CITATION {"citationID":"LrYgD4yg","properties":{"formattedCitation":"(Thorson, 2015; Gr\\uc0\\u252{}ss {\\i{}et al.}, 2020)","plainCitation":"(Thorson, 2015; Grüss et al., 2020)","noteIndex":0},"citationItems":[{"id":709,"uris":["http://zotero.org/users/6116610/items/JE7KRANF"],"uri":["http://zotero.org/users/6116610/items/JE7KRANF"],"itemData":{"id":709,"type":"article-journal","abstract":"Condition (the relationship between individual weight and length) has been researched in fisheries science for over 100 yr and is claimed to be an integrated measure of physiological status for fishes. Spatial or temporal variation in condition can contribute to otherwise unexplained variation in the relationship between spawning biomass and recruitment. Individual condition is also included in age-structured population models, which use weight at age to convert population estimates between numbers and biomass. However, no study has analyzed spatial and temporal variation in condition for multiple marine species. Here I apply recent improvements in spatial modeling to analyze coastwide variation in condition for 28 groundfishes in the California Current. I show that, on average, 22% of individual-level variation in condition can be explained via persistent (constant over time) and annually varying spatial differences in condition, and condition for many species varies 10 to 20% spatially and among years. While population density, bottom temperature, and calendar date are parsimonious descriptors of condition in several species, the sign of these coefficients varies, and their magnitude is small relative to the magnitude of residual spatial and temporal variation. Additionally, annually varying spatial differences have nearly twice the magnitude of persistent spatial differences in condition. I therefore conclude that dynamic habitat conditions contribute a substantial portion of variation in individual condition for these groundfishes. Spatial and temporal variation in condition will be important for population models that convert between numbers, fishery catch, and population biomass, and may also clarify unexplained variability in productivity for marine fishes.","container-title":"Marine Ecology Progress Series","DOI":"10.3354/meps11204","ISSN":"0171-8630, 1616-1599","language":"en","page":"101-112","source":"www.int-res.com","title":"Spatio-temporal variation in fish condition is not consistently explained by density, temperature, or season for California Current groundfishes","volume":"526","author":[{"family":"Thorson","given":"James T."}],"issued":{"date-parts":[["2015",4,22]]}}},{"id":702,"uris":["http://zotero.org/users/6116610/items/C5WI4JA6"],"uri":["http://zotero.org/users/6116610/items/C5WI4JA6"],"itemData":{"id":702,"type":"article-journal","abstract":"Estimating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351788" w:rsidRPr="00F2588D">
        <w:rPr>
          <w:rFonts w:eastAsia="Times New Roman"/>
          <w:sz w:val="24"/>
          <w:szCs w:val="24"/>
        </w:rPr>
        <w:fldChar w:fldCharType="separate"/>
      </w:r>
      <w:r w:rsidR="00351788" w:rsidRPr="00F2588D">
        <w:rPr>
          <w:sz w:val="24"/>
          <w:szCs w:val="24"/>
        </w:rPr>
        <w:t xml:space="preserve">(Thorson, 2015; Grüss </w:t>
      </w:r>
      <w:r w:rsidR="00351788" w:rsidRPr="00F2588D">
        <w:rPr>
          <w:i/>
          <w:iCs/>
          <w:sz w:val="24"/>
          <w:szCs w:val="24"/>
        </w:rPr>
        <w:t>et al.</w:t>
      </w:r>
      <w:r w:rsidR="00351788" w:rsidRPr="00F2588D">
        <w:rPr>
          <w:sz w:val="24"/>
          <w:szCs w:val="24"/>
        </w:rPr>
        <w:t>, 2020)</w:t>
      </w:r>
      <w:r w:rsidR="00351788" w:rsidRPr="00F2588D">
        <w:rPr>
          <w:rFonts w:eastAsia="Times New Roman"/>
          <w:sz w:val="24"/>
          <w:szCs w:val="24"/>
        </w:rPr>
        <w:fldChar w:fldCharType="end"/>
      </w:r>
      <w:r w:rsidRPr="00F2588D">
        <w:rPr>
          <w:rFonts w:eastAsia="Times New Roman"/>
          <w:sz w:val="24"/>
          <w:szCs w:val="24"/>
        </w:rPr>
        <w:t>, we rescale all covariates to have a mean of 0 and a standard deviation of 1, which allows for comparison between the estimated coefficients and the standard deviation of spatial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A</m:t>
            </m:r>
          </m:sub>
        </m:sSub>
      </m:oMath>
      <w:r w:rsidRPr="00F2588D">
        <w:rPr>
          <w:rFonts w:eastAsia="Times New Roman"/>
          <w:sz w:val="24"/>
          <w:szCs w:val="24"/>
        </w:rPr>
        <w:t>) and spatiotemporal variation (</w:t>
      </w:r>
      <m:oMath>
        <m:sSub>
          <m:sSubPr>
            <m:ctrlPr>
              <w:rPr>
                <w:rFonts w:ascii="Cambria Math" w:eastAsia="Times New Roman" w:hAnsi="Cambria Math"/>
                <w:sz w:val="24"/>
                <w:szCs w:val="24"/>
              </w:rPr>
            </m:ctrlPr>
          </m:sSubPr>
          <m:e>
            <m:r>
              <w:rPr>
                <w:rFonts w:ascii="Cambria Math" w:hAnsi="Cambria Math"/>
                <w:sz w:val="24"/>
                <w:szCs w:val="24"/>
              </w:rPr>
              <m:t>σ</m:t>
            </m:r>
          </m:e>
          <m:sub>
            <m:r>
              <w:rPr>
                <w:rFonts w:ascii="Cambria Math" w:eastAsia="Times New Roman" w:hAnsi="Cambria Math"/>
                <w:sz w:val="24"/>
                <w:szCs w:val="24"/>
              </w:rPr>
              <m:t>E</m:t>
            </m:r>
          </m:sub>
        </m:sSub>
      </m:oMath>
      <w:r w:rsidRPr="00F2588D">
        <w:rPr>
          <w:rFonts w:eastAsia="Times New Roman"/>
          <w:sz w:val="24"/>
          <w:szCs w:val="24"/>
        </w:rPr>
        <w:t>).</w:t>
      </w:r>
    </w:p>
    <w:p w14:paraId="16596172" w14:textId="77777777" w:rsidR="00736FF5" w:rsidRPr="00F2588D" w:rsidRDefault="00736FF5" w:rsidP="00EC14E0">
      <w:pPr>
        <w:spacing w:line="480" w:lineRule="auto"/>
        <w:contextualSpacing/>
        <w:jc w:val="both"/>
        <w:rPr>
          <w:rFonts w:eastAsia="Times New Roman"/>
          <w:b/>
          <w:sz w:val="24"/>
          <w:szCs w:val="24"/>
        </w:rPr>
      </w:pPr>
    </w:p>
    <w:p w14:paraId="7DFC0A02" w14:textId="77777777" w:rsidR="00736FF5" w:rsidRPr="00F2588D" w:rsidRDefault="00401B29" w:rsidP="00EC14E0">
      <w:pPr>
        <w:spacing w:line="480" w:lineRule="auto"/>
        <w:contextualSpacing/>
        <w:jc w:val="both"/>
        <w:rPr>
          <w:rFonts w:eastAsia="Times New Roman"/>
          <w:i/>
          <w:sz w:val="24"/>
          <w:szCs w:val="24"/>
        </w:rPr>
      </w:pPr>
      <w:r w:rsidRPr="00F2588D">
        <w:rPr>
          <w:rFonts w:eastAsia="Times New Roman"/>
          <w:i/>
          <w:sz w:val="24"/>
          <w:szCs w:val="24"/>
        </w:rPr>
        <w:t>Table 1. Summary of covariates and the corresponding hypothesized effect on cod condition.</w:t>
      </w:r>
    </w:p>
    <w:tbl>
      <w:tblPr>
        <w:tblStyle w:val="TableGrid"/>
        <w:tblW w:w="5000" w:type="pct"/>
        <w:tblLook w:val="0600" w:firstRow="0" w:lastRow="0" w:firstColumn="0" w:lastColumn="0" w:noHBand="1" w:noVBand="1"/>
      </w:tblPr>
      <w:tblGrid>
        <w:gridCol w:w="2493"/>
        <w:gridCol w:w="2096"/>
        <w:gridCol w:w="2215"/>
        <w:gridCol w:w="2215"/>
      </w:tblGrid>
      <w:tr w:rsidR="00695F2E" w:rsidRPr="00F2588D" w14:paraId="4AC88906" w14:textId="6B692423" w:rsidTr="00CC27D9">
        <w:tc>
          <w:tcPr>
            <w:tcW w:w="1405" w:type="pct"/>
          </w:tcPr>
          <w:p w14:paraId="4918E663" w14:textId="77777777" w:rsidR="00695F2E" w:rsidRPr="00F2588D" w:rsidRDefault="00695F2E" w:rsidP="00EC14E0">
            <w:pPr>
              <w:widowControl w:val="0"/>
              <w:spacing w:line="480" w:lineRule="auto"/>
              <w:contextualSpacing/>
              <w:jc w:val="both"/>
              <w:rPr>
                <w:rFonts w:eastAsia="Times New Roman"/>
                <w:b/>
                <w:sz w:val="24"/>
                <w:szCs w:val="24"/>
              </w:rPr>
            </w:pPr>
            <w:r w:rsidRPr="00F2588D">
              <w:rPr>
                <w:rFonts w:eastAsia="Times New Roman"/>
                <w:b/>
                <w:sz w:val="24"/>
                <w:szCs w:val="24"/>
              </w:rPr>
              <w:t>Covariate</w:t>
            </w:r>
          </w:p>
        </w:tc>
        <w:tc>
          <w:tcPr>
            <w:tcW w:w="1095" w:type="pct"/>
          </w:tcPr>
          <w:p w14:paraId="5B4B40F3" w14:textId="77777777" w:rsidR="00695F2E" w:rsidRPr="00F2588D" w:rsidRDefault="00695F2E" w:rsidP="00EC14E0">
            <w:pPr>
              <w:widowControl w:val="0"/>
              <w:spacing w:line="480" w:lineRule="auto"/>
              <w:contextualSpacing/>
              <w:jc w:val="both"/>
              <w:rPr>
                <w:rFonts w:eastAsia="Times New Roman"/>
                <w:b/>
                <w:sz w:val="24"/>
                <w:szCs w:val="24"/>
              </w:rPr>
            </w:pPr>
            <w:r w:rsidRPr="00F2588D">
              <w:rPr>
                <w:rFonts w:eastAsia="Times New Roman"/>
                <w:b/>
                <w:sz w:val="24"/>
                <w:szCs w:val="24"/>
              </w:rPr>
              <w:t>Driver/Hypothesis</w:t>
            </w:r>
          </w:p>
        </w:tc>
        <w:tc>
          <w:tcPr>
            <w:tcW w:w="1250" w:type="pct"/>
          </w:tcPr>
          <w:p w14:paraId="71079413" w14:textId="769D235A" w:rsidR="00695F2E" w:rsidRPr="00F2588D" w:rsidRDefault="00695F2E" w:rsidP="00EC14E0">
            <w:pPr>
              <w:widowControl w:val="0"/>
              <w:spacing w:line="480" w:lineRule="auto"/>
              <w:contextualSpacing/>
              <w:jc w:val="both"/>
              <w:rPr>
                <w:rFonts w:eastAsia="Times New Roman"/>
                <w:b/>
                <w:sz w:val="24"/>
                <w:szCs w:val="24"/>
              </w:rPr>
            </w:pPr>
            <w:r>
              <w:rPr>
                <w:rFonts w:eastAsia="Times New Roman"/>
                <w:b/>
                <w:sz w:val="24"/>
                <w:szCs w:val="24"/>
              </w:rPr>
              <w:t>Reference</w:t>
            </w:r>
          </w:p>
        </w:tc>
        <w:tc>
          <w:tcPr>
            <w:tcW w:w="1250" w:type="pct"/>
          </w:tcPr>
          <w:p w14:paraId="3B9C3B64" w14:textId="56A547AC" w:rsidR="00695F2E" w:rsidRDefault="00695F2E" w:rsidP="00EC14E0">
            <w:pPr>
              <w:widowControl w:val="0"/>
              <w:spacing w:line="480" w:lineRule="auto"/>
              <w:contextualSpacing/>
              <w:jc w:val="both"/>
              <w:rPr>
                <w:rFonts w:eastAsia="Times New Roman"/>
                <w:b/>
                <w:sz w:val="24"/>
                <w:szCs w:val="24"/>
              </w:rPr>
            </w:pPr>
            <w:r>
              <w:rPr>
                <w:rFonts w:eastAsia="Times New Roman"/>
                <w:b/>
                <w:sz w:val="24"/>
                <w:szCs w:val="24"/>
              </w:rPr>
              <w:t>Source</w:t>
            </w:r>
          </w:p>
        </w:tc>
      </w:tr>
      <w:tr w:rsidR="00695F2E" w:rsidRPr="00F2588D" w14:paraId="311D4821" w14:textId="739F3BB9" w:rsidTr="00CC27D9">
        <w:trPr>
          <w:trHeight w:val="453"/>
        </w:trPr>
        <w:tc>
          <w:tcPr>
            <w:tcW w:w="1405" w:type="pct"/>
          </w:tcPr>
          <w:p w14:paraId="0A3D8938"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Cod catch-per-unit effort by haul (#/h)</w:t>
            </w:r>
          </w:p>
        </w:tc>
        <w:tc>
          <w:tcPr>
            <w:tcW w:w="1095" w:type="pct"/>
          </w:tcPr>
          <w:p w14:paraId="75C5DB3E"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Increases intraspecific competition</w:t>
            </w:r>
          </w:p>
        </w:tc>
        <w:tc>
          <w:tcPr>
            <w:tcW w:w="1250" w:type="pct"/>
          </w:tcPr>
          <w:p w14:paraId="4278D8AD" w14:textId="654D5A6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{"citationID":"e0dbGnv9","properties":{"formattedCitation":"(Sved\\uc0\\u228{}ng and Hornborg, 2014)","plainCitation":"(Svedäng and Hornborg, 2014)","noteIndex":0},"citationItems":[{"id":156,"uris":["http://zotero.org/users/6116610/items/IDYQ34SF"],"uri":["http://zotero.org/users/6116610/items/IDYQ34SF"],"itemData":{"id":156,"type":"article-journal","abstract":"Over the last decades, views on fisheries management have oscillated between alarm and trust in management progress. The predominant policy for remedying the world fishing crisis aims at maximum sustainable yield (MSY) by adjusting gear selectivity and fishing effort. Here we report a case study on how striving for higher yields from the Eastern Baltic cod stock by increasing selectivity has become exceedingly detrimental for its productivity. Although there is a successive increase in numbers of undersized fish, growth potential is severely reduced, and fishing mortality in fishable size has increased. Once density-dependent growth is introduced, the process is self-enforcing as long as the recruitment remains stable. Our findings suggest that policies focusing on maximum yield while targeting greater sizes are risky and should instead prioritize catch rates over yield. Disregarding the underlying population structure may jeopardize stock productivity, with dire consequences for the fishing industry and ecosystem structure and function.","container-title":"Nature Communications","DOI":"10.1038/ncomms5152","note":"PMID: 24920387","page":"4152","title":"Selective fishing induces density-dependent growth","volume":"5","author":[{"family":"Svedäng","given":"H"},{"family":"Hornborg","given":"S"}],"issued":{"date-parts":[["2014"]]}}}],"schema":"https://github.com/citation-style-language/schema/raw/master/csl-citation.json"} </w:instrText>
            </w:r>
            <w:r w:rsidRPr="00F2588D">
              <w:rPr>
                <w:rFonts w:eastAsia="Times New Roman"/>
                <w:sz w:val="24"/>
                <w:szCs w:val="24"/>
              </w:rPr>
              <w:fldChar w:fldCharType="separate"/>
            </w:r>
            <w:r w:rsidRPr="00F2588D">
              <w:rPr>
                <w:sz w:val="24"/>
                <w:szCs w:val="24"/>
              </w:rPr>
              <w:t>(Svedäng and Hornborg, 2014)</w:t>
            </w:r>
            <w:r w:rsidRPr="00F2588D">
              <w:rPr>
                <w:rFonts w:eastAsia="Times New Roman"/>
                <w:sz w:val="24"/>
                <w:szCs w:val="24"/>
              </w:rPr>
              <w:fldChar w:fldCharType="end"/>
            </w:r>
          </w:p>
        </w:tc>
        <w:tc>
          <w:tcPr>
            <w:tcW w:w="1250" w:type="pct"/>
          </w:tcPr>
          <w:p w14:paraId="3EC32497" w14:textId="46678BCB" w:rsidR="00695F2E" w:rsidRPr="00F2588D" w:rsidRDefault="00806DC7" w:rsidP="00EC14E0">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6E974D07" w14:textId="5F5F7C69" w:rsidTr="00CC27D9">
        <w:trPr>
          <w:trHeight w:val="453"/>
        </w:trPr>
        <w:tc>
          <w:tcPr>
            <w:tcW w:w="1405" w:type="pct"/>
          </w:tcPr>
          <w:p w14:paraId="4B64E750"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Flounder catch-per-unit effort by haul (#/h)</w:t>
            </w:r>
          </w:p>
        </w:tc>
        <w:tc>
          <w:tcPr>
            <w:tcW w:w="1095" w:type="pct"/>
          </w:tcPr>
          <w:p w14:paraId="790AD348"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Increases interspecific competition for benthic food sources</w:t>
            </w:r>
          </w:p>
        </w:tc>
        <w:tc>
          <w:tcPr>
            <w:tcW w:w="1250" w:type="pct"/>
          </w:tcPr>
          <w:p w14:paraId="2F586E96" w14:textId="469C6D86"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fldChar w:fldCharType="begin"/>
            </w:r>
            <w:r w:rsidRPr="00F2588D">
              <w:rPr>
                <w:rFonts w:eastAsia="Times New Roman"/>
                <w:sz w:val="24"/>
                <w:szCs w:val="24"/>
              </w:rPr>
              <w:instrText xml:space="preserve"> ADDIN ZOTERO_ITEM CSL_CITATION {"citationID":"0preW1Pz","properties":{"formattedCitation":"(Neuenfeldt {\\i{}et al.}, 2019; Orio {\\i{}et al.}, 2019)","plainCitation":"(Neuenfeldt et al., 2019; Orio et al., 2019)","noteIndex":0},"citationItems":[{"id":967,"uris":["http://zotero.org/users/6116610/items/K43P9JFL"],"uri":["http://zotero.org/users/6116610/items/K43P9JFL"],"itemData":{"id":967,"type":"article-journal","abstract":"Five decades of stomach content data allowed insight into the development of consumption, diet composition, and resulting somatic growth of Gadus morhua (Atlantic cod) in the eastern Baltic Sea. We show a recent reversal in feeding level over body length. Present feeding levels of small cod indicate severe growth limitation and increased starvation-related mortality. For young cod, the low growth rate and the high mortality rate are manifested through a reduction in size-at-age. The low feeding levels are likely the result of a decrease in benthic prey abundance due to increased hypoxic areas, while decreasing abundances of pelagic species in the area of cod distribution have prevented a compensatory shift in diet. Our study emphasizes that environmental forcing and the decline in pelagic prey caused changes in consumption and growth rates of small cod. The food reduction is ampliﬁed by stunted growth leading to high densities of cod of smaller size competing for the scarce resources. The average growth rate is negative, and only individuals with feeding levels well above average will survive, though growing slowly. These results suggest that the relation between consumption rate, somatic growth and predatorprey population densities is strongly environmentally mediated.","container-title":"ICES Journal of Marine Science","DOI":"10.1093/icesjms/fsz224","ISSN":"1054-3139, 1095-9289","language":"en","page":"fsz224","source":"DOI.org (Crossref)","title":"Feeding and growth of Atlantic cod (Gadus morhua L.) in the eastern Baltic Sea under environmental change","author":[{"family":"Neuenfeldt","given":"Stefan"},{"family":"Bartolino","given":"Valerio"},{"family":"Orio","given":"Alessandro"},{"family":"Andersen","given":"Ken H"},{"family":"Andersen","given":"Niels G"},{"family":"Niiranen","given":"Susa"},{"family":"Bergström","given":"Ulf"},{"family":"Ustups","given":"Didzis"},{"family":"Kulatska","given":"Nataliia"},{"family":"Casini","given":"Michele"}],"editor":[{"family":"Ojaveer","given":"Henn"}],"issued":{"date-parts":[["2019",11,26]]}}},{"id":1946,"uris":["http://zotero.org/users/6116610/items/MR2VKVWS"],"uri":["http://zotero.org/users/6116610/items/MR2VKVWS"],"itemData":{"id":1946,"type":"article-journal","abstract":"Abstract Aim The interdependencies between trophic interactions, environmental factors and anthropogenic forcing determine how species distributions change over time. Large changes in species distributions have occurred as a result of climate change. The objective of this study was to analyse how the spatial distribution of cod and flounder has changed in the Baltic Sea during the past four decades characterized by large hydrological changes. Location Baltic Sea Taxon Cod (Gadus morhua) and flounder (Platichthys flesus). Methods Catch per unit of effort (CPUE) data for adult and juvenile cod and for adult flounder were modelled using Delta-Generalized additive models including environmental and geographical variables between 1979 and 2016. From the annual CPUE predictions for each species, yearly distribution maps and depth distribution curves were obtained. Mean depth and the depth range were estimated to provide an indication on preferred depth and habitat occupancy. Results Adult and juvenile cod showed a contraction in their distribution in the southern areas of the Baltic Sea. Flounder, instead, showed an expansion in its distribution with an increase in abundance in the northern areas. The depth distributions showed a progressive shift of the mean depth of occurrence towards shallower waters for adult cod and flounder and towards deeper waters for juvenile cod, as well as a contraction of the species depth ranges, evident mainly from the late 1980s. Main conclusions Our study illustrates large changes in the spatial distribution of cod and flounder in the Baltic Sea. The changes in depth distribution occurred from the late 1980s are probably due to a combination of expanded areas of hypoxia in deep waters and an increase in predation risk in shallow waters. The net effect of these changes is an increased spatial overlap between life stages and species, which may amplify cod cannibalism and the interaction strength between cod and flounder.","container-title":"Journal of Biogeography","DOI":"10.1111/jbi.13510","ISSN":"0305-0270","issue":"3","journalAbbreviation":"Journal of Biogeography","note":"publisher: John Wiley &amp; Sons, Ltd","page":"633-645","source":"onlinelibrary.wiley.com (Atypon)","title":"Spatial contraction of demersal fish populations in a large marine ecosystem","volume":"46","author":[{"family":"Orio","given":"Alessandro"},{"family":"Bergström","given":"Ulf"},{"family":"Florin","given":"Ann-Britt"},{"family":"Lehmann","given":"Andreas"},{"family":"Šics","given":"Ivo"},{"family":"Casini","given":"Michele"}],"issued":{"date-parts":[["2019",3,1]]}}}],"schema":"https://github.com/citation-style-language/schema/raw/master/csl-citation.json"} </w:instrText>
            </w:r>
            <w:r w:rsidRPr="00F2588D">
              <w:rPr>
                <w:rFonts w:eastAsia="Times New Roman"/>
                <w:sz w:val="24"/>
                <w:szCs w:val="24"/>
              </w:rPr>
              <w:fldChar w:fldCharType="separate"/>
            </w:r>
            <w:r w:rsidRPr="00F2588D">
              <w:rPr>
                <w:sz w:val="24"/>
                <w:szCs w:val="24"/>
              </w:rPr>
              <w:t xml:space="preserve">(Neuenfeldt </w:t>
            </w:r>
            <w:r w:rsidRPr="00F2588D">
              <w:rPr>
                <w:i/>
                <w:iCs/>
                <w:sz w:val="24"/>
                <w:szCs w:val="24"/>
              </w:rPr>
              <w:t>et al.</w:t>
            </w:r>
            <w:r w:rsidRPr="00F2588D">
              <w:rPr>
                <w:sz w:val="24"/>
                <w:szCs w:val="24"/>
              </w:rPr>
              <w:t xml:space="preserve">, 2019; Orio </w:t>
            </w:r>
            <w:r w:rsidRPr="00F2588D">
              <w:rPr>
                <w:i/>
                <w:iCs/>
                <w:sz w:val="24"/>
                <w:szCs w:val="24"/>
              </w:rPr>
              <w:t>et al.</w:t>
            </w:r>
            <w:r w:rsidRPr="00F2588D">
              <w:rPr>
                <w:sz w:val="24"/>
                <w:szCs w:val="24"/>
              </w:rPr>
              <w:t>, 2019)</w:t>
            </w:r>
            <w:r w:rsidRPr="00F2588D">
              <w:rPr>
                <w:rFonts w:eastAsia="Times New Roman"/>
                <w:sz w:val="24"/>
                <w:szCs w:val="24"/>
              </w:rPr>
              <w:fldChar w:fldCharType="end"/>
            </w:r>
          </w:p>
        </w:tc>
        <w:tc>
          <w:tcPr>
            <w:tcW w:w="1250" w:type="pct"/>
          </w:tcPr>
          <w:p w14:paraId="6D34B3E4" w14:textId="30C9B0EC" w:rsidR="00695F2E" w:rsidRPr="00F2588D" w:rsidRDefault="00806DC7" w:rsidP="00EC14E0">
            <w:pPr>
              <w:widowControl w:val="0"/>
              <w:spacing w:line="480" w:lineRule="auto"/>
              <w:contextualSpacing/>
              <w:jc w:val="both"/>
              <w:rPr>
                <w:rFonts w:eastAsia="Times New Roman"/>
                <w:sz w:val="24"/>
                <w:szCs w:val="24"/>
              </w:rPr>
            </w:pPr>
            <w:r>
              <w:rPr>
                <w:rFonts w:eastAsia="Times New Roman"/>
                <w:sz w:val="24"/>
                <w:szCs w:val="24"/>
              </w:rPr>
              <w:t>BITS</w:t>
            </w:r>
          </w:p>
        </w:tc>
      </w:tr>
      <w:tr w:rsidR="00695F2E" w:rsidRPr="00F2588D" w14:paraId="010B4E50" w14:textId="19E61350" w:rsidTr="00CC27D9">
        <w:trPr>
          <w:trHeight w:val="453"/>
        </w:trPr>
        <w:tc>
          <w:tcPr>
            <w:tcW w:w="1405" w:type="pct"/>
          </w:tcPr>
          <w:p w14:paraId="3D72EBE5"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lastRenderedPageBreak/>
              <w:t>Oxygen concentration</w:t>
            </w:r>
          </w:p>
        </w:tc>
        <w:tc>
          <w:tcPr>
            <w:tcW w:w="1095" w:type="pct"/>
          </w:tcPr>
          <w:p w14:paraId="7CD08ED3"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Affects spatial extent of habitat thus inter- and intraspecific competition; direct effect on physiological processes</w:t>
            </w:r>
          </w:p>
        </w:tc>
        <w:tc>
          <w:tcPr>
            <w:tcW w:w="1250" w:type="pct"/>
          </w:tcPr>
          <w:p w14:paraId="68041E4D" w14:textId="13895BB2" w:rsidR="00695F2E" w:rsidRPr="00F2588D" w:rsidRDefault="00695F2E" w:rsidP="00EC14E0">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{"citationID":"EsIP4pf5","properties":{"formattedCitation":"(Casini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2A7FA3AE" w14:textId="4BFCA872" w:rsidR="00695F2E" w:rsidRPr="00F2588D" w:rsidRDefault="00806DC7" w:rsidP="00EC14E0">
            <w:pPr>
              <w:widowControl w:val="0"/>
              <w:spacing w:line="480" w:lineRule="auto"/>
              <w:contextualSpacing/>
              <w:jc w:val="both"/>
              <w:rPr>
                <w:sz w:val="24"/>
                <w:szCs w:val="24"/>
              </w:rPr>
            </w:pPr>
            <w:r>
              <w:rPr>
                <w:sz w:val="24"/>
                <w:szCs w:val="24"/>
              </w:rPr>
              <w:t>CMEMS (</w:t>
            </w:r>
            <w:commentRangeStart w:id="6"/>
            <w:r w:rsidRPr="00806DC7">
              <w:rPr>
                <w:sz w:val="24"/>
                <w:szCs w:val="24"/>
              </w:rPr>
              <w:t>NEMO-Nordic-SCOBI</w:t>
            </w:r>
            <w:commentRangeEnd w:id="6"/>
            <w:r w:rsidR="000919D3">
              <w:rPr>
                <w:rStyle w:val="CommentReference"/>
              </w:rPr>
              <w:commentReference w:id="6"/>
            </w:r>
            <w:r>
              <w:rPr>
                <w:sz w:val="24"/>
                <w:szCs w:val="24"/>
              </w:rPr>
              <w:t>)</w:t>
            </w:r>
          </w:p>
        </w:tc>
      </w:tr>
      <w:tr w:rsidR="00695F2E" w:rsidRPr="00F2588D" w14:paraId="36A9F7D6" w14:textId="7DB705DA" w:rsidTr="00CC27D9">
        <w:trPr>
          <w:trHeight w:val="453"/>
        </w:trPr>
        <w:tc>
          <w:tcPr>
            <w:tcW w:w="1405" w:type="pct"/>
          </w:tcPr>
          <w:p w14:paraId="29C7FA7A"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Sprat abundance per ICES rectangle of haul (#/1° by 30' rectangle)</w:t>
            </w:r>
          </w:p>
        </w:tc>
        <w:tc>
          <w:tcPr>
            <w:tcW w:w="1095" w:type="pct"/>
          </w:tcPr>
          <w:p w14:paraId="77E0E2A0"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09630455" w14:textId="72E85DFD" w:rsidR="00695F2E" w:rsidRPr="00F2588D" w:rsidRDefault="00695F2E" w:rsidP="00EC14E0">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{"citationID":"646V4Oea","properties":{"formattedCitation":"(G\\uc0\\u229{}rdmark {\\i{}et al.}, 2015; Casini {\\i{}et al.}, 2016a)","plainCitation":"(Gårdmark et al., 2015; Casini et al., 2016a)","noteIndex":0},"citationItems":[{"id":810,"uris":["http://zotero.org/users/6116610/items/SJT7RQU9"],"uri":["http://zotero.org/users/6116610/items/SJT7RQU9"],"itemData":{"id":810,"type":"article-journal","container-title":"Philosophical Transactions of the Royal Society B: Biological Sciences","DOI":"10.1098/rstb.2013.0262","ISSN":"0962-8436, 1471-2970","issue":"1659","journalAbbreviation":"Phil. Trans. R. Soc. B","language":"en","page":"20130262","source":"DOI.org (Crossref)","title":"Regime shifts in exploited marine food webs: detecting mechanisms underlying alternative stable states using size-structured community dynamics theory","title-short":"Regime shifts in exploited marine food webs","volume":"370","author":[{"family":"Gårdmark","given":"Anna"},{"family":"Casini","given":"Michele"},{"family":"Huss","given":"Magnus"},{"family":"Leeuwen","given":"Anieke","non-dropping-particle":"van"},{"family":"Hjelm","given":"Joakim"},{"family":"Persson","given":"Lennart"},{"family":"Roos","given":"André M.","non-dropping-particle":"de"}],"issued":{"date-parts":[["2015",1,5]]}}},{"id":794,"uris":["http://zotero.org/users/6116610/items/39XLSPWN"],"uri":["http://zotero.org/users/6116610/items/39XLSPWN"],"itemData":{"id":794,"type":"article-journal","abstract":"Investigating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(Gårdmark </w:t>
            </w:r>
            <w:r w:rsidRPr="00F2588D">
              <w:rPr>
                <w:i/>
                <w:iCs/>
                <w:sz w:val="24"/>
                <w:szCs w:val="24"/>
              </w:rPr>
              <w:t>et al.</w:t>
            </w:r>
            <w:r w:rsidRPr="00F2588D">
              <w:rPr>
                <w:sz w:val="24"/>
                <w:szCs w:val="24"/>
              </w:rPr>
              <w:t xml:space="preserve">, 2015; 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71686C83" w14:textId="7B71ECF0" w:rsidR="00695F2E" w:rsidRPr="00F2588D" w:rsidRDefault="000919D3" w:rsidP="00EC14E0">
            <w:pPr>
              <w:widowControl w:val="0"/>
              <w:spacing w:line="480" w:lineRule="auto"/>
              <w:contextualSpacing/>
              <w:jc w:val="both"/>
              <w:rPr>
                <w:sz w:val="24"/>
                <w:szCs w:val="24"/>
              </w:rPr>
            </w:pPr>
            <w:r>
              <w:rPr>
                <w:sz w:val="24"/>
                <w:szCs w:val="24"/>
              </w:rPr>
              <w:t>BIAS</w:t>
            </w:r>
          </w:p>
        </w:tc>
      </w:tr>
      <w:tr w:rsidR="00695F2E" w:rsidRPr="00F2588D" w14:paraId="182315EF" w14:textId="4E17C238" w:rsidTr="00CC27D9">
        <w:trPr>
          <w:trHeight w:val="453"/>
        </w:trPr>
        <w:tc>
          <w:tcPr>
            <w:tcW w:w="1405" w:type="pct"/>
          </w:tcPr>
          <w:p w14:paraId="3195A71B"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Herring abundance per ICES rectangle of haul (#/1° by 30' rectangle)</w:t>
            </w:r>
          </w:p>
        </w:tc>
        <w:tc>
          <w:tcPr>
            <w:tcW w:w="1095" w:type="pct"/>
          </w:tcPr>
          <w:p w14:paraId="553892E5" w14:textId="77777777" w:rsidR="00695F2E" w:rsidRPr="00F2588D" w:rsidRDefault="00695F2E" w:rsidP="00EC14E0">
            <w:pPr>
              <w:widowControl w:val="0"/>
              <w:spacing w:line="480" w:lineRule="auto"/>
              <w:contextualSpacing/>
              <w:jc w:val="both"/>
              <w:rPr>
                <w:rFonts w:eastAsia="Times New Roman"/>
                <w:sz w:val="24"/>
                <w:szCs w:val="24"/>
              </w:rPr>
            </w:pPr>
            <w:r w:rsidRPr="00F2588D">
              <w:rPr>
                <w:rFonts w:eastAsia="Times New Roman"/>
                <w:sz w:val="24"/>
                <w:szCs w:val="24"/>
              </w:rPr>
              <w:t>Increases food levels for piscivorous cod</w:t>
            </w:r>
          </w:p>
        </w:tc>
        <w:tc>
          <w:tcPr>
            <w:tcW w:w="1250" w:type="pct"/>
          </w:tcPr>
          <w:p w14:paraId="76683E18" w14:textId="69A0A8A1" w:rsidR="00695F2E" w:rsidRPr="00F2588D" w:rsidRDefault="00695F2E" w:rsidP="00EC14E0">
            <w:pPr>
              <w:widowControl w:val="0"/>
              <w:spacing w:line="480" w:lineRule="auto"/>
              <w:contextualSpacing/>
              <w:jc w:val="both"/>
              <w:rPr>
                <w:sz w:val="24"/>
                <w:szCs w:val="24"/>
              </w:rPr>
            </w:pPr>
            <w:r w:rsidRPr="00F2588D">
              <w:rPr>
                <w:sz w:val="24"/>
                <w:szCs w:val="24"/>
              </w:rPr>
              <w:fldChar w:fldCharType="begin"/>
            </w:r>
            <w:r w:rsidRPr="00F2588D">
              <w:rPr>
                <w:sz w:val="24"/>
                <w:szCs w:val="24"/>
              </w:rPr>
              <w:instrText xml:space="preserve"> ADDIN ZOTERO_ITEM CSL_CITATION {"citationID":"T1AuQJjs","properties":{"formattedCitation":"(Casini {\\i{}et al.}, 2016a)","plainCitation":"(Casini et al., 2016a)","noteIndex":0},"citationItems":[{"id":794,"uris":["http://zotero.org/users/6116610/items/39XLSPWN"],"uri":["http://zotero.org/users/6116610/items/39XLSPWN"],"itemData":{"id":794,"type":"article-journal","abstract":"Investigating the factors regulating fish condition is crucial in ecology and the management of exploited fish populations. The body condition of cod (Gadus morhua) in the Baltic Sea has dramatically decreased during the past two decades, with large implications for the fishery relying on this resource. Here, we statistically investigated the potential drivers of the Baltic cod condition during the past 40 years using newly compiled fishery-independent biological data and hydrological observations. We evidenced a combination of different factors operating before and after the ecological regime shift that occurred in the Baltic Sea in the early 1990s. The changes in cod condition related to feeding opportunities, driven either by density-dependence or food limitation, along the whole period investigated and to the fivefold increase in the extent of hypoxic areas in the most recent 20 years. Hypoxic areas can act on cod condition through different mechanisms related directly to species physiology, or indirectly to behaviour and trophic interactions. Our analyses found statistical evidence for an effect of the hypoxia-induced habitat compression on cod condition possibly operating via crowding and density-dependent processes. These results furnish novel insights into the population dynamics of Baltic Sea cod that can aid the management of this currently threatened population.","container-title":"Royal Society Open Science","DOI":"10.1098/rsos.160416","issue":"10","journalAbbreviation":"Royal Society Open Science","page":"160416","source":"royalsocietypublishing.org (Atypon)","title":"Hypoxic areas, density-dependence and food limitation drive the body condition of a heavily exploited marine fish predator","volume":"3","author":[{"family":"Casini","given":"Michele"},{"family":"Käll","given":"Filip"},{"family":"Hansson","given":"Martin"},{"family":"Plikshs","given":"Maris"},{"family":"Baranova","given":"Tatjana"},{"family":"Karlsson","given":"Olle"},{"family":"Lundström","given":"Karl"},{"family":"Neuenfeldt","given":"Stefan"},{"family":"Gårdmark","given":"Anna"},{"family":"Hjelm","given":"Joakim"}],"issued":{"date-parts":[["2016"]]}}}],"schema":"https://github.com/citation-style-language/schema/raw/master/csl-citation.json"} </w:instrText>
            </w:r>
            <w:r w:rsidRPr="00F2588D">
              <w:rPr>
                <w:sz w:val="24"/>
                <w:szCs w:val="24"/>
              </w:rPr>
              <w:fldChar w:fldCharType="separate"/>
            </w:r>
            <w:r w:rsidRPr="00F2588D">
              <w:rPr>
                <w:sz w:val="24"/>
                <w:szCs w:val="24"/>
              </w:rPr>
              <w:t xml:space="preserve">(Casini </w:t>
            </w:r>
            <w:r w:rsidRPr="00F2588D">
              <w:rPr>
                <w:i/>
                <w:iCs/>
                <w:sz w:val="24"/>
                <w:szCs w:val="24"/>
              </w:rPr>
              <w:t>et al.</w:t>
            </w:r>
            <w:r w:rsidRPr="00F2588D">
              <w:rPr>
                <w:sz w:val="24"/>
                <w:szCs w:val="24"/>
              </w:rPr>
              <w:t>, 2016a)</w:t>
            </w:r>
            <w:r w:rsidRPr="00F2588D">
              <w:rPr>
                <w:sz w:val="24"/>
                <w:szCs w:val="24"/>
              </w:rPr>
              <w:fldChar w:fldCharType="end"/>
            </w:r>
          </w:p>
        </w:tc>
        <w:tc>
          <w:tcPr>
            <w:tcW w:w="1250" w:type="pct"/>
          </w:tcPr>
          <w:p w14:paraId="0082B617" w14:textId="5C3DD513" w:rsidR="00695F2E" w:rsidRPr="00F2588D" w:rsidRDefault="000919D3" w:rsidP="00EC14E0">
            <w:pPr>
              <w:widowControl w:val="0"/>
              <w:spacing w:line="480" w:lineRule="auto"/>
              <w:contextualSpacing/>
              <w:jc w:val="both"/>
              <w:rPr>
                <w:sz w:val="24"/>
                <w:szCs w:val="24"/>
              </w:rPr>
            </w:pPr>
            <w:r>
              <w:rPr>
                <w:sz w:val="24"/>
                <w:szCs w:val="24"/>
              </w:rPr>
              <w:t>BIAS</w:t>
            </w:r>
          </w:p>
        </w:tc>
      </w:tr>
    </w:tbl>
    <w:p w14:paraId="150D2501" w14:textId="77777777" w:rsidR="00736FF5" w:rsidRPr="00F2588D" w:rsidRDefault="00736FF5" w:rsidP="00EC14E0">
      <w:pPr>
        <w:shd w:val="clear" w:color="auto" w:fill="FFFFFF"/>
        <w:spacing w:after="160" w:line="480" w:lineRule="auto"/>
        <w:ind w:left="720"/>
        <w:contextualSpacing/>
        <w:rPr>
          <w:rFonts w:eastAsia="Times New Roman"/>
          <w:sz w:val="24"/>
          <w:szCs w:val="24"/>
        </w:rPr>
      </w:pPr>
    </w:p>
    <w:p w14:paraId="34514D2A" w14:textId="77777777" w:rsidR="00736FF5" w:rsidRPr="00F2588D" w:rsidRDefault="00401B29" w:rsidP="00EC14E0">
      <w:pPr>
        <w:spacing w:line="480" w:lineRule="auto"/>
        <w:contextualSpacing/>
        <w:jc w:val="both"/>
        <w:rPr>
          <w:rFonts w:eastAsia="Times New Roman"/>
          <w:i/>
          <w:sz w:val="24"/>
          <w:szCs w:val="24"/>
        </w:rPr>
      </w:pPr>
      <w:commentRangeStart w:id="7"/>
      <w:r w:rsidRPr="00F2588D">
        <w:rPr>
          <w:rFonts w:eastAsia="Times New Roman"/>
          <w:i/>
          <w:sz w:val="24"/>
          <w:szCs w:val="24"/>
        </w:rPr>
        <w:t>Model description</w:t>
      </w:r>
      <w:commentRangeEnd w:id="7"/>
      <w:r w:rsidR="00D901E7">
        <w:rPr>
          <w:rStyle w:val="CommentReference"/>
        </w:rPr>
        <w:commentReference w:id="7"/>
      </w:r>
    </w:p>
    <w:p w14:paraId="2E0A07C5" w14:textId="252B1E3E"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 xml:space="preserve">In fishes, weight is typically assumed to vary log-normally around an average allometric function of length: </w:t>
      </w:r>
      <m:oMath>
        <m:r>
          <w:rPr>
            <w:rFonts w:ascii="Cambria Math" w:eastAsia="Times New Roman" w:hAnsi="Cambria Math"/>
            <w:sz w:val="24"/>
            <w:szCs w:val="24"/>
          </w:rPr>
          <m:t>w=a</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Pr="00F2588D">
        <w:rPr>
          <w:rFonts w:eastAsia="Times New Roman"/>
          <w:sz w:val="24"/>
          <w:szCs w:val="24"/>
        </w:rPr>
        <w:t xml:space="preserve">, where </w:t>
      </w:r>
      <m:oMath>
        <m:r>
          <w:rPr>
            <w:rFonts w:ascii="Cambria Math" w:eastAsia="Times New Roman" w:hAnsi="Cambria Math"/>
            <w:sz w:val="24"/>
            <w:szCs w:val="24"/>
          </w:rPr>
          <m:t>w</m:t>
        </m:r>
      </m:oMath>
      <w:r w:rsidRPr="00F2588D">
        <w:rPr>
          <w:rFonts w:eastAsia="Times New Roman"/>
          <w:i/>
          <w:sz w:val="24"/>
          <w:szCs w:val="24"/>
        </w:rPr>
        <w:t xml:space="preserve"> </w:t>
      </w:r>
      <w:r w:rsidRPr="00F2588D">
        <w:rPr>
          <w:rFonts w:eastAsia="Times New Roman"/>
          <w:sz w:val="24"/>
          <w:szCs w:val="24"/>
        </w:rPr>
        <w:t xml:space="preserve">is weight in grams, </w:t>
      </w:r>
      <m:oMath>
        <m:r>
          <w:rPr>
            <w:rFonts w:ascii="Cambria Math" w:eastAsia="Times New Roman" w:hAnsi="Cambria Math"/>
            <w:sz w:val="24"/>
            <w:szCs w:val="24"/>
          </w:rPr>
          <m:t>l</m:t>
        </m:r>
      </m:oMath>
      <w:r w:rsidRPr="00F2588D">
        <w:rPr>
          <w:rFonts w:eastAsia="Times New Roman"/>
          <w:i/>
          <w:sz w:val="24"/>
          <w:szCs w:val="24"/>
        </w:rPr>
        <w:t xml:space="preserve"> </w:t>
      </w:r>
      <w:r w:rsidRPr="00F2588D">
        <w:rPr>
          <w:rFonts w:eastAsia="Times New Roman"/>
          <w:sz w:val="24"/>
          <w:szCs w:val="24"/>
        </w:rPr>
        <w:t xml:space="preserve">is length in cm, </w:t>
      </w:r>
      <m:oMath>
        <m:r>
          <w:rPr>
            <w:rFonts w:ascii="Cambria Math" w:eastAsia="Times New Roman" w:hAnsi="Cambria Math"/>
            <w:sz w:val="24"/>
            <w:szCs w:val="24"/>
          </w:rPr>
          <m:t>b</m:t>
        </m:r>
      </m:oMath>
      <w:r w:rsidRPr="00F2588D">
        <w:rPr>
          <w:rFonts w:eastAsia="Times New Roman"/>
          <w:i/>
          <w:sz w:val="24"/>
          <w:szCs w:val="24"/>
        </w:rPr>
        <w:t xml:space="preserve"> </w:t>
      </w:r>
      <w:r w:rsidRPr="00F2588D">
        <w:rPr>
          <w:rFonts w:eastAsia="Times New Roman"/>
          <w:sz w:val="24"/>
          <w:szCs w:val="24"/>
        </w:rPr>
        <w:t xml:space="preserve">is the allometric length exponent and </w:t>
      </w:r>
      <m:oMath>
        <m:r>
          <w:rPr>
            <w:rFonts w:ascii="Cambria Math" w:eastAsia="Times New Roman" w:hAnsi="Cambria Math"/>
            <w:sz w:val="24"/>
            <w:szCs w:val="24"/>
          </w:rPr>
          <m:t>a</m:t>
        </m:r>
      </m:oMath>
      <w:r w:rsidRPr="00F2588D">
        <w:rPr>
          <w:rFonts w:eastAsia="Times New Roman"/>
          <w:i/>
          <w:sz w:val="24"/>
          <w:szCs w:val="24"/>
        </w:rPr>
        <w:t xml:space="preserve"> </w:t>
      </w:r>
      <w:r w:rsidRPr="00F2588D">
        <w:rPr>
          <w:rFonts w:eastAsia="Times New Roman"/>
          <w:sz w:val="24"/>
          <w:szCs w:val="24"/>
        </w:rPr>
        <w:t xml:space="preserve">is the condition factor in unit </w:t>
      </w:r>
      <m:oMath>
        <m:r>
          <w:rPr>
            <w:rFonts w:ascii="Cambria Math" w:eastAsia="Times New Roman" w:hAnsi="Cambria Math"/>
            <w:sz w:val="24"/>
            <w:szCs w:val="24"/>
          </w:rPr>
          <m:t>g/</m:t>
        </m:r>
        <m:sSup>
          <m:sSupPr>
            <m:ctrlPr>
              <w:rPr>
                <w:rFonts w:ascii="Cambria Math" w:eastAsia="Times New Roman" w:hAnsi="Cambria Math"/>
                <w:i/>
                <w:sz w:val="24"/>
                <w:szCs w:val="24"/>
              </w:rPr>
            </m:ctrlPr>
          </m:sSupPr>
          <m:e>
            <m:r>
              <w:rPr>
                <w:rFonts w:ascii="Cambria Math" w:eastAsia="Times New Roman" w:hAnsi="Cambria Math"/>
                <w:sz w:val="24"/>
                <w:szCs w:val="24"/>
              </w:rPr>
              <m:t>l</m:t>
            </m:r>
          </m:e>
          <m:sup>
            <m:r>
              <w:rPr>
                <w:rFonts w:ascii="Cambria Math" w:eastAsia="Times New Roman" w:hAnsi="Cambria Math"/>
                <w:sz w:val="24"/>
                <w:szCs w:val="24"/>
              </w:rPr>
              <m:t>b</m:t>
            </m:r>
          </m:sup>
        </m:sSup>
      </m:oMath>
      <w:r w:rsidR="00717ED9" w:rsidRPr="00F2588D">
        <w:rPr>
          <w:rFonts w:eastAsia="Times New Roman"/>
          <w:sz w:val="24"/>
          <w:szCs w:val="24"/>
        </w:rPr>
        <w:t xml:space="preserve"> </w:t>
      </w:r>
      <w:r w:rsidR="00C55E99" w:rsidRPr="00F2588D">
        <w:rPr>
          <w:rFonts w:eastAsia="Times New Roman"/>
          <w:sz w:val="24"/>
          <w:szCs w:val="24"/>
        </w:rPr>
        <w:fldChar w:fldCharType="begin"/>
      </w:r>
      <w:r w:rsidR="00C55E99" w:rsidRPr="00F2588D">
        <w:rPr>
          <w:rFonts w:eastAsia="Times New Roman"/>
          <w:sz w:val="24"/>
          <w:szCs w:val="24"/>
        </w:rPr>
        <w:instrText xml:space="preserve"> ADDIN ZOTERO_ITEM CSL_CITATION {"citationID":"oC0h1cvG","properties":{"formattedCitation":"(Froese {\\i{}et al.}, 2014)","plainCitation":"(Froese et al., 2014)","noteIndex":0},"citationItems":[{"id":20,"uris":["http://zotero.org/users/6116610/items/TX4ACKR6"],"uri":["http://zotero.org/users/6116610/items/TX4ACKR6"],"itemData":{"id":20,"type":"article-journal","abstract":"A Bayesian hierarchical approach is presented for the estimation of length-weight relationships (LWR) in ﬁshes. In particular, estimates are provided for the LWR parameters a and b in general as well as by body shape. These priors and existing LWR studies were used to derive species-speciﬁc LWR parameters. In the case of data-poor species, the analysis includes LWR studies of closely related species with the same body shape. This approach yielded LWR parameter estimates with measures of uncertainty for practically all known 32 000 species of ﬁshes. Provided is a large LWR data set extracted from www.ﬁshbase.org, the source code of the respective analyses, and ready-to-use tools for practitioners. This is presented as an example of a self-learning online database where the addition of new studies improves the species-speciﬁc parameter estimates, and where these parameter estimates inform the analysis of new data.","container-title":"Journal of Applied Ichthyology","DOI":"10.1111/jai.12299","ISSN":"01758659","issue":"1","language":"en","page":"78-85","source":"Crossref","title":"A Bayesian approach for estimating length-weight relationships in fishes","volume":"30","author":[{"family":"Froese","given":"R."},{"family":"Thorson","given":"J. T."},{"family":"Reyes","given":"R. B."}],"issued":{"date-parts":[["2014",2]]}}}],"schema":"https://github.com/citation-style-language/schema/raw/master/csl-citation.json"} </w:instrText>
      </w:r>
      <w:r w:rsidR="00C55E99" w:rsidRPr="00F2588D">
        <w:rPr>
          <w:rFonts w:eastAsia="Times New Roman"/>
          <w:sz w:val="24"/>
          <w:szCs w:val="24"/>
        </w:rPr>
        <w:fldChar w:fldCharType="separate"/>
      </w:r>
      <w:r w:rsidR="00C55E99" w:rsidRPr="00F2588D">
        <w:rPr>
          <w:sz w:val="24"/>
          <w:szCs w:val="24"/>
        </w:rPr>
        <w:t xml:space="preserve">(Froese </w:t>
      </w:r>
      <w:r w:rsidR="00C55E99" w:rsidRPr="00F2588D">
        <w:rPr>
          <w:i/>
          <w:iCs/>
          <w:sz w:val="24"/>
          <w:szCs w:val="24"/>
        </w:rPr>
        <w:t>et al.</w:t>
      </w:r>
      <w:r w:rsidR="00C55E99" w:rsidRPr="00F2588D">
        <w:rPr>
          <w:sz w:val="24"/>
          <w:szCs w:val="24"/>
        </w:rPr>
        <w:t>, 2014)</w:t>
      </w:r>
      <w:r w:rsidR="00C55E99" w:rsidRPr="00F2588D">
        <w:rPr>
          <w:rFonts w:eastAsia="Times New Roman"/>
          <w:sz w:val="24"/>
          <w:szCs w:val="24"/>
        </w:rPr>
        <w:fldChar w:fldCharType="end"/>
      </w:r>
      <w:r w:rsidRPr="00F2588D">
        <w:rPr>
          <w:rFonts w:eastAsia="Times New Roman"/>
          <w:sz w:val="24"/>
          <w:szCs w:val="24"/>
        </w:rPr>
        <w:t xml:space="preserve">. Typically this relationship is linearized by taking logs on both sides: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(w)</m:t>
            </m:r>
          </m:e>
        </m:func>
        <m:r>
          <w:rPr>
            <w:rFonts w:ascii="Cambria Math" w:eastAsia="Times New Roman" w:hAnsi="Cambria Math"/>
            <w:sz w:val="24"/>
            <w:szCs w:val="24"/>
          </w:rPr>
          <m:t>=a+b</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Pr="00F2588D">
        <w:rPr>
          <w:rFonts w:eastAsia="Times New Roman"/>
          <w:sz w:val="24"/>
          <w:szCs w:val="24"/>
        </w:rPr>
        <w:t>. Le Cren’s condition index is defined as the residuals from this length-weight relationship. We model this individual-level relationship with a spatiotemporal GLMM of the form:</w:t>
      </w:r>
    </w:p>
    <w:p w14:paraId="51D8DD4B" w14:textId="0136F411" w:rsidR="00736FF5" w:rsidRPr="00F2588D" w:rsidRDefault="000D3097" w:rsidP="00EC14E0">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w</m:t>
                </m:r>
              </m:e>
              <m:sub>
                <m:r>
                  <w:rPr>
                    <w:rFonts w:ascii="Cambria Math" w:eastAsia="Times New Roman" w:hAnsi="Cambria Math"/>
                    <w:sz w:val="24"/>
                    <w:szCs w:val="24"/>
                  </w:rPr>
                  <m:t>s,t</m:t>
                </m:r>
              </m:sub>
            </m:sSub>
            <m:r>
              <w:rPr>
                <w:rFonts w:ascii="Cambria Math" w:eastAsia="Times New Roman" w:hAnsi="Cambria Math"/>
                <w:sz w:val="24"/>
                <w:szCs w:val="24"/>
              </w:rPr>
              <m:t>)</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r>
          <w:rPr>
            <w:rFonts w:ascii="Cambria Math" w:eastAsia="Times New Roman" w:hAnsi="Cambria Math"/>
            <w:sz w:val="24"/>
            <w:szCs w:val="24"/>
          </w:rPr>
          <m:t>+β</m:t>
        </m:r>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(l)</m:t>
            </m:r>
          </m:e>
        </m:func>
      </m:oMath>
      <w:r w:rsidR="00401B29" w:rsidRPr="00F2588D">
        <w:rPr>
          <w:rFonts w:eastAsia="Times New Roman"/>
          <w:sz w:val="24"/>
          <w:szCs w:val="24"/>
        </w:rPr>
        <w:t xml:space="preserve">                 (1)</w:t>
      </w:r>
    </w:p>
    <w:p w14:paraId="07AE6017" w14:textId="061499BD"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 xml:space="preserve">Where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0</m:t>
            </m:r>
          </m:sub>
        </m:sSub>
      </m:oMath>
      <w:r w:rsidRPr="00F2588D">
        <w:rPr>
          <w:rFonts w:eastAsia="Times New Roman"/>
          <w:sz w:val="24"/>
          <w:szCs w:val="24"/>
        </w:rPr>
        <w:t xml:space="preserve"> is the female condition factor,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m</m:t>
            </m:r>
          </m:sub>
        </m:sSub>
      </m:oMath>
      <w:r w:rsidRPr="00F2588D">
        <w:rPr>
          <w:rFonts w:eastAsia="Times New Roman"/>
          <w:sz w:val="24"/>
          <w:szCs w:val="24"/>
        </w:rPr>
        <w:t xml:space="preserve"> is the offset for males and </w:t>
      </w:r>
      <m:oMath>
        <m:sSub>
          <m:sSubPr>
            <m:ctrlPr>
              <w:rPr>
                <w:rFonts w:ascii="Cambria Math" w:eastAsia="Times New Roman" w:hAnsi="Cambria Math"/>
                <w:sz w:val="24"/>
                <w:szCs w:val="24"/>
              </w:rPr>
            </m:ctrlPr>
          </m:sSubPr>
          <m:e>
            <m:r>
              <w:rPr>
                <w:rFonts w:ascii="Cambria Math" w:hAnsi="Cambria Math"/>
                <w:sz w:val="24"/>
                <w:szCs w:val="24"/>
              </w:rPr>
              <m:t>α</m:t>
            </m:r>
          </m:e>
          <m:sub>
            <m:r>
              <w:rPr>
                <w:rFonts w:ascii="Cambria Math" w:eastAsia="Times New Roman" w:hAnsi="Cambria Math"/>
                <w:sz w:val="24"/>
                <w:szCs w:val="24"/>
              </w:rPr>
              <m:t>u</m:t>
            </m:r>
          </m:sub>
        </m:sSub>
      </m:oMath>
      <w:r w:rsidRPr="00F2588D">
        <w:rPr>
          <w:rFonts w:eastAsia="Times New Roman"/>
          <w:sz w:val="24"/>
          <w:szCs w:val="24"/>
        </w:rPr>
        <w:t xml:space="preserve"> for unsexed individuals. </w:t>
      </w:r>
      <m:oMath>
        <m:sSub>
          <m:sSubPr>
            <m:ctrlPr>
              <w:rPr>
                <w:rFonts w:ascii="Cambria Math" w:eastAsia="Times New Roman" w:hAnsi="Cambria Math"/>
                <w:sz w:val="24"/>
                <w:szCs w:val="24"/>
              </w:rPr>
            </m:ctrlPr>
          </m:sSubPr>
          <m:e>
            <m:r>
              <w:rPr>
                <w:rFonts w:ascii="Cambria Math" w:hAnsi="Cambria Math"/>
                <w:sz w:val="24"/>
                <w:szCs w:val="24"/>
              </w:rPr>
              <m:t>ω</m:t>
            </m:r>
          </m:e>
          <m:sub>
            <m:r>
              <w:rPr>
                <w:rFonts w:ascii="Cambria Math" w:eastAsia="Times New Roman" w:hAnsi="Cambria Math"/>
                <w:sz w:val="24"/>
                <w:szCs w:val="24"/>
              </w:rPr>
              <m:t>s</m:t>
            </m:r>
          </m:sub>
        </m:sSub>
      </m:oMath>
      <w:r w:rsidRPr="00F2588D">
        <w:rPr>
          <w:rFonts w:eastAsia="Times New Roman"/>
          <w:sz w:val="24"/>
          <w:szCs w:val="24"/>
        </w:rPr>
        <w:t xml:space="preserve"> and </w:t>
      </w:r>
      <m:oMath>
        <m:sSub>
          <m:sSubPr>
            <m:ctrlPr>
              <w:rPr>
                <w:rFonts w:ascii="Cambria Math" w:eastAsia="Times New Roman" w:hAnsi="Cambria Math"/>
                <w:sz w:val="24"/>
                <w:szCs w:val="24"/>
              </w:rPr>
            </m:ctrlPr>
          </m:sSubPr>
          <m:e>
            <m:r>
              <w:rPr>
                <w:rFonts w:ascii="Cambria Math" w:hAnsi="Cambria Math"/>
                <w:sz w:val="24"/>
                <w:szCs w:val="24"/>
              </w:rPr>
              <m:t>ϵ</m:t>
            </m:r>
          </m:e>
          <m:sub>
            <m:r>
              <w:rPr>
                <w:rFonts w:ascii="Cambria Math" w:eastAsia="Times New Roman" w:hAnsi="Cambria Math"/>
                <w:sz w:val="24"/>
                <w:szCs w:val="24"/>
              </w:rPr>
              <m:t>s,t</m:t>
            </m:r>
          </m:sub>
        </m:sSub>
      </m:oMath>
      <w:r w:rsidRPr="00F2588D">
        <w:rPr>
          <w:rFonts w:eastAsia="Times New Roman"/>
          <w:sz w:val="24"/>
          <w:szCs w:val="24"/>
        </w:rPr>
        <w:t xml:space="preserve"> represent spatial and spatiotemporal random effects, respectively. </w:t>
      </w:r>
      <m:oMath>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oMath>
      <w:r w:rsidRPr="00F2588D">
        <w:rPr>
          <w:rFonts w:eastAsia="Times New Roman"/>
          <w:b/>
          <w:i/>
          <w:sz w:val="24"/>
          <w:szCs w:val="24"/>
        </w:rPr>
        <w:t xml:space="preserve"> </w:t>
      </w:r>
      <w:r w:rsidRPr="00F2588D">
        <w:rPr>
          <w:rFonts w:eastAsia="Times New Roman"/>
          <w:sz w:val="24"/>
          <w:szCs w:val="24"/>
        </w:rPr>
        <w:lastRenderedPageBreak/>
        <w:t xml:space="preserve">is a matrix of </w:t>
      </w:r>
      <m:oMath>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oMath>
      <w:r w:rsidRPr="00F2588D">
        <w:rPr>
          <w:rFonts w:eastAsia="Times New Roman"/>
          <w:i/>
          <w:sz w:val="24"/>
          <w:szCs w:val="24"/>
        </w:rPr>
        <w:t xml:space="preserve"> </w:t>
      </w:r>
      <w:r w:rsidRPr="00F2588D">
        <w:rPr>
          <w:rFonts w:eastAsia="Times New Roman"/>
          <w:sz w:val="24"/>
          <w:szCs w:val="24"/>
        </w:rPr>
        <w:t xml:space="preserve">measured </w:t>
      </w:r>
      <w:r w:rsidRPr="00F2588D">
        <w:rPr>
          <w:rFonts w:eastAsia="Times New Roman"/>
          <w:i/>
          <w:sz w:val="24"/>
          <w:szCs w:val="24"/>
        </w:rPr>
        <w:t>additional</w:t>
      </w:r>
      <w:r w:rsidRPr="00F2588D">
        <w:rPr>
          <w:rFonts w:eastAsia="Times New Roman"/>
          <w:sz w:val="24"/>
          <w:szCs w:val="24"/>
        </w:rPr>
        <w:t xml:space="preserve"> covariates and </w:t>
      </w:r>
      <m:oMath>
        <m:sSub>
          <m:sSubPr>
            <m:ctrlPr>
              <w:rPr>
                <w:rFonts w:ascii="Cambria Math" w:eastAsia="Times New Roman" w:hAnsi="Cambria Math"/>
                <w:b/>
                <w:bCs/>
                <w:sz w:val="24"/>
                <w:szCs w:val="24"/>
              </w:rPr>
            </m:ctrlPr>
          </m:sSubPr>
          <m:e>
            <m:r>
              <m:rPr>
                <m:sty m:val="bi"/>
              </m:rPr>
              <w:rPr>
                <w:rFonts w:ascii="Cambria Math" w:hAnsi="Cambria Math"/>
                <w:sz w:val="24"/>
                <w:szCs w:val="24"/>
              </w:rPr>
              <m:t>γ</m:t>
            </m:r>
          </m:e>
          <m:sub>
            <m:r>
              <m:rPr>
                <m:sty m:val="bi"/>
              </m:rPr>
              <w:rPr>
                <w:rFonts w:ascii="Cambria Math" w:eastAsia="Times New Roman" w:hAnsi="Cambria Math"/>
                <w:sz w:val="24"/>
                <w:szCs w:val="24"/>
              </w:rPr>
              <m:t>k</m:t>
            </m:r>
          </m:sub>
        </m:sSub>
      </m:oMath>
      <w:r w:rsidRPr="00F2588D">
        <w:rPr>
          <w:rFonts w:eastAsia="Times New Roman"/>
          <w:sz w:val="24"/>
          <w:szCs w:val="24"/>
        </w:rPr>
        <w:t xml:space="preserve"> is the effect of the </w:t>
      </w:r>
      <m:oMath>
        <m:r>
          <w:rPr>
            <w:rFonts w:ascii="Cambria Math" w:eastAsia="Times New Roman" w:hAnsi="Cambria Math"/>
            <w:sz w:val="24"/>
            <w:szCs w:val="24"/>
          </w:rPr>
          <m:t>k</m:t>
        </m:r>
      </m:oMath>
      <w:r w:rsidRPr="00F2588D">
        <w:rPr>
          <w:rFonts w:eastAsia="Times New Roman"/>
          <w:sz w:val="24"/>
          <w:szCs w:val="24"/>
        </w:rPr>
        <w:t xml:space="preserve">-th additional covariate. </w:t>
      </w:r>
      <m:oMath>
        <m:r>
          <w:rPr>
            <w:rFonts w:ascii="Cambria Math" w:hAnsi="Cambria Math"/>
            <w:sz w:val="24"/>
            <w:szCs w:val="24"/>
          </w:rPr>
          <m:t>β</m:t>
        </m:r>
      </m:oMath>
      <w:r w:rsidR="003A002E" w:rsidRPr="00F2588D">
        <w:rPr>
          <w:rFonts w:eastAsia="Times New Roman"/>
          <w:sz w:val="24"/>
          <w:szCs w:val="24"/>
        </w:rPr>
        <w:t xml:space="preserve"> </w:t>
      </w:r>
      <w:r w:rsidRPr="00F2588D">
        <w:rPr>
          <w:rFonts w:eastAsia="Times New Roman"/>
          <w:sz w:val="24"/>
          <w:szCs w:val="24"/>
        </w:rPr>
        <w:t>is the length-coefficient, corresponding to the allometric exponent. The spatial random effects are assumed to be drawn from a multivariate normal distribution:</w:t>
      </w:r>
    </w:p>
    <w:p w14:paraId="47A8FDAA" w14:textId="4B93FF4E" w:rsidR="00736FF5" w:rsidRPr="00F2588D" w:rsidRDefault="00401B29" w:rsidP="00EC14E0">
      <w:pPr>
        <w:spacing w:line="480" w:lineRule="auto"/>
        <w:contextualSpacing/>
        <w:jc w:val="right"/>
        <w:rPr>
          <w:rFonts w:eastAsia="Times New Roman"/>
          <w:sz w:val="24"/>
          <w:szCs w:val="24"/>
        </w:rPr>
      </w:pPr>
      <m:oMath>
        <m:r>
          <w:rPr>
            <w:rFonts w:ascii="Cambria Math" w:hAnsi="Cambria Math"/>
            <w:sz w:val="24"/>
            <w:szCs w:val="24"/>
          </w:rPr>
          <m:t>ω~</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r>
          <w:rPr>
            <w:rFonts w:ascii="Cambria Math" w:eastAsia="Times New Roman" w:hAnsi="Cambria Math"/>
            <w:sz w:val="24"/>
            <w:szCs w:val="24"/>
          </w:rPr>
          <m:t>)</m:t>
        </m:r>
      </m:oMath>
      <w:r w:rsidRPr="00F2588D">
        <w:rPr>
          <w:rFonts w:eastAsia="Times New Roman"/>
          <w:sz w:val="24"/>
          <w:szCs w:val="24"/>
        </w:rPr>
        <w:t xml:space="preserve"> </w:t>
      </w:r>
      <w:r w:rsidR="005F06DB" w:rsidRPr="00F2588D">
        <w:rPr>
          <w:rFonts w:eastAsia="Times New Roman"/>
          <w:sz w:val="24"/>
          <w:szCs w:val="24"/>
        </w:rPr>
        <w:t xml:space="preserve">           </w:t>
      </w:r>
      <w:r w:rsidR="00552C2E">
        <w:rPr>
          <w:rFonts w:eastAsia="Times New Roman"/>
          <w:sz w:val="24"/>
          <w:szCs w:val="24"/>
        </w:rPr>
        <w:t xml:space="preserve">   </w:t>
      </w:r>
      <w:r w:rsidR="005F06DB" w:rsidRPr="00F2588D">
        <w:rPr>
          <w:rFonts w:eastAsia="Times New Roman"/>
          <w:sz w:val="24"/>
          <w:szCs w:val="24"/>
        </w:rPr>
        <w:t xml:space="preserve">                    </w:t>
      </w:r>
      <w:r w:rsidRPr="00F2588D">
        <w:rPr>
          <w:rFonts w:eastAsia="Times New Roman"/>
          <w:sz w:val="24"/>
          <w:szCs w:val="24"/>
        </w:rPr>
        <w:t xml:space="preserve">                  (2)</w:t>
      </w:r>
    </w:p>
    <w:p w14:paraId="721F635E" w14:textId="493224F6" w:rsidR="000A513B" w:rsidRPr="00F2588D" w:rsidRDefault="00AA4B22" w:rsidP="00EC14E0">
      <w:pPr>
        <w:spacing w:line="480" w:lineRule="auto"/>
        <w:contextualSpacing/>
        <w:rPr>
          <w:rFonts w:eastAsia="Times New Roman"/>
          <w:sz w:val="24"/>
          <w:szCs w:val="24"/>
        </w:rPr>
      </w:pPr>
      <w:r w:rsidRPr="00F2588D">
        <w:rPr>
          <w:rFonts w:eastAsia="Times New Roman"/>
          <w:sz w:val="24"/>
          <w:szCs w:val="24"/>
        </w:rPr>
        <w:t>the spatiotemporal random effects to be drawn from a multivariate normal distribution following an AR1 process:</w:t>
      </w:r>
    </w:p>
    <w:p w14:paraId="163EEE48" w14:textId="7A35ADD7" w:rsidR="005A707C" w:rsidRPr="00F2588D" w:rsidRDefault="000D3097" w:rsidP="00EC14E0">
      <w:pPr>
        <w:spacing w:line="480" w:lineRule="auto"/>
        <w:contextualSpacing/>
        <w:jc w:val="right"/>
        <w:rPr>
          <w:rFonts w:eastAsia="Times New Roman"/>
          <w:sz w:val="24"/>
          <w:szCs w:val="24"/>
        </w:rPr>
      </w:pPr>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m:t>
        </m:r>
      </m:oMath>
      <w:r w:rsidR="005A707C" w:rsidRPr="00F2588D">
        <w:rPr>
          <w:rFonts w:eastAsia="Times New Roman"/>
          <w:sz w:val="24"/>
          <w:szCs w:val="24"/>
        </w:rPr>
        <w:t xml:space="preserve">       </w:t>
      </w:r>
      <w:r w:rsidR="006458A2" w:rsidRPr="00F2588D">
        <w:rPr>
          <w:rFonts w:eastAsia="Times New Roman"/>
          <w:sz w:val="24"/>
          <w:szCs w:val="24"/>
        </w:rPr>
        <w:t xml:space="preserve"> </w:t>
      </w:r>
      <w:r w:rsidR="005A707C" w:rsidRPr="00F2588D">
        <w:rPr>
          <w:rFonts w:eastAsia="Times New Roman"/>
          <w:sz w:val="24"/>
          <w:szCs w:val="24"/>
        </w:rPr>
        <w:t xml:space="preserve">     </w:t>
      </w:r>
      <w:r w:rsidR="00552C2E">
        <w:rPr>
          <w:rFonts w:eastAsia="Times New Roman"/>
          <w:sz w:val="24"/>
          <w:szCs w:val="24"/>
        </w:rPr>
        <w:t xml:space="preserve">   </w:t>
      </w:r>
      <w:r w:rsidR="005A707C" w:rsidRPr="00F2588D">
        <w:rPr>
          <w:rFonts w:eastAsia="Times New Roman"/>
          <w:sz w:val="24"/>
          <w:szCs w:val="24"/>
        </w:rPr>
        <w:t xml:space="preserve">                                     (</w:t>
      </w:r>
      <w:r w:rsidR="00B13C4E" w:rsidRPr="00F2588D">
        <w:rPr>
          <w:rFonts w:eastAsia="Times New Roman"/>
          <w:sz w:val="24"/>
          <w:szCs w:val="24"/>
        </w:rPr>
        <w:t>3</w:t>
      </w:r>
      <w:r w:rsidR="005A707C" w:rsidRPr="00F2588D">
        <w:rPr>
          <w:rFonts w:eastAsia="Times New Roman"/>
          <w:sz w:val="24"/>
          <w:szCs w:val="24"/>
        </w:rPr>
        <w:t>)</w:t>
      </w:r>
    </w:p>
    <w:p w14:paraId="72553146" w14:textId="30699E98" w:rsidR="00D90D6E" w:rsidRPr="00F2588D" w:rsidRDefault="000D3097" w:rsidP="00EC14E0">
      <w:pPr>
        <w:spacing w:line="480" w:lineRule="auto"/>
        <w:contextualSpacing/>
        <w:jc w:val="right"/>
        <w:rPr>
          <w:rFonts w:eastAsia="Times New Roman"/>
          <w:sz w:val="24"/>
          <w:szCs w:val="24"/>
        </w:rPr>
      </w:pPr>
      <m:oMathPara>
        <m:oMath>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t&gt;1</m:t>
              </m:r>
            </m:sub>
          </m:sSub>
          <m:r>
            <w:rPr>
              <w:rFonts w:ascii="Cambria Math" w:eastAsia="Times New Roman" w:hAnsi="Cambria Math"/>
              <w:sz w:val="24"/>
              <w:szCs w:val="24"/>
            </w:rPr>
            <m:t>=ϕ</m:t>
          </m:r>
          <m:sSub>
            <m:sSubPr>
              <m:ctrlPr>
                <w:rPr>
                  <w:rFonts w:ascii="Cambria Math" w:eastAsia="Times New Roman" w:hAnsi="Cambria Math"/>
                  <w:i/>
                  <w:sz w:val="24"/>
                  <w:szCs w:val="24"/>
                </w:rPr>
              </m:ctrlPr>
            </m:sSubPr>
            <m:e>
              <m:r>
                <w:rPr>
                  <w:rFonts w:ascii="Cambria Math" w:eastAsia="Times New Roman" w:hAnsi="Cambria Math"/>
                  <w:sz w:val="24"/>
                  <w:szCs w:val="24"/>
                </w:rPr>
                <m:t>δ</m:t>
              </m:r>
            </m:e>
            <m:sub>
              <m:r>
                <w:rPr>
                  <w:rFonts w:ascii="Cambria Math" w:eastAsia="Times New Roman" w:hAnsi="Cambria Math"/>
                  <w:sz w:val="24"/>
                  <w:szCs w:val="24"/>
                </w:rPr>
                <m:t>t-1</m:t>
              </m:r>
            </m:sub>
          </m:sSub>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1-</m:t>
              </m:r>
              <m:sSup>
                <m:sSupPr>
                  <m:ctrlPr>
                    <w:rPr>
                      <w:rFonts w:ascii="Cambria Math" w:eastAsia="Times New Roman" w:hAnsi="Cambria Math"/>
                      <w:i/>
                      <w:sz w:val="24"/>
                      <w:szCs w:val="24"/>
                    </w:rPr>
                  </m:ctrlPr>
                </m:sSupPr>
                <m:e>
                  <m:r>
                    <w:rPr>
                      <w:rFonts w:ascii="Cambria Math" w:eastAsia="Times New Roman" w:hAnsi="Cambria Math"/>
                      <w:sz w:val="24"/>
                      <w:szCs w:val="24"/>
                    </w:rPr>
                    <m:t>ϕ</m:t>
                  </m:r>
                </m:e>
                <m:sup>
                  <m:r>
                    <w:rPr>
                      <w:rFonts w:ascii="Cambria Math" w:eastAsia="Times New Roman" w:hAnsi="Cambria Math"/>
                      <w:sz w:val="24"/>
                      <w:szCs w:val="24"/>
                    </w:rPr>
                    <m:t>2</m:t>
                  </m:r>
                </m:sup>
              </m:sSup>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e>
          </m:ra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t</m:t>
              </m:r>
            </m:sub>
          </m:sSub>
          <m:r>
            <w:rPr>
              <w:rFonts w:ascii="Cambria Math" w:eastAsia="Times New Roman" w:hAnsi="Cambria Math"/>
              <w:sz w:val="24"/>
              <w:szCs w:val="24"/>
            </w:rPr>
            <m:t>~</m:t>
          </m:r>
          <m:r>
            <m:rPr>
              <m:sty m:val="p"/>
            </m:rPr>
            <w:rPr>
              <w:rFonts w:ascii="Cambria Math" w:eastAsia="Times New Roman" w:hAnsi="Cambria Math"/>
              <w:sz w:val="24"/>
              <w:szCs w:val="24"/>
            </w:rPr>
            <m:t>MVNormal</m:t>
          </m:r>
          <m:r>
            <w:rPr>
              <w:rFonts w:ascii="Cambria Math" w:eastAsia="Times New Roman" w:hAnsi="Cambria Math"/>
              <w:sz w:val="24"/>
              <w:szCs w:val="24"/>
            </w:rPr>
            <m:t>(0,</m:t>
          </m:r>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r>
            <w:rPr>
              <w:rFonts w:ascii="Cambria Math" w:eastAsia="Times New Roman" w:hAnsi="Cambria Math"/>
              <w:sz w:val="24"/>
              <w:szCs w:val="24"/>
            </w:rPr>
            <m:t xml:space="preserve">) </m:t>
          </m:r>
        </m:oMath>
      </m:oMathPara>
    </w:p>
    <w:p w14:paraId="71C84C07" w14:textId="6269BCA9" w:rsidR="00736FF5" w:rsidRPr="00F2588D" w:rsidRDefault="002D689E" w:rsidP="00EC14E0">
      <w:pPr>
        <w:spacing w:line="480" w:lineRule="auto"/>
        <w:contextualSpacing/>
        <w:jc w:val="both"/>
        <w:rPr>
          <w:rFonts w:eastAsia="Times New Roman"/>
          <w:sz w:val="24"/>
          <w:szCs w:val="24"/>
        </w:rPr>
      </w:pPr>
      <w:r w:rsidRPr="00F2588D">
        <w:rPr>
          <w:rFonts w:eastAsia="Times New Roman"/>
          <w:sz w:val="24"/>
          <w:szCs w:val="24"/>
        </w:rPr>
        <w:t xml:space="preserve">In the spatial and spatiotemporal random fields,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hAnsi="Cambria Math"/>
                <w:sz w:val="24"/>
                <w:szCs w:val="24"/>
              </w:rPr>
              <m:t>ω</m:t>
            </m:r>
          </m:sub>
        </m:sSub>
      </m:oMath>
      <w:r w:rsidRPr="00F2588D">
        <w:rPr>
          <w:rFonts w:eastAsia="Times New Roman"/>
          <w:sz w:val="24"/>
          <w:szCs w:val="24"/>
        </w:rPr>
        <w:t xml:space="preserve"> and </w:t>
      </w:r>
      <m:oMath>
        <m:sSub>
          <m:sSubPr>
            <m:ctrlPr>
              <w:rPr>
                <w:rFonts w:ascii="Cambria Math" w:eastAsia="Times New Roman" w:hAnsi="Cambria Math"/>
                <w:i/>
                <w:sz w:val="24"/>
                <w:szCs w:val="24"/>
              </w:rPr>
            </m:ctrlPr>
          </m:sSubPr>
          <m:e>
            <m:r>
              <m:rPr>
                <m:sty m:val="p"/>
              </m:rPr>
              <w:rPr>
                <w:rFonts w:ascii="Cambria Math" w:eastAsia="Times New Roman" w:hAnsi="Cambria Math"/>
                <w:sz w:val="24"/>
                <w:szCs w:val="24"/>
              </w:rPr>
              <m:t>Σ</m:t>
            </m:r>
          </m:e>
          <m:sub>
            <m:r>
              <w:rPr>
                <w:rFonts w:ascii="Cambria Math" w:eastAsia="Times New Roman" w:hAnsi="Cambria Math"/>
                <w:sz w:val="24"/>
                <w:szCs w:val="24"/>
              </w:rPr>
              <m:t>ϵ</m:t>
            </m:r>
          </m:sub>
        </m:sSub>
      </m:oMath>
      <w:r w:rsidRPr="00F2588D">
        <w:rPr>
          <w:rFonts w:eastAsia="Times New Roman"/>
          <w:sz w:val="24"/>
          <w:szCs w:val="24"/>
        </w:rPr>
        <w:t xml:space="preserve"> are covariance matricies, where the covariance</w:t>
      </w:r>
      <w:r w:rsidR="00154322" w:rsidRPr="00F2588D">
        <w:rPr>
          <w:rFonts w:eastAsia="Times New Roman"/>
          <w:sz w:val="24"/>
          <w:szCs w:val="24"/>
        </w:rPr>
        <w:t xml:space="preserve"> </w:t>
      </w:r>
      <m:oMath>
        <m:r>
          <m:rPr>
            <m:sty m:val="p"/>
          </m:rPr>
          <w:rPr>
            <w:rFonts w:ascii="Cambria Math" w:eastAsia="Times New Roman" w:hAnsi="Cambria Math"/>
            <w:sz w:val="24"/>
            <w:szCs w:val="24"/>
          </w:rPr>
          <m:t>Φ</m:t>
        </m:r>
        <m:r>
          <w:rPr>
            <w:rFonts w:ascii="Cambria Math" w:eastAsia="Times New Roman" w:hAnsi="Cambria Math"/>
            <w:sz w:val="24"/>
            <w:szCs w:val="24"/>
          </w:rPr>
          <m:t>(s, s´)</m:t>
        </m:r>
      </m:oMath>
      <w:r w:rsidR="007F3FFE" w:rsidRPr="00F2588D">
        <w:rPr>
          <w:rFonts w:eastAsia="Times New Roman"/>
          <w:sz w:val="24"/>
          <w:szCs w:val="24"/>
        </w:rPr>
        <w:t xml:space="preserve"> </w:t>
      </w:r>
      <w:r w:rsidRPr="00F2588D">
        <w:rPr>
          <w:rFonts w:eastAsia="Times New Roman"/>
          <w:sz w:val="24"/>
          <w:szCs w:val="24"/>
        </w:rPr>
        <w:t xml:space="preserve">between spatial points </w:t>
      </w:r>
      <m:oMath>
        <m:r>
          <w:rPr>
            <w:rFonts w:ascii="Cambria Math" w:eastAsia="Times New Roman" w:hAnsi="Cambria Math"/>
            <w:sz w:val="24"/>
            <w:szCs w:val="24"/>
          </w:rPr>
          <m:t>s</m:t>
        </m:r>
      </m:oMath>
      <w:r w:rsidRPr="00F2588D">
        <w:rPr>
          <w:rFonts w:eastAsia="Times New Roman"/>
          <w:sz w:val="24"/>
          <w:szCs w:val="24"/>
        </w:rPr>
        <w:t xml:space="preserve"> and </w:t>
      </w:r>
      <m:oMath>
        <m:r>
          <w:rPr>
            <w:rFonts w:ascii="Cambria Math" w:eastAsia="Times New Roman" w:hAnsi="Cambria Math"/>
            <w:sz w:val="24"/>
            <w:szCs w:val="24"/>
          </w:rPr>
          <m:t>s'</m:t>
        </m:r>
      </m:oMath>
      <w:r w:rsidRPr="00F2588D">
        <w:rPr>
          <w:rFonts w:eastAsia="Times New Roman"/>
          <w:sz w:val="24"/>
          <w:szCs w:val="24"/>
        </w:rPr>
        <w:t xml:space="preserve"> is given by a Matérn function:</w:t>
      </w:r>
    </w:p>
    <w:p w14:paraId="0D7784DA" w14:textId="2AFB5021" w:rsidR="000A09D0" w:rsidRPr="00F2588D" w:rsidRDefault="007079A5" w:rsidP="00EC14E0">
      <w:pPr>
        <w:spacing w:line="480" w:lineRule="auto"/>
        <w:contextualSpacing/>
        <w:jc w:val="both"/>
        <w:rPr>
          <w:rFonts w:eastAsia="Times New Roman"/>
          <w:sz w:val="24"/>
          <w:szCs w:val="24"/>
        </w:rPr>
      </w:pPr>
      <m:oMathPara>
        <m:oMath>
          <m:r>
            <m:rPr>
              <m:sty m:val="p"/>
            </m:rPr>
            <w:rPr>
              <w:rFonts w:ascii="Cambria Math" w:eastAsia="Times New Roman" w:hAnsi="Cambria Math"/>
              <w:sz w:val="24"/>
              <w:szCs w:val="24"/>
            </w:rPr>
            <m:t>Φ</m:t>
          </m:r>
          <m:d>
            <m:dPr>
              <m:ctrlPr>
                <w:rPr>
                  <w:rFonts w:ascii="Cambria Math" w:eastAsia="Times New Roman" w:hAnsi="Cambria Math"/>
                  <w:i/>
                  <w:sz w:val="24"/>
                  <w:szCs w:val="24"/>
                </w:rPr>
              </m:ctrlPr>
            </m:dPr>
            <m:e>
              <m:r>
                <w:rPr>
                  <w:rFonts w:ascii="Cambria Math" w:eastAsia="Times New Roman" w:hAnsi="Cambria Math"/>
                  <w:sz w:val="24"/>
                  <w:szCs w:val="24"/>
                </w:rPr>
                <m:t>s, s´</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r>
            <w:rPr>
              <w:rFonts w:ascii="Cambria Math" w:eastAsia="Times New Roman" w:hAnsi="Cambria Math"/>
              <w:sz w:val="24"/>
              <w:szCs w:val="24"/>
            </w:rPr>
            <m:t>/</m:t>
          </m:r>
          <m:r>
            <m:rPr>
              <m:sty m:val="p"/>
            </m:rPr>
            <w:rPr>
              <w:rFonts w:ascii="Cambria Math" w:eastAsia="Times New Roman" w:hAnsi="Cambria Math"/>
              <w:sz w:val="24"/>
              <w:szCs w:val="24"/>
            </w:rPr>
            <m:t>Γ</m:t>
          </m:r>
          <m:d>
            <m:dPr>
              <m:ctrlPr>
                <w:rPr>
                  <w:rFonts w:ascii="Cambria Math" w:eastAsia="Times New Roman" w:hAnsi="Cambria Math"/>
                  <w:i/>
                  <w:sz w:val="24"/>
                  <w:szCs w:val="24"/>
                </w:rPr>
              </m:ctrlPr>
            </m:dPr>
            <m:e>
              <m:r>
                <w:rPr>
                  <w:rFonts w:ascii="Cambria Math" w:eastAsia="Times New Roman" w:hAnsi="Cambria Math"/>
                  <w:sz w:val="24"/>
                  <w:szCs w:val="24"/>
                </w:rPr>
                <m:t>ν</m:t>
              </m:r>
            </m:e>
          </m:d>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ν-1</m:t>
              </m:r>
            </m:sup>
          </m:sSup>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e>
              </m:d>
            </m:e>
            <m:sup>
              <m:r>
                <w:rPr>
                  <w:rFonts w:ascii="Cambria Math" w:eastAsia="Times New Roman" w:hAnsi="Cambria Math"/>
                  <w:sz w:val="24"/>
                  <w:szCs w:val="24"/>
                </w:rPr>
                <m:t>v</m:t>
              </m:r>
            </m:sup>
          </m:sSup>
          <m:sSub>
            <m:sSubPr>
              <m:ctrlPr>
                <w:rPr>
                  <w:rFonts w:ascii="Cambria Math" w:eastAsia="Times New Roman" w:hAnsi="Cambria Math"/>
                  <w:i/>
                  <w:sz w:val="24"/>
                  <w:szCs w:val="24"/>
                </w:rPr>
              </m:ctrlPr>
            </m:sSubPr>
            <m:e>
              <m:r>
                <w:rPr>
                  <w:rFonts w:ascii="Cambria Math" w:eastAsia="Times New Roman" w:hAnsi="Cambria Math"/>
                  <w:sz w:val="24"/>
                  <w:szCs w:val="24"/>
                </w:rPr>
                <m:t>K</m:t>
              </m:r>
            </m:e>
            <m:sub>
              <m:r>
                <w:rPr>
                  <w:rFonts w:ascii="Cambria Math" w:eastAsia="Times New Roman" w:hAnsi="Cambria Math"/>
                  <w:sz w:val="24"/>
                  <w:szCs w:val="24"/>
                </w:rPr>
                <m:t>v</m:t>
              </m:r>
            </m:sub>
          </m:sSub>
          <m:r>
            <w:rPr>
              <w:rFonts w:ascii="Cambria Math" w:eastAsia="Times New Roman" w:hAnsi="Cambria Math"/>
              <w:sz w:val="24"/>
              <w:szCs w:val="24"/>
            </w:rPr>
            <m:t>(κ</m:t>
          </m:r>
          <m:sSub>
            <m:sSubPr>
              <m:ctrlPr>
                <w:rPr>
                  <w:rFonts w:ascii="Cambria Math" w:eastAsia="Times New Roman" w:hAnsi="Cambria Math"/>
                  <w:i/>
                  <w:sz w:val="24"/>
                  <w:szCs w:val="24"/>
                </w:rPr>
              </m:ctrlPr>
            </m:sSubPr>
            <m:e>
              <m:r>
                <w:rPr>
                  <w:rFonts w:ascii="Cambria Math" w:eastAsia="Times New Roman" w:hAnsi="Cambria Math"/>
                  <w:sz w:val="24"/>
                  <w:szCs w:val="24"/>
                </w:rPr>
                <m:t>d</m:t>
              </m:r>
            </m:e>
            <m:sub>
              <m:r>
                <w:rPr>
                  <w:rFonts w:ascii="Cambria Math" w:eastAsia="Times New Roman" w:hAnsi="Cambria Math"/>
                  <w:sz w:val="24"/>
                  <w:szCs w:val="24"/>
                </w:rPr>
                <m:t>jk</m:t>
              </m:r>
            </m:sub>
          </m:sSub>
          <m:r>
            <w:rPr>
              <w:rFonts w:ascii="Cambria Math" w:eastAsia="Times New Roman" w:hAnsi="Cambria Math"/>
              <w:sz w:val="24"/>
              <w:szCs w:val="24"/>
            </w:rPr>
            <m:t xml:space="preserve">) </m:t>
          </m:r>
        </m:oMath>
      </m:oMathPara>
    </w:p>
    <w:p w14:paraId="104D79D0" w14:textId="77777777" w:rsidR="00552C2E" w:rsidRDefault="00B904E9" w:rsidP="00EC14E0">
      <w:pPr>
        <w:spacing w:line="480" w:lineRule="auto"/>
        <w:contextualSpacing/>
        <w:jc w:val="both"/>
        <w:rPr>
          <w:rFonts w:eastAsia="Times New Roman"/>
          <w:sz w:val="24"/>
          <w:szCs w:val="24"/>
        </w:rPr>
      </w:pPr>
      <w:r w:rsidRPr="00F2588D">
        <w:rPr>
          <w:rFonts w:eastAsia="Times New Roman"/>
          <w:sz w:val="24"/>
          <w:szCs w:val="24"/>
        </w:rPr>
        <w:t xml:space="preserve">where </w:t>
      </w:r>
      <m:oMath>
        <m:sSup>
          <m:sSupPr>
            <m:ctrlPr>
              <w:rPr>
                <w:rFonts w:ascii="Cambria Math" w:eastAsia="Times New Roman" w:hAnsi="Cambria Math"/>
                <w:i/>
                <w:sz w:val="24"/>
                <w:szCs w:val="24"/>
              </w:rPr>
            </m:ctrlPr>
          </m:sSupPr>
          <m:e>
            <m:r>
              <w:rPr>
                <w:rFonts w:ascii="Cambria Math" w:eastAsia="Times New Roman" w:hAnsi="Cambria Math"/>
                <w:sz w:val="24"/>
                <w:szCs w:val="24"/>
              </w:rPr>
              <m:t>τ</m:t>
            </m:r>
          </m:e>
          <m:sup>
            <m:r>
              <w:rPr>
                <w:rFonts w:ascii="Cambria Math" w:eastAsia="Times New Roman" w:hAnsi="Cambria Math"/>
                <w:sz w:val="24"/>
                <w:szCs w:val="24"/>
              </w:rPr>
              <m:t>2</m:t>
            </m:r>
          </m:sup>
        </m:sSup>
      </m:oMath>
      <w:r w:rsidRPr="00F2588D">
        <w:rPr>
          <w:rFonts w:eastAsia="Times New Roman"/>
          <w:sz w:val="24"/>
          <w:szCs w:val="24"/>
        </w:rPr>
        <w:t xml:space="preserve"> is the spatial (marginal) variance. This model (</w:t>
      </w:r>
      <w:r w:rsidR="00966050" w:rsidRPr="00F2588D">
        <w:rPr>
          <w:rFonts w:eastAsia="Times New Roman"/>
          <w:sz w:val="24"/>
          <w:szCs w:val="24"/>
        </w:rPr>
        <w:t>Eq. 1</w:t>
      </w:r>
      <w:r w:rsidRPr="00F2588D">
        <w:rPr>
          <w:rFonts w:eastAsia="Times New Roman"/>
          <w:sz w:val="24"/>
          <w:szCs w:val="24"/>
        </w:rPr>
        <w:t>) can be viewed as an approximation of Le Cren’s condition index</w:t>
      </w:r>
      <w:r w:rsidR="00550DE3" w:rsidRPr="00F2588D">
        <w:rPr>
          <w:rFonts w:eastAsia="Times New Roman"/>
          <w:sz w:val="24"/>
          <w:szCs w:val="24"/>
        </w:rPr>
        <w:t xml:space="preserve"> </w:t>
      </w:r>
      <w:r w:rsidR="00583309" w:rsidRPr="00F2588D">
        <w:rPr>
          <w:rFonts w:eastAsia="Times New Roman"/>
          <w:sz w:val="24"/>
          <w:szCs w:val="24"/>
        </w:rPr>
        <w:fldChar w:fldCharType="begin"/>
      </w:r>
      <w:r w:rsidR="00583309" w:rsidRPr="00F2588D">
        <w:rPr>
          <w:rFonts w:eastAsia="Times New Roman"/>
          <w:sz w:val="24"/>
          <w:szCs w:val="24"/>
        </w:rPr>
        <w:instrText xml:space="preserve"> ADDIN ZOTERO_ITEM CSL_CITATION {"citationID":"L7nOQZ0j","properties":{"formattedCitation":"(Gr\\uc0\\u252{}ss {\\i{}et al.}, 2020)","plainCitation":"(Grüss et al., 2020)","noteIndex":0},"citationItems":[{"id":702,"uris":["http://zotero.org/users/6116610/items/C5WI4JA6"],"uri":["http://zotero.org/users/6116610/items/C5WI4JA6"],"itemData":{"id":702,"type":"article-journal","abstract":"Estimating fish condition, the relative weight of an individual fish given its body length, is a convenient way to relate the physiological health and energetic status of fishes to their productivity. Despite evidence of density-dependence effects on condition in some species, previous research has not jointly estimated synchronous changes in condition and density operating at fine spatial scales (a few km). Therefore, we developed a spatio-temporal modeling approach that simultaneously estimates correlated variation in density (measured as numbers per area) and condition. We applied our approach to 6 eastern Bering Sea (EBS) groundfish species (4 flatfishes and 2 gadoids) for the period 1992−2016, and estimated correlations in spatial variation (unmeasured variation that is stable over time) and spatio-temporal variation (unmeasured variation that changes between years). Spatial variation in density had a strong significant negative association with spatial variation in condition for 3 flatfishes and a positive association for one gadoid. Spatiotemporal variation in density had a significant association with spatio-temporal variation in condition for one flatfish (negative) and one gadoid (positive). Moreover, for the 6 study species, bottom temperature was identified as an important predictor of both density and condition. The increasing trend in bottom temperatures between 1992 and 2016 was accompanied by an overall increase in the abundance-weighted condition of 5 species. We conclude that forecasts of changes in weight-at-age within some EBS groundfish assessments will require an understanding of both density-dependence and bottom temperature effects on fish condition to better prepare for future climate and exploitation changes.","container-title":"Marine Ecology Progress Series","DOI":"10.3354/meps13213","ISSN":"0171-8630, 1616-1599","journalAbbreviation":"Mar. Ecol. Prog. Ser.","language":"en","page":"169-185","source":"DOI.org (Crossref)","title":"Estimating synchronous changes in condition and density in eastern Bering Sea fishes","volume":"635","author":[{"family":"Grüss","given":"A"},{"family":"Gao","given":"J"},{"family":"Thorson","given":"Jt"},{"family":"Rooper","given":"Cn"},{"family":"Thompson","given":"G"},{"family":"Boldt","given":"Jl"},{"family":"Lauth","given":"R"}],"issued":{"date-parts":[["2020",2,6]]}}}],"schema":"https://github.com/citation-style-language/schema/raw/master/csl-citation.json"} </w:instrText>
      </w:r>
      <w:r w:rsidR="00583309" w:rsidRPr="00F2588D">
        <w:rPr>
          <w:rFonts w:eastAsia="Times New Roman"/>
          <w:sz w:val="24"/>
          <w:szCs w:val="24"/>
        </w:rPr>
        <w:fldChar w:fldCharType="separate"/>
      </w:r>
      <w:r w:rsidR="00583309" w:rsidRPr="00F2588D">
        <w:rPr>
          <w:sz w:val="24"/>
          <w:szCs w:val="24"/>
        </w:rPr>
        <w:t xml:space="preserve">(Grüss </w:t>
      </w:r>
      <w:r w:rsidR="00583309" w:rsidRPr="00F2588D">
        <w:rPr>
          <w:i/>
          <w:iCs/>
          <w:sz w:val="24"/>
          <w:szCs w:val="24"/>
        </w:rPr>
        <w:t>et al.</w:t>
      </w:r>
      <w:r w:rsidR="00583309" w:rsidRPr="00F2588D">
        <w:rPr>
          <w:sz w:val="24"/>
          <w:szCs w:val="24"/>
        </w:rPr>
        <w:t>, 2020)</w:t>
      </w:r>
      <w:r w:rsidR="00583309" w:rsidRPr="00F2588D">
        <w:rPr>
          <w:rFonts w:eastAsia="Times New Roman"/>
          <w:sz w:val="24"/>
          <w:szCs w:val="24"/>
        </w:rPr>
        <w:fldChar w:fldCharType="end"/>
      </w:r>
      <w:r w:rsidRPr="00F2588D">
        <w:rPr>
          <w:rFonts w:eastAsia="Times New Roman"/>
          <w:sz w:val="24"/>
          <w:szCs w:val="24"/>
        </w:rPr>
        <w:t xml:space="preserve">, as the log of the condition factor, i.e. </w:t>
      </w: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oMath>
      <w:r w:rsidR="00EF27DE" w:rsidRPr="00F2588D">
        <w:rPr>
          <w:rFonts w:eastAsia="Times New Roman"/>
          <w:sz w:val="24"/>
          <w:szCs w:val="24"/>
        </w:rPr>
        <w:t xml:space="preserve"> </w:t>
      </w:r>
      <w:r w:rsidRPr="00F2588D">
        <w:rPr>
          <w:rFonts w:eastAsia="Times New Roman"/>
          <w:sz w:val="24"/>
          <w:szCs w:val="24"/>
        </w:rPr>
        <w:t>or the constant in the allometric relationship, can be defined as:</w:t>
      </w:r>
    </w:p>
    <w:p w14:paraId="106CAD5F" w14:textId="13E39CA5" w:rsidR="00645452" w:rsidRDefault="000D3097" w:rsidP="00EC14E0">
      <w:pPr>
        <w:spacing w:line="480" w:lineRule="auto"/>
        <w:contextualSpacing/>
        <w:jc w:val="right"/>
        <w:rPr>
          <w:rFonts w:eastAsia="Times New Roman"/>
          <w:sz w:val="24"/>
          <w:szCs w:val="24"/>
        </w:rPr>
      </w:pPr>
      <m:oMath>
        <m:func>
          <m:funcPr>
            <m:ctrlPr>
              <w:rPr>
                <w:rFonts w:ascii="Cambria Math" w:eastAsia="Times New Roman" w:hAnsi="Cambria Math"/>
                <w:i/>
                <w:sz w:val="24"/>
                <w:szCs w:val="24"/>
              </w:rPr>
            </m:ctrlPr>
          </m:funcPr>
          <m:fName>
            <m:r>
              <m:rPr>
                <m:sty m:val="p"/>
              </m:rPr>
              <w:rPr>
                <w:rFonts w:ascii="Cambria Math" w:eastAsia="Times New Roman" w:hAnsi="Cambria Math"/>
                <w:sz w:val="24"/>
                <w:szCs w:val="24"/>
              </w:rPr>
              <m:t>log</m:t>
            </m:r>
          </m:fName>
          <m:e>
            <m:r>
              <w:rPr>
                <w:rFonts w:ascii="Cambria Math" w:eastAsia="Times New Roman" w:hAnsi="Cambria Math"/>
                <w:sz w:val="24"/>
                <w:szCs w:val="24"/>
              </w:rPr>
              <m:t>(a)</m:t>
            </m:r>
          </m:e>
        </m:func>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0</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m</m:t>
            </m:r>
          </m:sub>
        </m:sSub>
        <m:sSub>
          <m:sSubPr>
            <m:ctrlPr>
              <w:rPr>
                <w:rFonts w:ascii="Cambria Math" w:eastAsia="Times New Roman" w:hAnsi="Cambria Math"/>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u</m:t>
            </m:r>
          </m:sub>
        </m:sSub>
        <m:sSub>
          <m:sSubPr>
            <m:ctrlPr>
              <w:rPr>
                <w:rFonts w:ascii="Cambria Math" w:eastAsia="Times New Roman" w:hAnsi="Cambria Math"/>
                <w:sz w:val="24"/>
                <w:szCs w:val="24"/>
              </w:rPr>
            </m:ctrlPr>
          </m:sSubPr>
          <m:e>
            <m:r>
              <w:rPr>
                <w:rFonts w:ascii="Cambria Math" w:eastAsia="Times New Roman" w:hAnsi="Cambria Math"/>
                <w:sz w:val="24"/>
                <w:szCs w:val="24"/>
              </w:rPr>
              <m:t>S</m:t>
            </m:r>
          </m:e>
          <m:sub>
            <m:r>
              <w:rPr>
                <w:rFonts w:ascii="Cambria Math" w:eastAsia="Times New Roman" w:hAnsi="Cambria Math"/>
                <w:sz w:val="24"/>
                <w:szCs w:val="24"/>
              </w:rPr>
              <m:t>u</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ω</m:t>
            </m:r>
          </m:e>
          <m:sub>
            <m:r>
              <w:rPr>
                <w:rFonts w:ascii="Cambria Math" w:eastAsia="Times New Roman" w:hAnsi="Cambria Math"/>
                <w:sz w:val="24"/>
                <w:szCs w:val="24"/>
              </w:rPr>
              <m:t>s</m:t>
            </m:r>
          </m:sub>
        </m:sSub>
        <m:r>
          <w:rPr>
            <w:rFonts w:ascii="Cambria Math" w:eastAsia="Times New Roman" w:hAnsi="Cambria Math"/>
            <w:sz w:val="24"/>
            <w:szCs w:val="24"/>
          </w:rPr>
          <m:t>+</m:t>
        </m:r>
        <m:sSub>
          <m:sSubPr>
            <m:ctrlPr>
              <w:rPr>
                <w:rFonts w:ascii="Cambria Math" w:eastAsia="Times New Roman" w:hAnsi="Cambria Math"/>
                <w:sz w:val="24"/>
                <w:szCs w:val="24"/>
              </w:rPr>
            </m:ctrlPr>
          </m:sSubPr>
          <m:e>
            <m:r>
              <w:rPr>
                <w:rFonts w:ascii="Cambria Math" w:eastAsia="Times New Roman" w:hAnsi="Cambria Math"/>
                <w:sz w:val="24"/>
                <w:szCs w:val="24"/>
              </w:rPr>
              <m:t>ϵ</m:t>
            </m:r>
          </m:e>
          <m:sub>
            <m:r>
              <w:rPr>
                <w:rFonts w:ascii="Cambria Math" w:eastAsia="Times New Roman" w:hAnsi="Cambria Math"/>
                <w:sz w:val="24"/>
                <w:szCs w:val="24"/>
              </w:rPr>
              <m:t>s,t</m:t>
            </m:r>
          </m:sub>
        </m:sSub>
        <m:r>
          <w:rPr>
            <w:rFonts w:ascii="Cambria Math" w:eastAsia="Times New Roman" w:hAnsi="Cambria Math"/>
            <w:sz w:val="24"/>
            <w:szCs w:val="24"/>
          </w:rPr>
          <m:t>+</m:t>
        </m:r>
        <m:nary>
          <m:naryPr>
            <m:chr m:val="∑"/>
            <m:ctrlPr>
              <w:rPr>
                <w:rFonts w:ascii="Cambria Math" w:eastAsia="Times New Roman" w:hAnsi="Cambria Math"/>
                <w:sz w:val="24"/>
                <w:szCs w:val="24"/>
              </w:rPr>
            </m:ctrlPr>
          </m:naryPr>
          <m:sub>
            <m:r>
              <w:rPr>
                <w:rFonts w:ascii="Cambria Math" w:eastAsia="Times New Roman" w:hAnsi="Cambria Math"/>
                <w:sz w:val="24"/>
                <w:szCs w:val="24"/>
              </w:rPr>
              <m:t>k=1</m:t>
            </m:r>
          </m:sub>
          <m:sup>
            <m:sSub>
              <m:sSubPr>
                <m:ctrlPr>
                  <w:rPr>
                    <w:rFonts w:ascii="Cambria Math" w:eastAsia="Times New Roman" w:hAnsi="Cambria Math"/>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sup>
          <m:e>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γ</m:t>
                </m:r>
              </m:e>
              <m:sub>
                <m:r>
                  <m:rPr>
                    <m:sty m:val="bi"/>
                  </m:rPr>
                  <w:rPr>
                    <w:rFonts w:ascii="Cambria Math" w:eastAsia="Times New Roman" w:hAnsi="Cambria Math"/>
                    <w:sz w:val="24"/>
                    <w:szCs w:val="24"/>
                  </w:rPr>
                  <m:t>k</m:t>
                </m:r>
              </m:sub>
            </m:sSub>
            <m:sSub>
              <m:sSubPr>
                <m:ctrlPr>
                  <w:rPr>
                    <w:rFonts w:ascii="Cambria Math" w:eastAsia="Times New Roman" w:hAnsi="Cambria Math"/>
                    <w:b/>
                    <w:bCs/>
                    <w:sz w:val="24"/>
                    <w:szCs w:val="24"/>
                  </w:rPr>
                </m:ctrlPr>
              </m:sSubPr>
              <m:e>
                <m:r>
                  <m:rPr>
                    <m:sty m:val="bi"/>
                  </m:rPr>
                  <w:rPr>
                    <w:rFonts w:ascii="Cambria Math" w:eastAsia="Times New Roman" w:hAnsi="Cambria Math"/>
                    <w:sz w:val="24"/>
                    <w:szCs w:val="24"/>
                  </w:rPr>
                  <m:t>X</m:t>
                </m:r>
              </m:e>
              <m:sub>
                <m:r>
                  <m:rPr>
                    <m:sty m:val="bi"/>
                  </m:rPr>
                  <w:rPr>
                    <w:rFonts w:ascii="Cambria Math" w:eastAsia="Times New Roman" w:hAnsi="Cambria Math"/>
                    <w:sz w:val="24"/>
                    <w:szCs w:val="24"/>
                  </w:rPr>
                  <m:t>k</m:t>
                </m:r>
              </m:sub>
            </m:sSub>
          </m:e>
        </m:nary>
      </m:oMath>
      <w:r w:rsidR="00552C2E">
        <w:rPr>
          <w:rFonts w:eastAsia="Times New Roman"/>
          <w:sz w:val="24"/>
          <w:szCs w:val="24"/>
        </w:rPr>
        <w:t xml:space="preserve"> </w:t>
      </w:r>
      <w:r w:rsidR="00552C2E" w:rsidRPr="00F2588D">
        <w:rPr>
          <w:rFonts w:eastAsia="Times New Roman"/>
          <w:sz w:val="24"/>
          <w:szCs w:val="24"/>
        </w:rPr>
        <w:t xml:space="preserve">  </w:t>
      </w:r>
      <w:r w:rsidR="00633B03">
        <w:rPr>
          <w:rFonts w:eastAsia="Times New Roman"/>
          <w:sz w:val="24"/>
          <w:szCs w:val="24"/>
        </w:rPr>
        <w:t xml:space="preserve">                      </w:t>
      </w:r>
      <w:r w:rsidR="00552C2E" w:rsidRPr="00F2588D">
        <w:rPr>
          <w:rFonts w:eastAsia="Times New Roman"/>
          <w:sz w:val="24"/>
          <w:szCs w:val="24"/>
        </w:rPr>
        <w:t>(</w:t>
      </w:r>
      <w:r w:rsidR="00633B03">
        <w:rPr>
          <w:rFonts w:eastAsia="Times New Roman"/>
          <w:sz w:val="24"/>
          <w:szCs w:val="24"/>
        </w:rPr>
        <w:t>4</w:t>
      </w:r>
      <w:r w:rsidR="00552C2E" w:rsidRPr="00F2588D">
        <w:rPr>
          <w:rFonts w:eastAsia="Times New Roman"/>
          <w:sz w:val="24"/>
          <w:szCs w:val="24"/>
        </w:rPr>
        <w:t>)</w:t>
      </w:r>
    </w:p>
    <w:p w14:paraId="063DCA39" w14:textId="32D78095" w:rsidR="00CF41B9" w:rsidRPr="00F2588D" w:rsidRDefault="00B904E9" w:rsidP="00EC14E0">
      <w:pPr>
        <w:spacing w:line="480" w:lineRule="auto"/>
        <w:contextualSpacing/>
        <w:jc w:val="both"/>
        <w:rPr>
          <w:rFonts w:eastAsia="Times New Roman"/>
          <w:sz w:val="24"/>
          <w:szCs w:val="24"/>
        </w:rPr>
      </w:pPr>
      <w:r w:rsidRPr="00F2588D">
        <w:rPr>
          <w:rFonts w:eastAsia="Times New Roman"/>
          <w:sz w:val="24"/>
          <w:szCs w:val="24"/>
        </w:rPr>
        <w:t>Thus, Eq. 1 is a model for a spatially and temporally varying condition factor.</w:t>
      </w:r>
    </w:p>
    <w:p w14:paraId="6D4F1172" w14:textId="77777777" w:rsidR="00736FF5" w:rsidRPr="00F2588D" w:rsidRDefault="00736FF5" w:rsidP="00EC14E0">
      <w:pPr>
        <w:spacing w:line="480" w:lineRule="auto"/>
        <w:contextualSpacing/>
        <w:jc w:val="both"/>
        <w:rPr>
          <w:rFonts w:eastAsia="Times New Roman"/>
          <w:sz w:val="24"/>
          <w:szCs w:val="24"/>
        </w:rPr>
      </w:pPr>
    </w:p>
    <w:p w14:paraId="0D5D2A45" w14:textId="77777777" w:rsidR="00736FF5" w:rsidRPr="00F2588D" w:rsidRDefault="00401B29" w:rsidP="00EC14E0">
      <w:pPr>
        <w:spacing w:line="480" w:lineRule="auto"/>
        <w:contextualSpacing/>
        <w:jc w:val="both"/>
        <w:rPr>
          <w:rFonts w:eastAsia="Times New Roman"/>
          <w:i/>
          <w:sz w:val="24"/>
          <w:szCs w:val="24"/>
        </w:rPr>
      </w:pPr>
      <w:r w:rsidRPr="00F2588D">
        <w:rPr>
          <w:rFonts w:eastAsia="Times New Roman"/>
          <w:i/>
          <w:sz w:val="24"/>
          <w:szCs w:val="24"/>
        </w:rPr>
        <w:t>Model selection and comparison</w:t>
      </w:r>
    </w:p>
    <w:p w14:paraId="530C470F" w14:textId="77777777" w:rsidR="00E72866" w:rsidRDefault="00401B29" w:rsidP="00EC14E0">
      <w:pPr>
        <w:spacing w:line="480" w:lineRule="auto"/>
        <w:contextualSpacing/>
        <w:jc w:val="both"/>
        <w:rPr>
          <w:rFonts w:eastAsia="Times New Roman"/>
          <w:sz w:val="24"/>
          <w:szCs w:val="24"/>
        </w:rPr>
      </w:pPr>
      <w:commentRangeStart w:id="8"/>
      <w:r w:rsidRPr="00F2588D">
        <w:rPr>
          <w:rFonts w:eastAsia="Times New Roman"/>
          <w:sz w:val="24"/>
          <w:szCs w:val="24"/>
        </w:rPr>
        <w:t>We conducted exploratory analysis without the main covariates to decide on a candidate baseline model. This was done in three steps: (1) deciding on an appropriate distribution for the residuals (2) compare models with different number of “knots” to ensure model convergence and that the spatial processes were accurately captured and (3) whether or not to include year as a fixed effect or a spatial random field of slopes of year effects, as well as including an independent spatiotemporal field for each year or if there is support for a spatiotemporal field following an AR1 process.</w:t>
      </w:r>
      <w:commentRangeEnd w:id="8"/>
      <w:r w:rsidR="00D3058D">
        <w:rPr>
          <w:rStyle w:val="CommentReference"/>
        </w:rPr>
        <w:commentReference w:id="8"/>
      </w:r>
    </w:p>
    <w:p w14:paraId="78BFD234" w14:textId="1888CC24" w:rsidR="00736FF5" w:rsidRPr="00F2588D"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lastRenderedPageBreak/>
        <w:t xml:space="preserve">Next we evaluated the ability of covariates to explain spatial variation in condition. </w:t>
      </w:r>
    </w:p>
    <w:p w14:paraId="04216658" w14:textId="77777777" w:rsidR="00736FF5" w:rsidRPr="00F2588D" w:rsidRDefault="00736FF5" w:rsidP="00EC14E0">
      <w:pPr>
        <w:spacing w:line="480" w:lineRule="auto"/>
        <w:contextualSpacing/>
        <w:jc w:val="both"/>
        <w:rPr>
          <w:rFonts w:eastAsia="Times New Roman"/>
          <w:sz w:val="24"/>
          <w:szCs w:val="24"/>
        </w:rPr>
      </w:pPr>
    </w:p>
    <w:p w14:paraId="105FDDE4" w14:textId="77777777" w:rsidR="00736FF5" w:rsidRPr="00F2588D" w:rsidRDefault="00401B29" w:rsidP="00EC14E0">
      <w:pPr>
        <w:spacing w:line="480" w:lineRule="auto"/>
        <w:contextualSpacing/>
        <w:jc w:val="both"/>
        <w:rPr>
          <w:rFonts w:eastAsia="Times New Roman"/>
          <w:i/>
          <w:sz w:val="24"/>
          <w:szCs w:val="24"/>
        </w:rPr>
      </w:pPr>
      <w:r w:rsidRPr="00F2588D">
        <w:rPr>
          <w:rFonts w:eastAsia="Times New Roman"/>
          <w:i/>
          <w:sz w:val="24"/>
          <w:szCs w:val="24"/>
        </w:rPr>
        <w:t>Model fitting</w:t>
      </w:r>
    </w:p>
    <w:p w14:paraId="30E349A9" w14:textId="1BA6B595" w:rsidR="00FC2614" w:rsidRDefault="00401B29" w:rsidP="00EC14E0">
      <w:pPr>
        <w:spacing w:line="480" w:lineRule="auto"/>
        <w:contextualSpacing/>
        <w:jc w:val="both"/>
        <w:rPr>
          <w:rFonts w:eastAsia="Times New Roman"/>
          <w:sz w:val="24"/>
          <w:szCs w:val="24"/>
        </w:rPr>
      </w:pPr>
      <w:r w:rsidRPr="00F2588D">
        <w:rPr>
          <w:rFonts w:eastAsia="Times New Roman"/>
          <w:sz w:val="24"/>
          <w:szCs w:val="24"/>
        </w:rPr>
        <w:t xml:space="preserve">We fit GLMMs </w:t>
      </w:r>
      <w:r w:rsidR="00EA4826">
        <w:rPr>
          <w:rFonts w:eastAsia="Times New Roman"/>
          <w:sz w:val="24"/>
          <w:szCs w:val="24"/>
        </w:rPr>
        <w:t xml:space="preserve">with </w:t>
      </w:r>
      <w:r w:rsidRPr="00F2588D">
        <w:rPr>
          <w:rFonts w:eastAsia="Times New Roman"/>
          <w:sz w:val="24"/>
          <w:szCs w:val="24"/>
        </w:rPr>
        <w:t xml:space="preserve">the R-package </w:t>
      </w:r>
      <w:r w:rsidR="007F325C">
        <w:rPr>
          <w:rFonts w:eastAsia="Times New Roman"/>
          <w:sz w:val="24"/>
          <w:szCs w:val="24"/>
        </w:rPr>
        <w:t>‘</w:t>
      </w:r>
      <w:r w:rsidRPr="007F325C">
        <w:rPr>
          <w:rFonts w:eastAsia="Times New Roman"/>
          <w:i/>
          <w:iCs/>
          <w:sz w:val="24"/>
          <w:szCs w:val="24"/>
        </w:rPr>
        <w:t>sdmTMB</w:t>
      </w:r>
      <w:r w:rsidR="007F325C">
        <w:rPr>
          <w:rFonts w:eastAsia="Times New Roman"/>
          <w:i/>
          <w:iCs/>
          <w:sz w:val="24"/>
          <w:szCs w:val="24"/>
        </w:rPr>
        <w:t>’</w:t>
      </w:r>
      <w:r w:rsidRPr="00F2588D">
        <w:rPr>
          <w:rFonts w:eastAsia="Times New Roman"/>
          <w:sz w:val="24"/>
          <w:szCs w:val="24"/>
        </w:rPr>
        <w:t xml:space="preserve"> </w:t>
      </w:r>
      <w:hyperlink r:id="rId10">
        <w:r w:rsidRPr="00F2588D">
          <w:rPr>
            <w:rFonts w:eastAsia="Times New Roman"/>
            <w:color w:val="1155CC"/>
            <w:sz w:val="24"/>
            <w:szCs w:val="24"/>
            <w:u w:val="single"/>
          </w:rPr>
          <w:t>https://github.com/pbs-assess/sdmTMB</w:t>
        </w:r>
      </w:hyperlink>
      <w:r w:rsidRPr="00F2588D">
        <w:rPr>
          <w:rFonts w:eastAsia="Times New Roman"/>
          <w:sz w:val="24"/>
          <w:szCs w:val="24"/>
        </w:rPr>
        <w:t>, which utilises Template Model Builder (</w:t>
      </w:r>
      <w:hyperlink r:id="rId11">
        <w:r w:rsidRPr="00F2588D">
          <w:rPr>
            <w:rFonts w:eastAsia="Times New Roman"/>
            <w:color w:val="1155CC"/>
            <w:sz w:val="24"/>
            <w:szCs w:val="24"/>
            <w:u w:val="single"/>
          </w:rPr>
          <w:t>TMB</w:t>
        </w:r>
      </w:hyperlink>
      <w:r w:rsidRPr="00F2588D">
        <w:rPr>
          <w:rFonts w:eastAsia="Times New Roman"/>
          <w:sz w:val="24"/>
          <w:szCs w:val="24"/>
        </w:rPr>
        <w:t>),</w:t>
      </w:r>
      <w:hyperlink r:id="rId12">
        <w:r w:rsidRPr="00F2588D">
          <w:rPr>
            <w:rFonts w:eastAsia="Times New Roman"/>
            <w:sz w:val="24"/>
            <w:szCs w:val="24"/>
          </w:rPr>
          <w:t xml:space="preserve"> </w:t>
        </w:r>
      </w:hyperlink>
      <w:hyperlink r:id="rId13">
        <w:r w:rsidRPr="00F2588D">
          <w:rPr>
            <w:rFonts w:eastAsia="Times New Roman"/>
            <w:color w:val="1155CC"/>
            <w:sz w:val="24"/>
            <w:szCs w:val="24"/>
            <w:u w:val="single"/>
          </w:rPr>
          <w:t>R-INLA</w:t>
        </w:r>
      </w:hyperlink>
      <w:r w:rsidRPr="00F2588D">
        <w:rPr>
          <w:rFonts w:eastAsia="Times New Roman"/>
          <w:sz w:val="24"/>
          <w:szCs w:val="24"/>
        </w:rPr>
        <w:t>, and Gaussian Markov random fields</w:t>
      </w:r>
      <w:r w:rsidR="00EF29B3">
        <w:rPr>
          <w:rFonts w:eastAsia="Times New Roman"/>
          <w:sz w:val="24"/>
          <w:szCs w:val="24"/>
        </w:rPr>
        <w:t xml:space="preserve"> for </w:t>
      </w:r>
      <w:r w:rsidR="00451358">
        <w:rPr>
          <w:rFonts w:eastAsia="Times New Roman"/>
          <w:sz w:val="24"/>
          <w:szCs w:val="24"/>
        </w:rPr>
        <w:t xml:space="preserve">representing </w:t>
      </w:r>
      <w:r w:rsidR="00EF29B3">
        <w:rPr>
          <w:rFonts w:eastAsia="Times New Roman"/>
          <w:sz w:val="24"/>
          <w:szCs w:val="24"/>
        </w:rPr>
        <w:t>spatial and spatiotemporal random effects</w:t>
      </w:r>
      <w:r w:rsidRPr="00F2588D">
        <w:rPr>
          <w:rFonts w:eastAsia="Times New Roman"/>
          <w:sz w:val="24"/>
          <w:szCs w:val="24"/>
        </w:rPr>
        <w:t>.</w:t>
      </w:r>
    </w:p>
    <w:p w14:paraId="76AE53EA" w14:textId="44F2C7AE" w:rsidR="00736FF5" w:rsidRPr="00F2588D" w:rsidRDefault="00401B29" w:rsidP="00EC14E0">
      <w:pPr>
        <w:spacing w:line="480" w:lineRule="auto"/>
        <w:ind w:firstLine="284"/>
        <w:contextualSpacing/>
        <w:jc w:val="both"/>
        <w:rPr>
          <w:rFonts w:eastAsia="Times New Roman"/>
          <w:sz w:val="24"/>
          <w:szCs w:val="24"/>
        </w:rPr>
      </w:pPr>
      <w:r w:rsidRPr="00F2588D">
        <w:rPr>
          <w:rFonts w:eastAsia="Times New Roman"/>
          <w:sz w:val="24"/>
          <w:szCs w:val="24"/>
        </w:rPr>
        <w:t xml:space="preserve">Code for reproducing data processing and model fitting is publicly available at </w:t>
      </w:r>
      <w:hyperlink r:id="rId14">
        <w:r w:rsidRPr="00F2588D">
          <w:rPr>
            <w:rFonts w:eastAsia="Times New Roman"/>
            <w:color w:val="1155CC"/>
            <w:sz w:val="24"/>
            <w:szCs w:val="24"/>
            <w:u w:val="single"/>
          </w:rPr>
          <w:t>https://github.com/maxlindmark/cod_condition</w:t>
        </w:r>
      </w:hyperlink>
      <w:r w:rsidRPr="00F2588D">
        <w:rPr>
          <w:rFonts w:eastAsia="Times New Roman"/>
          <w:sz w:val="24"/>
          <w:szCs w:val="24"/>
        </w:rPr>
        <w:t xml:space="preserve"> and will be deposited on Zenodo upon publication. Data can be sent on request or downloaded directly from DATRAS </w:t>
      </w:r>
      <w:hyperlink r:id="rId15">
        <w:r w:rsidRPr="00F2588D">
          <w:rPr>
            <w:rFonts w:eastAsia="Times New Roman"/>
            <w:color w:val="1155CC"/>
            <w:sz w:val="24"/>
            <w:szCs w:val="24"/>
            <w:u w:val="single"/>
          </w:rPr>
          <w:t>https://datras.ices.dk/Data_products/Download/Download_Data_public.aspx</w:t>
        </w:r>
      </w:hyperlink>
      <w:r w:rsidRPr="00F2588D">
        <w:rPr>
          <w:rFonts w:eastAsia="Times New Roman"/>
          <w:sz w:val="24"/>
          <w:szCs w:val="24"/>
        </w:rPr>
        <w:t xml:space="preserve"> and processed as described in the available code.</w:t>
      </w:r>
    </w:p>
    <w:p w14:paraId="18D63DE8" w14:textId="77777777" w:rsidR="00736FF5" w:rsidRPr="00F2588D" w:rsidRDefault="00736FF5" w:rsidP="00EC14E0">
      <w:pPr>
        <w:spacing w:line="480" w:lineRule="auto"/>
        <w:contextualSpacing/>
        <w:jc w:val="both"/>
        <w:rPr>
          <w:rFonts w:eastAsia="Times New Roman"/>
          <w:b/>
          <w:sz w:val="24"/>
          <w:szCs w:val="24"/>
        </w:rPr>
      </w:pPr>
    </w:p>
    <w:p w14:paraId="6E11B788" w14:textId="77777777" w:rsidR="00736FF5" w:rsidRPr="0090664E" w:rsidRDefault="00401B29" w:rsidP="00EC14E0">
      <w:pPr>
        <w:pStyle w:val="Heading1"/>
        <w:spacing w:line="480" w:lineRule="auto"/>
        <w:contextualSpacing/>
        <w:jc w:val="both"/>
        <w:rPr>
          <w:rFonts w:eastAsia="Times New Roman"/>
          <w:b/>
          <w:sz w:val="28"/>
          <w:szCs w:val="28"/>
        </w:rPr>
      </w:pPr>
      <w:bookmarkStart w:id="9" w:name="_lsaj7w4aunr7" w:colFirst="0" w:colLast="0"/>
      <w:bookmarkEnd w:id="9"/>
      <w:r w:rsidRPr="0090664E">
        <w:rPr>
          <w:rFonts w:eastAsia="Times New Roman"/>
          <w:b/>
          <w:sz w:val="28"/>
          <w:szCs w:val="28"/>
        </w:rPr>
        <w:t>Results</w:t>
      </w:r>
    </w:p>
    <w:p w14:paraId="38BADCD6" w14:textId="77777777" w:rsidR="00736FF5" w:rsidRPr="00F2588D" w:rsidRDefault="00736FF5" w:rsidP="00EC14E0">
      <w:pPr>
        <w:spacing w:line="480" w:lineRule="auto"/>
        <w:contextualSpacing/>
        <w:jc w:val="both"/>
        <w:rPr>
          <w:rFonts w:eastAsia="Times New Roman"/>
          <w:sz w:val="24"/>
          <w:szCs w:val="24"/>
        </w:rPr>
      </w:pPr>
    </w:p>
    <w:p w14:paraId="73B6BE1A" w14:textId="4C98BFF5" w:rsidR="00736FF5" w:rsidRPr="0090664E" w:rsidRDefault="00401B29" w:rsidP="00EC14E0">
      <w:pPr>
        <w:pStyle w:val="Heading1"/>
        <w:spacing w:line="480" w:lineRule="auto"/>
        <w:contextualSpacing/>
        <w:jc w:val="both"/>
        <w:rPr>
          <w:rFonts w:eastAsia="Times New Roman"/>
          <w:b/>
          <w:sz w:val="28"/>
          <w:szCs w:val="28"/>
        </w:rPr>
      </w:pPr>
      <w:bookmarkStart w:id="10" w:name="_qea8h0e4kq36" w:colFirst="0" w:colLast="0"/>
      <w:bookmarkEnd w:id="10"/>
      <w:r w:rsidRPr="0090664E">
        <w:rPr>
          <w:rFonts w:eastAsia="Times New Roman"/>
          <w:b/>
          <w:sz w:val="28"/>
          <w:szCs w:val="28"/>
        </w:rPr>
        <w:t>Discussion</w:t>
      </w:r>
    </w:p>
    <w:p w14:paraId="1B08E935" w14:textId="77777777" w:rsidR="009F7F56" w:rsidRPr="009F7F56" w:rsidRDefault="009F7F56" w:rsidP="009F7F56"/>
    <w:p w14:paraId="44A7ECC6" w14:textId="77777777" w:rsidR="00736FF5" w:rsidRPr="00E3014E" w:rsidRDefault="00401B29" w:rsidP="00EC14E0">
      <w:pPr>
        <w:pStyle w:val="Heading1"/>
        <w:spacing w:line="480" w:lineRule="auto"/>
        <w:contextualSpacing/>
        <w:jc w:val="both"/>
        <w:rPr>
          <w:rFonts w:eastAsia="Times New Roman"/>
          <w:b/>
          <w:sz w:val="28"/>
          <w:szCs w:val="28"/>
        </w:rPr>
      </w:pPr>
      <w:bookmarkStart w:id="11" w:name="_30g3zc99iv1g" w:colFirst="0" w:colLast="0"/>
      <w:bookmarkEnd w:id="11"/>
      <w:r w:rsidRPr="00E3014E">
        <w:rPr>
          <w:rFonts w:eastAsia="Times New Roman"/>
          <w:b/>
          <w:sz w:val="28"/>
          <w:szCs w:val="28"/>
        </w:rPr>
        <w:t>Acknowledgements</w:t>
      </w:r>
    </w:p>
    <w:p w14:paraId="79332F2F" w14:textId="77777777" w:rsidR="00736FF5" w:rsidRPr="00F2588D" w:rsidRDefault="00401B29" w:rsidP="00EC14E0">
      <w:pPr>
        <w:spacing w:line="480" w:lineRule="auto"/>
        <w:contextualSpacing/>
        <w:jc w:val="both"/>
        <w:rPr>
          <w:rFonts w:eastAsia="Times New Roman"/>
          <w:sz w:val="24"/>
          <w:szCs w:val="24"/>
        </w:rPr>
      </w:pPr>
      <w:r w:rsidRPr="00F2588D">
        <w:rPr>
          <w:rFonts w:eastAsia="Times New Roman"/>
          <w:sz w:val="24"/>
          <w:szCs w:val="24"/>
        </w:rPr>
        <w:t>Jim Thorson, Martin Hansson at SMHI</w:t>
      </w:r>
    </w:p>
    <w:p w14:paraId="3BA61450" w14:textId="77777777" w:rsidR="00736FF5" w:rsidRPr="00F2588D" w:rsidRDefault="00736FF5" w:rsidP="00EC14E0">
      <w:pPr>
        <w:spacing w:line="480" w:lineRule="auto"/>
        <w:contextualSpacing/>
        <w:jc w:val="both"/>
        <w:rPr>
          <w:rFonts w:eastAsia="Times New Roman"/>
          <w:sz w:val="24"/>
          <w:szCs w:val="24"/>
        </w:rPr>
      </w:pPr>
    </w:p>
    <w:p w14:paraId="683C0072" w14:textId="5F8791D5" w:rsidR="00736FF5" w:rsidRPr="00DE563F" w:rsidRDefault="00401B29" w:rsidP="00EC14E0">
      <w:pPr>
        <w:pStyle w:val="Heading1"/>
        <w:spacing w:line="480" w:lineRule="auto"/>
        <w:contextualSpacing/>
        <w:jc w:val="both"/>
        <w:rPr>
          <w:rFonts w:eastAsia="Times New Roman"/>
          <w:b/>
          <w:sz w:val="28"/>
          <w:szCs w:val="28"/>
        </w:rPr>
      </w:pPr>
      <w:bookmarkStart w:id="12" w:name="_jwygf3u2rl9s" w:colFirst="0" w:colLast="0"/>
      <w:bookmarkEnd w:id="12"/>
      <w:r w:rsidRPr="00DE563F">
        <w:rPr>
          <w:rFonts w:eastAsia="Times New Roman"/>
          <w:b/>
          <w:sz w:val="28"/>
          <w:szCs w:val="28"/>
        </w:rPr>
        <w:lastRenderedPageBreak/>
        <w:t>Literature cited</w:t>
      </w:r>
    </w:p>
    <w:p w14:paraId="392AF1DB" w14:textId="77777777" w:rsidR="00C20AB4" w:rsidRPr="00702F1A" w:rsidRDefault="00C20AB4" w:rsidP="00EC14E0">
      <w:pPr>
        <w:pStyle w:val="Bibliography"/>
        <w:spacing w:line="480" w:lineRule="auto"/>
        <w:contextualSpacing/>
        <w:rPr>
          <w:rFonts w:ascii="Arial" w:hAnsi="Arial" w:cs="Arial"/>
          <w:lang w:val="sv-SE"/>
        </w:rPr>
      </w:pPr>
      <w:r>
        <w:fldChar w:fldCharType="begin"/>
      </w:r>
      <w:r>
        <w:instrText xml:space="preserve"> ADDIN ZOTERO_BIBL {"uncited":[],"omitted":[],"custom":[]} CSL_BIBLIOGRAPHY </w:instrText>
      </w:r>
      <w:r>
        <w:fldChar w:fldCharType="separate"/>
      </w:r>
      <w:r w:rsidRPr="00C20AB4">
        <w:rPr>
          <w:rFonts w:ascii="Arial" w:hAnsi="Arial" w:cs="Arial"/>
        </w:rPr>
        <w:t xml:space="preserve">Aro, E. 1989. A review of fish migration patterns in the Baltic. </w:t>
      </w:r>
      <w:r w:rsidRPr="00702F1A">
        <w:rPr>
          <w:rFonts w:ascii="Arial" w:hAnsi="Arial" w:cs="Arial"/>
          <w:lang w:val="sv-SE"/>
        </w:rPr>
        <w:t>Rap. Proc.-verb. Re. Cons. Int. Explor. Mer, 190: 72–96.</w:t>
      </w:r>
    </w:p>
    <w:p w14:paraId="3F8D2631" w14:textId="77777777" w:rsidR="00C20AB4" w:rsidRPr="00C20AB4" w:rsidRDefault="00C20AB4" w:rsidP="00EC14E0">
      <w:pPr>
        <w:pStyle w:val="Bibliography"/>
        <w:spacing w:line="480" w:lineRule="auto"/>
        <w:contextualSpacing/>
        <w:rPr>
          <w:rFonts w:ascii="Arial" w:hAnsi="Arial" w:cs="Arial"/>
        </w:rPr>
      </w:pPr>
      <w:r w:rsidRPr="00702F1A">
        <w:rPr>
          <w:rFonts w:ascii="Arial" w:hAnsi="Arial" w:cs="Arial"/>
          <w:lang w:val="sv-SE"/>
        </w:rPr>
        <w:t xml:space="preserve">Bergström, U., Englund, G., and Bonsdorff, E. 2002. </w:t>
      </w:r>
      <w:r w:rsidRPr="00C20AB4">
        <w:rPr>
          <w:rFonts w:ascii="Arial" w:hAnsi="Arial" w:cs="Arial"/>
        </w:rPr>
        <w:t>Small-scale spatial structure of Baltic Sea zoobenthos—inferring processes from patterns. Journal of Experimental Marine Biology and Ecology, 281: 123–136.</w:t>
      </w:r>
    </w:p>
    <w:p w14:paraId="24FEF228"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Beverton, R. J. H., and Holt, S. J. 1957. On the Dynamics of Exploited Fish Populations. Fishery Investigations London Series 2, Volume 19.</w:t>
      </w:r>
    </w:p>
    <w:p w14:paraId="639C9F87"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Boyd, C., Woillez, M., Bertrand, S., Castillo, R., Bertrand, A., Punt, A. E., and Trenkel, V. 2015. Bayesian posterior prediction of the patchy spatial distributions of small pelagic fish in regions of suitable habitat. Canadian Journal of Fisheries and Aquatic Sciences, 72: 290–303.</w:t>
      </w:r>
    </w:p>
    <w:p w14:paraId="0AA0E453"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Bromley, P. J. 2000. Growth, sexual maturation and spawning in central North Sea plaice (Pleuronectes platessa L.), and the generation of maturity ogives from commercial catch data. Journal of Sea Research, 44: 27–43.</w:t>
      </w:r>
    </w:p>
    <w:p w14:paraId="5963F54E"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Cardinale, M., and Arrhenius, F. 2000. Decreasing weight-at-age of Atlantic herring (Clupea harengus) from the Baltic Sea between 1986 and 1996: a statistical analysis. ICES Journal of Marine Science, 57: 882–893. Oxford Academic.</w:t>
      </w:r>
    </w:p>
    <w:p w14:paraId="6AC6912B"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Casini, M., Cardinale, M., and Hjelm, J. 2006. Inter-annual variation in herring, Clupea harengus, and sprat, Sprattus sprattus, condition in the central Baltic Sea: what gives the tune? Oikos, 112: 638–650.</w:t>
      </w:r>
    </w:p>
    <w:p w14:paraId="5EBC04AC"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 xml:space="preserve">Casini, M., Hjelm, J., Molinero, J.-C., Lövgren, J., Cardinale, M., Bartolino, V., Belgrano, A., </w:t>
      </w:r>
      <w:r w:rsidRPr="00C20AB4">
        <w:rPr>
          <w:rFonts w:ascii="Arial" w:hAnsi="Arial" w:cs="Arial"/>
          <w:i/>
          <w:iCs/>
        </w:rPr>
        <w:t>et al.</w:t>
      </w:r>
      <w:r w:rsidRPr="00C20AB4">
        <w:rPr>
          <w:rFonts w:ascii="Arial" w:hAnsi="Arial" w:cs="Arial"/>
        </w:rPr>
        <w:t xml:space="preserve"> 2009. Trophic cascades promote threshold-like shifts in pelagic marine ecosystems. Proceedings of the National Academy of Sciences, USA, 106: 197–202.</w:t>
      </w:r>
    </w:p>
    <w:p w14:paraId="6E0C239B"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 xml:space="preserve">Casini, M., Käll, F., Hansson, M., Plikshs, M., Baranova, T., Karlsson, O., Lundström, K., </w:t>
      </w:r>
      <w:r w:rsidRPr="00C20AB4">
        <w:rPr>
          <w:rFonts w:ascii="Arial" w:hAnsi="Arial" w:cs="Arial"/>
          <w:i/>
          <w:iCs/>
        </w:rPr>
        <w:t>et al.</w:t>
      </w:r>
      <w:r w:rsidRPr="00C20AB4">
        <w:rPr>
          <w:rFonts w:ascii="Arial" w:hAnsi="Arial" w:cs="Arial"/>
        </w:rPr>
        <w:t xml:space="preserve"> 2016a. Hypoxic areas, density-dependence and food limitation drive the body </w:t>
      </w:r>
      <w:r w:rsidRPr="00C20AB4">
        <w:rPr>
          <w:rFonts w:ascii="Arial" w:hAnsi="Arial" w:cs="Arial"/>
        </w:rPr>
        <w:lastRenderedPageBreak/>
        <w:t>condition of a heavily exploited marine fish predator. Royal Society Open Science, 3: 160416.</w:t>
      </w:r>
    </w:p>
    <w:p w14:paraId="62BEEB71"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Casini, M., Eero, M., Carlshamre, S., and Lövgren, J. 2016b. Using alternative biological information in stock assessment: condition-corrected natural mortality of Eastern Baltic cod. ICES Journal of Marine Science, 73: 2625–2631. Oxford Academic.</w:t>
      </w:r>
    </w:p>
    <w:p w14:paraId="515B2AE3"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Dutil, J.-D., and Lambert, Y. 2000. Natural mortality from poor condition in Atlantic cod (Gadus morhua). Canadian Journal of Fisheries and Aquatic Sciences. NRC Research Press Ottawa, Canada. https://cdnsciencepub.com/doi/abs/10.1139/f00-023 (Accessed 8 October 2020).</w:t>
      </w:r>
    </w:p>
    <w:p w14:paraId="31892254"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Froese, R., Thorson, J. T., and Reyes, R. B. 2014. A Bayesian approach for estimating length-weight relationships in fishes. Journal of Applied Ichthyology, 30: 78–85.</w:t>
      </w:r>
    </w:p>
    <w:p w14:paraId="74F6BE83"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Gårdmark, A., Casini, M., Huss, M., van Leeuwen, A., Hjelm, J., Persson, L., and de Roos, A. M. 2015. Regime shifts in exploited marine food webs: detecting mechanisms underlying alternative stable states using size-structured community dynamics theory. Philosophical Transactions of the Royal Society B: Biological Sciences, 370: 20130262.</w:t>
      </w:r>
    </w:p>
    <w:p w14:paraId="38F7AB2A"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Greer, A. T., Cowen, R. K., Guigand, C. M., and Hare, J. A. 2015. Fine-scale planktonic habitat partitioning at a shelf-slope front revealed by a high-resolution imaging system. Journal of Marine Systems, 142: 111–125.</w:t>
      </w:r>
    </w:p>
    <w:p w14:paraId="106E429A"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Grüss, A., Gao, J., Thorson, J., Rooper, C., Thompson, G., Boldt, J., and Lauth, R. 2020. Estimating synchronous changes in condition and density in eastern Bering Sea fishes. Marine Ecology Progress Series, 635: 169–185.</w:t>
      </w:r>
    </w:p>
    <w:p w14:paraId="70FDC756"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Hislop, J. R. G., Robb, A. P., and Gauld, J. A. 1978. Observations on effects of feeding level on growth and reproduction in haddock, Melanogrammus aeglefinus (L.) in captivity. Journal of Fish Biology, 13: 85–98.</w:t>
      </w:r>
    </w:p>
    <w:p w14:paraId="52D533B0"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Jørgensen, C., Ernande, B., Fiksen, Ø., and Dieckmann, U. 2006. The logic of skipped spawning in fish. Canadian Journal of Fisheries and Aquatic Sciences, 63: 200–211. NRC Research Press.</w:t>
      </w:r>
    </w:p>
    <w:p w14:paraId="582CD41B"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lastRenderedPageBreak/>
        <w:t>Le Cren, E. D. 1951. The Length-Weight Relationship and Seasonal Cycle in Gonad Weight and Condition in the Perch (Perca fluviatilis). Journal of Animal Ecology, 20: 201–219. [Wiley, British Ecological Society].</w:t>
      </w:r>
    </w:p>
    <w:p w14:paraId="4AD20299"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Marshall, C. T., and Frank, K. T. 1999. The effect of interannual variation in growth and condition on haddock recruitment. Canadian Journal of Fisheries and Aquatic Sciences, 56: 347–355. NRC Research Press.</w:t>
      </w:r>
    </w:p>
    <w:p w14:paraId="75BA8BE8"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 xml:space="preserve">Mion, M., Thorsen, A., Vitale, F., Dierking, J., Herrmann, J. P., Huwer, B., von Dewitz, B., </w:t>
      </w:r>
      <w:r w:rsidRPr="00C20AB4">
        <w:rPr>
          <w:rFonts w:ascii="Arial" w:hAnsi="Arial" w:cs="Arial"/>
          <w:i/>
          <w:iCs/>
        </w:rPr>
        <w:t>et al.</w:t>
      </w:r>
      <w:r w:rsidRPr="00C20AB4">
        <w:rPr>
          <w:rFonts w:ascii="Arial" w:hAnsi="Arial" w:cs="Arial"/>
        </w:rPr>
        <w:t xml:space="preserve"> 2018. Effect of fish length and nutritional condition on the fecundity of distressed Atlantic cod </w:t>
      </w:r>
      <w:r w:rsidRPr="00C20AB4">
        <w:rPr>
          <w:rFonts w:ascii="Arial" w:hAnsi="Arial" w:cs="Arial"/>
          <w:i/>
          <w:iCs/>
        </w:rPr>
        <w:t>Gadus morhua</w:t>
      </w:r>
      <w:r w:rsidRPr="00C20AB4">
        <w:rPr>
          <w:rFonts w:ascii="Arial" w:hAnsi="Arial" w:cs="Arial"/>
        </w:rPr>
        <w:t xml:space="preserve"> from the Baltic Sea: POTENTIAL FECUNDITY OF BALTIC </w:t>
      </w:r>
      <w:r w:rsidRPr="00C20AB4">
        <w:rPr>
          <w:rFonts w:ascii="Arial" w:hAnsi="Arial" w:cs="Arial"/>
          <w:i/>
          <w:iCs/>
        </w:rPr>
        <w:t>G. MORHUA</w:t>
      </w:r>
      <w:r w:rsidRPr="00C20AB4">
        <w:rPr>
          <w:rFonts w:ascii="Arial" w:hAnsi="Arial" w:cs="Arial"/>
        </w:rPr>
        <w:t>. Journal of Fish Biology, 92: 1016–1034.</w:t>
      </w:r>
    </w:p>
    <w:p w14:paraId="10964BCE"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Möllmann, C., Kornilovs, G., Fetter, M., Köster, F. W., and Hinrichsen, H.-H. 2003. The marine copepod, Pseudocalanus elongatus, as a mediator between climate variability and fisheries in the Central Baltic Sea. Fisheries Oceanography, 12: 360–368.</w:t>
      </w:r>
    </w:p>
    <w:p w14:paraId="70E6CF83"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Möllmann, C., Diekmann, R., Müller</w:t>
      </w:r>
      <w:r w:rsidRPr="00C20AB4">
        <w:rPr>
          <w:rFonts w:ascii="Cambria Math" w:hAnsi="Cambria Math" w:cs="Cambria Math"/>
        </w:rPr>
        <w:t>‐</w:t>
      </w:r>
      <w:r w:rsidRPr="00C20AB4">
        <w:rPr>
          <w:rFonts w:ascii="Arial" w:hAnsi="Arial" w:cs="Arial"/>
        </w:rPr>
        <w:t>Karulis, B., Kornilovs, G., Plikshs, M., and Axe, P. 2009. Reorganization of a large marine ecosystem due to atmospheric and anthropogenic pressure: a discontinuous regime shift in the Central Baltic Sea. Global Change Biology, 15: 1377–1393.</w:t>
      </w:r>
    </w:p>
    <w:p w14:paraId="61B3BED6"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Morgan, M. J., Rideout, R. M., and Colbourne, E. B. 2010. Impact of environmental temperature on Atlantic cod Gadus morhua energy allocation to growth, condition and reproduction. Marine Ecology Progress Series, 404: 185–195.</w:t>
      </w:r>
    </w:p>
    <w:p w14:paraId="47AD0776" w14:textId="77777777" w:rsidR="00C20AB4" w:rsidRPr="004A3CA5" w:rsidRDefault="00C20AB4" w:rsidP="00EC14E0">
      <w:pPr>
        <w:pStyle w:val="Bibliography"/>
        <w:spacing w:line="480" w:lineRule="auto"/>
        <w:contextualSpacing/>
        <w:rPr>
          <w:rFonts w:ascii="Arial" w:hAnsi="Arial" w:cs="Arial"/>
          <w:lang w:val="sv-SE"/>
        </w:rPr>
      </w:pPr>
      <w:r w:rsidRPr="00C20AB4">
        <w:rPr>
          <w:rFonts w:ascii="Arial" w:hAnsi="Arial" w:cs="Arial"/>
        </w:rPr>
        <w:t xml:space="preserve">Nash, R., Valencia, A., and Geffen, A. 2006. The origin of fulton’s condition factor : Setting the record straight. </w:t>
      </w:r>
      <w:r w:rsidRPr="004A3CA5">
        <w:rPr>
          <w:rFonts w:ascii="Arial" w:hAnsi="Arial" w:cs="Arial"/>
          <w:lang w:val="sv-SE"/>
        </w:rPr>
        <w:t>Fisheries, 31: 236–238.</w:t>
      </w:r>
    </w:p>
    <w:p w14:paraId="54040D09" w14:textId="77777777" w:rsidR="00C20AB4" w:rsidRPr="00C20AB4" w:rsidRDefault="00C20AB4" w:rsidP="00EC14E0">
      <w:pPr>
        <w:pStyle w:val="Bibliography"/>
        <w:spacing w:line="480" w:lineRule="auto"/>
        <w:contextualSpacing/>
        <w:rPr>
          <w:rFonts w:ascii="Arial" w:hAnsi="Arial" w:cs="Arial"/>
        </w:rPr>
      </w:pPr>
      <w:r w:rsidRPr="004A3CA5">
        <w:rPr>
          <w:rFonts w:ascii="Arial" w:hAnsi="Arial" w:cs="Arial"/>
          <w:lang w:val="sv-SE"/>
        </w:rPr>
        <w:t xml:space="preserve">Neuenfeldt, S., Bartolino, V., Orio, A., Andersen, K. H., Andersen, N. G., Niiranen, S., Bergström, U., </w:t>
      </w:r>
      <w:r w:rsidRPr="004A3CA5">
        <w:rPr>
          <w:rFonts w:ascii="Arial" w:hAnsi="Arial" w:cs="Arial"/>
          <w:i/>
          <w:iCs/>
          <w:lang w:val="sv-SE"/>
        </w:rPr>
        <w:t>et al.</w:t>
      </w:r>
      <w:r w:rsidRPr="004A3CA5">
        <w:rPr>
          <w:rFonts w:ascii="Arial" w:hAnsi="Arial" w:cs="Arial"/>
          <w:lang w:val="sv-SE"/>
        </w:rPr>
        <w:t xml:space="preserve"> 2019. </w:t>
      </w:r>
      <w:r w:rsidRPr="00C20AB4">
        <w:rPr>
          <w:rFonts w:ascii="Arial" w:hAnsi="Arial" w:cs="Arial"/>
        </w:rPr>
        <w:t>Feeding and growth of Atlantic cod (Gadus morhua L.) in the eastern Baltic Sea under environmental change. ICES Journal of Marine Science: fsz224.</w:t>
      </w:r>
    </w:p>
    <w:p w14:paraId="3A7503F0"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Omori, M., and Hamner, W. M. 1982. Patchy distribution of zooplankton: Behavior, population assessment and sampling problems. Marine Biology, 72: 193–200.</w:t>
      </w:r>
    </w:p>
    <w:p w14:paraId="3624D6B8"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lastRenderedPageBreak/>
        <w:t>Orio, A., Bergström, U., Florin, A.-B., Lehmann, A., Šics, I., and Casini, M. 2019. Spatial contraction of demersal fish populations in a large marine ecosystem. Journal of Biogeography, 46: 633–645. John Wiley &amp; Sons, Ltd.</w:t>
      </w:r>
    </w:p>
    <w:p w14:paraId="3E4E2417"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Ricker, W. E. 1975. Computation and interpretation of biological statistics of fish populations. Bulletin of the Fisheries Research Board of Canada, 191: 1–382.</w:t>
      </w:r>
    </w:p>
    <w:p w14:paraId="56CB58A0"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Svedäng, H., and Hornborg, S. 2014. Selective fishing induces density-dependent growth. Nature Communications, 5: 4152.</w:t>
      </w:r>
    </w:p>
    <w:p w14:paraId="5213DCE6"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Thorson, J. T. 2015. Spatio-temporal variation in fish condition is not consistently explained by density, temperature, or season for California Current groundfishes. Marine Ecology Progress Series, 526: 101–112.</w:t>
      </w:r>
    </w:p>
    <w:p w14:paraId="5F0E372C" w14:textId="77777777" w:rsidR="00C20AB4" w:rsidRPr="00C20AB4" w:rsidRDefault="00C20AB4" w:rsidP="00EC14E0">
      <w:pPr>
        <w:pStyle w:val="Bibliography"/>
        <w:spacing w:line="480" w:lineRule="auto"/>
        <w:contextualSpacing/>
        <w:rPr>
          <w:rFonts w:ascii="Arial" w:hAnsi="Arial" w:cs="Arial"/>
        </w:rPr>
      </w:pPr>
      <w:r w:rsidRPr="00C20AB4">
        <w:rPr>
          <w:rFonts w:ascii="Arial" w:hAnsi="Arial" w:cs="Arial"/>
        </w:rPr>
        <w:t>Yaragina, N. A., and Marshall, C. T. 2000. Trophic influences on interannual and seasonal variation in the liver condition index of Northeast Arctic cod (Gadus morhua). ICES Journal of Marine Science, 57: 42–55. Oxford Academic.</w:t>
      </w:r>
    </w:p>
    <w:p w14:paraId="6EF28758" w14:textId="034A4297" w:rsidR="00013F94" w:rsidRPr="00013F94" w:rsidRDefault="00C20AB4" w:rsidP="00EC14E0">
      <w:pPr>
        <w:spacing w:line="480" w:lineRule="auto"/>
        <w:contextualSpacing/>
      </w:pPr>
      <w:r>
        <w:fldChar w:fldCharType="end"/>
      </w:r>
    </w:p>
    <w:p w14:paraId="2A4665D7" w14:textId="77777777" w:rsidR="00EC6DA2" w:rsidRPr="00F2588D" w:rsidRDefault="00EC6DA2" w:rsidP="00EC14E0">
      <w:pPr>
        <w:spacing w:line="480" w:lineRule="auto"/>
        <w:contextualSpacing/>
        <w:rPr>
          <w:sz w:val="24"/>
          <w:szCs w:val="24"/>
        </w:rPr>
      </w:pPr>
    </w:p>
    <w:p w14:paraId="60EA16D0" w14:textId="77777777" w:rsidR="00736FF5" w:rsidRPr="00F2588D" w:rsidRDefault="00736FF5" w:rsidP="00EC14E0">
      <w:pPr>
        <w:spacing w:line="480" w:lineRule="auto"/>
        <w:contextualSpacing/>
        <w:jc w:val="both"/>
        <w:rPr>
          <w:rFonts w:eastAsia="Times New Roman"/>
          <w:sz w:val="24"/>
          <w:szCs w:val="24"/>
        </w:rPr>
      </w:pPr>
    </w:p>
    <w:sectPr w:rsidR="00736FF5" w:rsidRPr="00F2588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Max Lindmark" w:date="2020-10-22T09:06:00Z" w:initials="ML">
    <w:p w14:paraId="60CBE5C4" w14:textId="70714506" w:rsidR="006550C8" w:rsidRDefault="006550C8">
      <w:pPr>
        <w:pStyle w:val="CommentText"/>
      </w:pPr>
      <w:r>
        <w:rPr>
          <w:rStyle w:val="CommentReference"/>
        </w:rPr>
        <w:annotationRef/>
      </w:r>
      <w:r>
        <w:t>Refs in Casini</w:t>
      </w:r>
    </w:p>
  </w:comment>
  <w:comment w:id="2" w:author="Max Lindmark" w:date="2020-10-23T15:39:00Z" w:initials="ML">
    <w:p w14:paraId="4DB02E9D" w14:textId="5132100A" w:rsidR="00803FFD" w:rsidRDefault="00803FFD">
      <w:pPr>
        <w:pStyle w:val="CommentText"/>
      </w:pPr>
      <w:r>
        <w:rPr>
          <w:rStyle w:val="CommentReference"/>
        </w:rPr>
        <w:annotationRef/>
      </w:r>
      <w:r>
        <w:t xml:space="preserve">And cite also carlseten here… </w:t>
      </w:r>
      <w:r w:rsidR="00702F1A">
        <w:t>missing benthic biomass, stagnation period etc etc, climate drivers vs eutrophication etc</w:t>
      </w:r>
    </w:p>
  </w:comment>
  <w:comment w:id="4" w:author="Max Lindmark" w:date="2020-10-14T12:54:00Z" w:initials="">
    <w:p w14:paraId="09A21AEF" w14:textId="77777777" w:rsidR="00736FF5" w:rsidRPr="00522ED0" w:rsidRDefault="00401B29">
      <w:pPr>
        <w:widowControl w:val="0"/>
        <w:pBdr>
          <w:top w:val="nil"/>
          <w:left w:val="nil"/>
          <w:bottom w:val="nil"/>
          <w:right w:val="nil"/>
          <w:between w:val="nil"/>
        </w:pBdr>
        <w:spacing w:line="240" w:lineRule="auto"/>
        <w:rPr>
          <w:color w:val="000000"/>
        </w:rPr>
      </w:pPr>
      <w:r w:rsidRPr="00522ED0">
        <w:rPr>
          <w:color w:val="000000"/>
        </w:rPr>
        <w:t>If a add a summary paragraph on the importance of the paper, could cite Mion and Casini 2016 on inclusion of biological knowledge for assessment. Or do that for discussion?</w:t>
      </w:r>
    </w:p>
  </w:comment>
  <w:comment w:id="6" w:author="Max Lindmark" w:date="2020-10-23T15:42:00Z" w:initials="ML">
    <w:p w14:paraId="70AD6DA8" w14:textId="478C7C76" w:rsidR="000919D3" w:rsidRDefault="000919D3">
      <w:pPr>
        <w:pStyle w:val="CommentText"/>
      </w:pPr>
      <w:r>
        <w:rPr>
          <w:rStyle w:val="CommentReference"/>
        </w:rPr>
        <w:annotationRef/>
      </w:r>
      <w:r>
        <w:t>Downloaded on 2020-10-23</w:t>
      </w:r>
    </w:p>
  </w:comment>
  <w:comment w:id="7" w:author="Max Lindmark" w:date="2020-10-22T09:30:00Z" w:initials="ML">
    <w:p w14:paraId="7EED8180" w14:textId="4CE77843" w:rsidR="00D901E7" w:rsidRPr="00D901E7" w:rsidRDefault="00D901E7">
      <w:pPr>
        <w:pStyle w:val="CommentText"/>
      </w:pPr>
      <w:r w:rsidRPr="00D901E7">
        <w:rPr>
          <w:rStyle w:val="CommentReference"/>
        </w:rPr>
        <w:annotationRef/>
      </w:r>
      <w:r w:rsidRPr="00D901E7">
        <w:t>Check Sean</w:t>
      </w:r>
      <w:r w:rsidR="002E604F">
        <w:t xml:space="preserve">s </w:t>
      </w:r>
      <w:r w:rsidR="007F01BB">
        <w:t xml:space="preserve">vignette, try to make it consisten with subscript and bold (but he doesn’t index </w:t>
      </w:r>
      <w:r w:rsidR="00C5438B">
        <w:t>i</w:t>
      </w:r>
      <w:r w:rsidR="007F01BB">
        <w:t xml:space="preserve"> for data point?)</w:t>
      </w:r>
    </w:p>
  </w:comment>
  <w:comment w:id="8" w:author="Max Lindmark" w:date="2020-10-22T09:38:00Z" w:initials="ML">
    <w:p w14:paraId="339A9471" w14:textId="25EBAC3D" w:rsidR="00D3058D" w:rsidRPr="00D3058D" w:rsidRDefault="00D3058D" w:rsidP="00D3058D">
      <w:pPr>
        <w:widowControl w:val="0"/>
        <w:pBdr>
          <w:top w:val="nil"/>
          <w:left w:val="nil"/>
          <w:bottom w:val="nil"/>
          <w:right w:val="nil"/>
          <w:between w:val="nil"/>
        </w:pBdr>
        <w:spacing w:line="240" w:lineRule="auto"/>
        <w:rPr>
          <w:color w:val="000000"/>
        </w:rPr>
      </w:pPr>
      <w:r>
        <w:rPr>
          <w:rStyle w:val="CommentReference"/>
        </w:rPr>
        <w:annotationRef/>
      </w:r>
      <w:r w:rsidRPr="005A7098">
        <w:rPr>
          <w:color w:val="000000"/>
        </w:rPr>
        <w:t>This could perhaps go into the supplement</w:t>
      </w:r>
      <w:r>
        <w:rPr>
          <w:color w:val="000000"/>
        </w:rPr>
        <w:t xml:space="preserve"> together with the r markdown (that could be a separate supp)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CBE5C4" w15:done="0"/>
  <w15:commentEx w15:paraId="4DB02E9D" w15:done="0"/>
  <w15:commentEx w15:paraId="09A21AEF" w15:done="0"/>
  <w15:commentEx w15:paraId="70AD6DA8" w15:done="0"/>
  <w15:commentEx w15:paraId="7EED8180" w15:done="0"/>
  <w15:commentEx w15:paraId="339A94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CA0F" w16cex:dateUtc="2020-10-22T07:06:00Z"/>
  <w16cex:commentExtensible w16cex:durableId="233D77CB" w16cex:dateUtc="2020-10-23T13:39:00Z"/>
  <w16cex:commentExtensible w16cex:durableId="233D7875" w16cex:dateUtc="2020-10-23T13:42:00Z"/>
  <w16cex:commentExtensible w16cex:durableId="233BCFD2" w16cex:dateUtc="2020-10-22T07:30:00Z"/>
  <w16cex:commentExtensible w16cex:durableId="233BD18D" w16cex:dateUtc="2020-10-22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CBE5C4" w16cid:durableId="233BCA0F"/>
  <w16cid:commentId w16cid:paraId="4DB02E9D" w16cid:durableId="233D77CB"/>
  <w16cid:commentId w16cid:paraId="09A21AEF" w16cid:durableId="233BC7AF"/>
  <w16cid:commentId w16cid:paraId="70AD6DA8" w16cid:durableId="233D7875"/>
  <w16cid:commentId w16cid:paraId="7EED8180" w16cid:durableId="233BCFD2"/>
  <w16cid:commentId w16cid:paraId="339A9471" w16cid:durableId="233BD1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9BF6E" w14:textId="77777777" w:rsidR="000D3097" w:rsidRDefault="000D3097">
      <w:pPr>
        <w:spacing w:line="240" w:lineRule="auto"/>
      </w:pPr>
      <w:r>
        <w:separator/>
      </w:r>
    </w:p>
  </w:endnote>
  <w:endnote w:type="continuationSeparator" w:id="0">
    <w:p w14:paraId="746B1D94" w14:textId="77777777" w:rsidR="000D3097" w:rsidRDefault="000D3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E5D04" w14:textId="77777777" w:rsidR="000D3097" w:rsidRDefault="000D3097">
      <w:pPr>
        <w:spacing w:line="240" w:lineRule="auto"/>
      </w:pPr>
      <w:r>
        <w:separator/>
      </w:r>
    </w:p>
  </w:footnote>
  <w:footnote w:type="continuationSeparator" w:id="0">
    <w:p w14:paraId="09C2C62C" w14:textId="77777777" w:rsidR="000D3097" w:rsidRDefault="000D309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 Lindmark">
    <w15:presenceInfo w15:providerId="AD" w15:userId="S::max.lindmark@slu.se::74a91d58-1def-4e6c-a200-e80e4af38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FF5"/>
    <w:rsid w:val="00013F94"/>
    <w:rsid w:val="000411D5"/>
    <w:rsid w:val="00090940"/>
    <w:rsid w:val="000919D3"/>
    <w:rsid w:val="000925BB"/>
    <w:rsid w:val="000A09D0"/>
    <w:rsid w:val="000A513B"/>
    <w:rsid w:val="000D3097"/>
    <w:rsid w:val="00113489"/>
    <w:rsid w:val="00121E20"/>
    <w:rsid w:val="00153E2E"/>
    <w:rsid w:val="00154322"/>
    <w:rsid w:val="001565D4"/>
    <w:rsid w:val="001765B8"/>
    <w:rsid w:val="001957AC"/>
    <w:rsid w:val="001A386E"/>
    <w:rsid w:val="001A4FA5"/>
    <w:rsid w:val="0020089E"/>
    <w:rsid w:val="00203F49"/>
    <w:rsid w:val="00227C4E"/>
    <w:rsid w:val="00234612"/>
    <w:rsid w:val="0024794B"/>
    <w:rsid w:val="002521B9"/>
    <w:rsid w:val="00253E32"/>
    <w:rsid w:val="00254470"/>
    <w:rsid w:val="00292DFB"/>
    <w:rsid w:val="00297013"/>
    <w:rsid w:val="00297164"/>
    <w:rsid w:val="002A12F9"/>
    <w:rsid w:val="002B1E6B"/>
    <w:rsid w:val="002B4FEE"/>
    <w:rsid w:val="002D53A7"/>
    <w:rsid w:val="002D5BA9"/>
    <w:rsid w:val="002D689E"/>
    <w:rsid w:val="002E0D05"/>
    <w:rsid w:val="002E5189"/>
    <w:rsid w:val="002E5F7A"/>
    <w:rsid w:val="002E604F"/>
    <w:rsid w:val="002F685D"/>
    <w:rsid w:val="0032206D"/>
    <w:rsid w:val="0032765E"/>
    <w:rsid w:val="00333B34"/>
    <w:rsid w:val="0033437F"/>
    <w:rsid w:val="00341DE0"/>
    <w:rsid w:val="003508D1"/>
    <w:rsid w:val="003513DC"/>
    <w:rsid w:val="00351788"/>
    <w:rsid w:val="00354770"/>
    <w:rsid w:val="00382BDF"/>
    <w:rsid w:val="0039016B"/>
    <w:rsid w:val="003A002E"/>
    <w:rsid w:val="003C005A"/>
    <w:rsid w:val="00401B29"/>
    <w:rsid w:val="00423ACD"/>
    <w:rsid w:val="00436258"/>
    <w:rsid w:val="00437AF5"/>
    <w:rsid w:val="00443B23"/>
    <w:rsid w:val="00447601"/>
    <w:rsid w:val="00451358"/>
    <w:rsid w:val="00454CF1"/>
    <w:rsid w:val="00462B60"/>
    <w:rsid w:val="00466EBB"/>
    <w:rsid w:val="00481A65"/>
    <w:rsid w:val="004A3CA5"/>
    <w:rsid w:val="004B1C4F"/>
    <w:rsid w:val="004B622A"/>
    <w:rsid w:val="004D41C9"/>
    <w:rsid w:val="00522ED0"/>
    <w:rsid w:val="00530E59"/>
    <w:rsid w:val="00532155"/>
    <w:rsid w:val="00540B6F"/>
    <w:rsid w:val="00550DE3"/>
    <w:rsid w:val="00552C2E"/>
    <w:rsid w:val="00554191"/>
    <w:rsid w:val="00557843"/>
    <w:rsid w:val="00583309"/>
    <w:rsid w:val="0059110F"/>
    <w:rsid w:val="005A0CDA"/>
    <w:rsid w:val="005A707C"/>
    <w:rsid w:val="005A7098"/>
    <w:rsid w:val="005B1553"/>
    <w:rsid w:val="005B2B37"/>
    <w:rsid w:val="005B330D"/>
    <w:rsid w:val="005C2BA7"/>
    <w:rsid w:val="005C3295"/>
    <w:rsid w:val="005E31D0"/>
    <w:rsid w:val="005F06DB"/>
    <w:rsid w:val="00607309"/>
    <w:rsid w:val="00633B03"/>
    <w:rsid w:val="00640AC9"/>
    <w:rsid w:val="00645452"/>
    <w:rsid w:val="006458A2"/>
    <w:rsid w:val="0065164A"/>
    <w:rsid w:val="006550C8"/>
    <w:rsid w:val="00684030"/>
    <w:rsid w:val="0068680E"/>
    <w:rsid w:val="00694D36"/>
    <w:rsid w:val="00695F2E"/>
    <w:rsid w:val="006A054E"/>
    <w:rsid w:val="006B53E8"/>
    <w:rsid w:val="006C438F"/>
    <w:rsid w:val="006D08DE"/>
    <w:rsid w:val="006F3B2A"/>
    <w:rsid w:val="006F51F3"/>
    <w:rsid w:val="00702F1A"/>
    <w:rsid w:val="007079A5"/>
    <w:rsid w:val="00713805"/>
    <w:rsid w:val="00715F10"/>
    <w:rsid w:val="00717ED9"/>
    <w:rsid w:val="007203A5"/>
    <w:rsid w:val="007357B7"/>
    <w:rsid w:val="00736FF5"/>
    <w:rsid w:val="00737AD2"/>
    <w:rsid w:val="0077022B"/>
    <w:rsid w:val="00782F8F"/>
    <w:rsid w:val="00790C6A"/>
    <w:rsid w:val="007A28BD"/>
    <w:rsid w:val="007D0945"/>
    <w:rsid w:val="007D4FBE"/>
    <w:rsid w:val="007E4A82"/>
    <w:rsid w:val="007F01BB"/>
    <w:rsid w:val="007F325C"/>
    <w:rsid w:val="007F3FFE"/>
    <w:rsid w:val="007F704C"/>
    <w:rsid w:val="00803FFD"/>
    <w:rsid w:val="00806DC7"/>
    <w:rsid w:val="008102D6"/>
    <w:rsid w:val="00835097"/>
    <w:rsid w:val="00854D74"/>
    <w:rsid w:val="00862F37"/>
    <w:rsid w:val="0088131B"/>
    <w:rsid w:val="00890F58"/>
    <w:rsid w:val="0089271C"/>
    <w:rsid w:val="00893B7A"/>
    <w:rsid w:val="008B70BF"/>
    <w:rsid w:val="0090605B"/>
    <w:rsid w:val="0090664E"/>
    <w:rsid w:val="00921522"/>
    <w:rsid w:val="00926269"/>
    <w:rsid w:val="0092784C"/>
    <w:rsid w:val="009566BD"/>
    <w:rsid w:val="00966050"/>
    <w:rsid w:val="0099081E"/>
    <w:rsid w:val="009B6B1B"/>
    <w:rsid w:val="009E2FD8"/>
    <w:rsid w:val="009E4C55"/>
    <w:rsid w:val="009F7F56"/>
    <w:rsid w:val="00A0651B"/>
    <w:rsid w:val="00A16228"/>
    <w:rsid w:val="00A4125F"/>
    <w:rsid w:val="00A61B06"/>
    <w:rsid w:val="00A8128E"/>
    <w:rsid w:val="00AA4B22"/>
    <w:rsid w:val="00AD774C"/>
    <w:rsid w:val="00AF6F82"/>
    <w:rsid w:val="00B02133"/>
    <w:rsid w:val="00B1237C"/>
    <w:rsid w:val="00B129DB"/>
    <w:rsid w:val="00B13C4E"/>
    <w:rsid w:val="00B3042A"/>
    <w:rsid w:val="00B61672"/>
    <w:rsid w:val="00B628CF"/>
    <w:rsid w:val="00B70A38"/>
    <w:rsid w:val="00B85651"/>
    <w:rsid w:val="00B904E9"/>
    <w:rsid w:val="00BA0ED3"/>
    <w:rsid w:val="00BB0E97"/>
    <w:rsid w:val="00BB29DF"/>
    <w:rsid w:val="00BC21D3"/>
    <w:rsid w:val="00BD743D"/>
    <w:rsid w:val="00C15171"/>
    <w:rsid w:val="00C177D6"/>
    <w:rsid w:val="00C20AB4"/>
    <w:rsid w:val="00C42BBD"/>
    <w:rsid w:val="00C512DA"/>
    <w:rsid w:val="00C51837"/>
    <w:rsid w:val="00C5438B"/>
    <w:rsid w:val="00C55E99"/>
    <w:rsid w:val="00C70FD7"/>
    <w:rsid w:val="00C91EFC"/>
    <w:rsid w:val="00C94D32"/>
    <w:rsid w:val="00CC27D9"/>
    <w:rsid w:val="00CF0554"/>
    <w:rsid w:val="00CF1043"/>
    <w:rsid w:val="00CF41B9"/>
    <w:rsid w:val="00CF4B77"/>
    <w:rsid w:val="00D15B87"/>
    <w:rsid w:val="00D2635B"/>
    <w:rsid w:val="00D3058D"/>
    <w:rsid w:val="00D346B0"/>
    <w:rsid w:val="00D45F1A"/>
    <w:rsid w:val="00D901E7"/>
    <w:rsid w:val="00D90C54"/>
    <w:rsid w:val="00D90D6E"/>
    <w:rsid w:val="00DA5200"/>
    <w:rsid w:val="00DB0C94"/>
    <w:rsid w:val="00DC1701"/>
    <w:rsid w:val="00DC64D9"/>
    <w:rsid w:val="00DD6FF6"/>
    <w:rsid w:val="00DE563F"/>
    <w:rsid w:val="00DE6077"/>
    <w:rsid w:val="00DF7386"/>
    <w:rsid w:val="00DF7592"/>
    <w:rsid w:val="00E13832"/>
    <w:rsid w:val="00E22473"/>
    <w:rsid w:val="00E26164"/>
    <w:rsid w:val="00E3014E"/>
    <w:rsid w:val="00E415F1"/>
    <w:rsid w:val="00E51B03"/>
    <w:rsid w:val="00E54EAB"/>
    <w:rsid w:val="00E72866"/>
    <w:rsid w:val="00E73745"/>
    <w:rsid w:val="00E829D1"/>
    <w:rsid w:val="00EA4826"/>
    <w:rsid w:val="00EC14E0"/>
    <w:rsid w:val="00EC6DA2"/>
    <w:rsid w:val="00EE1923"/>
    <w:rsid w:val="00EF024B"/>
    <w:rsid w:val="00EF27DE"/>
    <w:rsid w:val="00EF29B3"/>
    <w:rsid w:val="00EF2B04"/>
    <w:rsid w:val="00EF6763"/>
    <w:rsid w:val="00F12469"/>
    <w:rsid w:val="00F2588D"/>
    <w:rsid w:val="00F31CB8"/>
    <w:rsid w:val="00F80416"/>
    <w:rsid w:val="00F853A5"/>
    <w:rsid w:val="00FB078F"/>
    <w:rsid w:val="00FB0A58"/>
    <w:rsid w:val="00FB4998"/>
    <w:rsid w:val="00FC2614"/>
    <w:rsid w:val="00FE2A29"/>
    <w:rsid w:val="00FF339B"/>
    <w:rsid w:val="00FF62C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27C32C7"/>
  <w15:docId w15:val="{D8AB8551-D914-474A-B7B1-BDAB518D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w:hAnsi="Times New Roman" w:cs="Times New Roman"/>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7164"/>
    <w:pPr>
      <w:spacing w:line="240" w:lineRule="auto"/>
    </w:pPr>
    <w:rPr>
      <w:sz w:val="18"/>
      <w:szCs w:val="18"/>
    </w:rPr>
  </w:style>
  <w:style w:type="character" w:customStyle="1" w:styleId="BalloonTextChar">
    <w:name w:val="Balloon Text Char"/>
    <w:basedOn w:val="DefaultParagraphFont"/>
    <w:link w:val="BalloonText"/>
    <w:uiPriority w:val="99"/>
    <w:semiHidden/>
    <w:rsid w:val="00297164"/>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550C8"/>
    <w:rPr>
      <w:b/>
      <w:bCs/>
    </w:rPr>
  </w:style>
  <w:style w:type="character" w:customStyle="1" w:styleId="CommentSubjectChar">
    <w:name w:val="Comment Subject Char"/>
    <w:basedOn w:val="CommentTextChar"/>
    <w:link w:val="CommentSubject"/>
    <w:uiPriority w:val="99"/>
    <w:semiHidden/>
    <w:rsid w:val="006550C8"/>
    <w:rPr>
      <w:b/>
      <w:bCs/>
      <w:sz w:val="20"/>
      <w:szCs w:val="20"/>
    </w:rPr>
  </w:style>
  <w:style w:type="character" w:styleId="PlaceholderText">
    <w:name w:val="Placeholder Text"/>
    <w:basedOn w:val="DefaultParagraphFont"/>
    <w:uiPriority w:val="99"/>
    <w:semiHidden/>
    <w:rsid w:val="000925BB"/>
    <w:rPr>
      <w:color w:val="808080"/>
    </w:rPr>
  </w:style>
  <w:style w:type="paragraph" w:styleId="Bibliography">
    <w:name w:val="Bibliography"/>
    <w:basedOn w:val="Normal"/>
    <w:next w:val="Normal"/>
    <w:uiPriority w:val="37"/>
    <w:unhideWhenUsed/>
    <w:rsid w:val="00C20AB4"/>
    <w:pPr>
      <w:spacing w:line="240" w:lineRule="auto"/>
      <w:ind w:left="720" w:hanging="720"/>
    </w:pPr>
  </w:style>
  <w:style w:type="table" w:styleId="TableGridLight">
    <w:name w:val="Grid Table Light"/>
    <w:basedOn w:val="TableNormal"/>
    <w:uiPriority w:val="40"/>
    <w:rsid w:val="00EF024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EF02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EF02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295"/>
    <w:pPr>
      <w:tabs>
        <w:tab w:val="center" w:pos="4513"/>
        <w:tab w:val="right" w:pos="9026"/>
      </w:tabs>
      <w:spacing w:line="240" w:lineRule="auto"/>
    </w:pPr>
  </w:style>
  <w:style w:type="character" w:customStyle="1" w:styleId="HeaderChar">
    <w:name w:val="Header Char"/>
    <w:basedOn w:val="DefaultParagraphFont"/>
    <w:link w:val="Header"/>
    <w:uiPriority w:val="99"/>
    <w:rsid w:val="005C3295"/>
  </w:style>
  <w:style w:type="paragraph" w:styleId="Footer">
    <w:name w:val="footer"/>
    <w:basedOn w:val="Normal"/>
    <w:link w:val="FooterChar"/>
    <w:uiPriority w:val="99"/>
    <w:unhideWhenUsed/>
    <w:rsid w:val="005C3295"/>
    <w:pPr>
      <w:tabs>
        <w:tab w:val="center" w:pos="4513"/>
        <w:tab w:val="right" w:pos="9026"/>
      </w:tabs>
      <w:spacing w:line="240" w:lineRule="auto"/>
    </w:pPr>
  </w:style>
  <w:style w:type="character" w:customStyle="1" w:styleId="FooterChar">
    <w:name w:val="Footer Char"/>
    <w:basedOn w:val="DefaultParagraphFont"/>
    <w:link w:val="Footer"/>
    <w:uiPriority w:val="99"/>
    <w:rsid w:val="005C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10734">
      <w:bodyDiv w:val="1"/>
      <w:marLeft w:val="0"/>
      <w:marRight w:val="0"/>
      <w:marTop w:val="0"/>
      <w:marBottom w:val="0"/>
      <w:divBdr>
        <w:top w:val="none" w:sz="0" w:space="0" w:color="auto"/>
        <w:left w:val="none" w:sz="0" w:space="0" w:color="auto"/>
        <w:bottom w:val="none" w:sz="0" w:space="0" w:color="auto"/>
        <w:right w:val="none" w:sz="0" w:space="0" w:color="auto"/>
      </w:divBdr>
    </w:div>
    <w:div w:id="1162963338">
      <w:bodyDiv w:val="1"/>
      <w:marLeft w:val="0"/>
      <w:marRight w:val="0"/>
      <w:marTop w:val="0"/>
      <w:marBottom w:val="0"/>
      <w:divBdr>
        <w:top w:val="none" w:sz="0" w:space="0" w:color="auto"/>
        <w:left w:val="none" w:sz="0" w:space="0" w:color="auto"/>
        <w:bottom w:val="none" w:sz="0" w:space="0" w:color="auto"/>
        <w:right w:val="none" w:sz="0" w:space="0" w:color="auto"/>
      </w:divBdr>
    </w:div>
    <w:div w:id="1640844065">
      <w:bodyDiv w:val="1"/>
      <w:marLeft w:val="0"/>
      <w:marRight w:val="0"/>
      <w:marTop w:val="0"/>
      <w:marBottom w:val="0"/>
      <w:divBdr>
        <w:top w:val="none" w:sz="0" w:space="0" w:color="auto"/>
        <w:left w:val="none" w:sz="0" w:space="0" w:color="auto"/>
        <w:bottom w:val="none" w:sz="0" w:space="0" w:color="auto"/>
        <w:right w:val="none" w:sz="0" w:space="0" w:color="auto"/>
      </w:divBdr>
    </w:div>
    <w:div w:id="1936937519">
      <w:bodyDiv w:val="1"/>
      <w:marLeft w:val="0"/>
      <w:marRight w:val="0"/>
      <w:marTop w:val="0"/>
      <w:marBottom w:val="0"/>
      <w:divBdr>
        <w:top w:val="none" w:sz="0" w:space="0" w:color="auto"/>
        <w:left w:val="none" w:sz="0" w:space="0" w:color="auto"/>
        <w:bottom w:val="none" w:sz="0" w:space="0" w:color="auto"/>
        <w:right w:val="none" w:sz="0" w:space="0" w:color="auto"/>
      </w:divBdr>
    </w:div>
    <w:div w:id="2047755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r-inla.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www.r-inla.org/"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github.com/kaskr/adcomp" TargetMode="External"/><Relationship Id="rId5" Type="http://schemas.openxmlformats.org/officeDocument/2006/relationships/endnotes" Target="endnotes.xml"/><Relationship Id="rId15" Type="http://schemas.openxmlformats.org/officeDocument/2006/relationships/hyperlink" Target="https://datras.ices.dk/Data_products/Download/Download_Data_public.aspx" TargetMode="External"/><Relationship Id="rId10" Type="http://schemas.openxmlformats.org/officeDocument/2006/relationships/hyperlink" Target="https://github.com/pbs-assess/sdmTMB"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github.com/maxlindmark/cod_con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21717</Words>
  <Characters>123792</Characters>
  <Application>Microsoft Office Word</Application>
  <DocSecurity>0</DocSecurity>
  <Lines>1031</Lines>
  <Paragraphs>290</Paragraphs>
  <ScaleCrop>false</ScaleCrop>
  <Company/>
  <LinksUpToDate>false</LinksUpToDate>
  <CharactersWithSpaces>145219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Lindmark</cp:lastModifiedBy>
  <cp:revision>12</cp:revision>
  <dcterms:created xsi:type="dcterms:W3CDTF">2020-10-23T13:40:00Z</dcterms:created>
  <dcterms:modified xsi:type="dcterms:W3CDTF">2020-10-23T13:43:00Z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id="WVQOt3jq"/&gt;&lt;style id="http://www.zotero.org/styles/ices-journal-of-marine-science" hasBibliography="1" bibliographyStyleHasBeenSet="1"/&gt;&lt;prefs&gt;&lt;pref name="fieldType" value="Field"/&gt;&lt;/prefs&gt;&lt;/data</vt:lpwstr>
  </property>
  <property fmtid="{D5CDD505-2E9C-101B-9397-08002B2CF9AE}" pid="3" name="ZOTERO_PREF_2">
    <vt:lpwstr>&gt;</vt:lpwstr>
  </property>
</Properties>
</file>