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CE8AA" w14:textId="77777777" w:rsidR="005C3B0B" w:rsidRPr="00A658A5" w:rsidRDefault="005C3B0B" w:rsidP="00760BDA">
      <w:pPr>
        <w:spacing w:line="360" w:lineRule="auto"/>
        <w:contextualSpacing/>
        <w:jc w:val="both"/>
        <w:rPr>
          <w:b/>
        </w:rPr>
      </w:pPr>
      <w:r w:rsidRPr="00A658A5">
        <w:rPr>
          <w:b/>
        </w:rPr>
        <w:t>Supporting Information for</w:t>
      </w:r>
    </w:p>
    <w:p w14:paraId="31FB3008" w14:textId="78C66D42" w:rsidR="00C41065" w:rsidRPr="00A658A5" w:rsidRDefault="00C41065" w:rsidP="00760BDA">
      <w:pPr>
        <w:spacing w:line="360" w:lineRule="auto"/>
        <w:contextualSpacing/>
        <w:jc w:val="both"/>
        <w:rPr>
          <w:b/>
          <w:bCs/>
          <w:i/>
          <w:iCs/>
        </w:rPr>
      </w:pPr>
      <w:r w:rsidRPr="00C41065">
        <w:rPr>
          <w:b/>
          <w:bCs/>
          <w:i/>
          <w:iCs/>
        </w:rPr>
        <w:t>Temperature impacts on fish physiology and resource abundance lead to faster growth but smaller fish sizes and yields under warming</w:t>
      </w:r>
    </w:p>
    <w:p w14:paraId="24BAE3E9" w14:textId="77777777" w:rsidR="005C3B0B" w:rsidRPr="00A658A5" w:rsidRDefault="005C3B0B" w:rsidP="00760BDA">
      <w:pPr>
        <w:spacing w:line="360" w:lineRule="auto"/>
        <w:contextualSpacing/>
        <w:jc w:val="both"/>
        <w:rPr>
          <w:b/>
          <w:bCs/>
          <w:i/>
          <w:iCs/>
        </w:rPr>
      </w:pPr>
    </w:p>
    <w:p w14:paraId="30C63903" w14:textId="77777777" w:rsidR="005C3B0B" w:rsidRPr="00B70D6A" w:rsidRDefault="005C3B0B" w:rsidP="00760BDA">
      <w:pPr>
        <w:tabs>
          <w:tab w:val="left" w:pos="7213"/>
        </w:tabs>
        <w:spacing w:line="360" w:lineRule="auto"/>
        <w:contextualSpacing/>
        <w:jc w:val="both"/>
        <w:rPr>
          <w:vertAlign w:val="superscript"/>
          <w:lang w:val="sv-SE"/>
        </w:rPr>
      </w:pPr>
      <w:r w:rsidRPr="00B70D6A">
        <w:rPr>
          <w:lang w:val="sv-SE"/>
        </w:rPr>
        <w:t>Max Lindmark</w:t>
      </w:r>
      <w:r w:rsidRPr="00B70D6A">
        <w:rPr>
          <w:vertAlign w:val="superscript"/>
          <w:lang w:val="sv-SE"/>
        </w:rPr>
        <w:t>a,1</w:t>
      </w:r>
      <w:r w:rsidRPr="00B70D6A">
        <w:rPr>
          <w:lang w:val="sv-SE"/>
        </w:rPr>
        <w:t>, Asta Audzijonyte</w:t>
      </w:r>
      <w:r w:rsidRPr="00B70D6A">
        <w:rPr>
          <w:vertAlign w:val="superscript"/>
          <w:lang w:val="sv-SE"/>
        </w:rPr>
        <w:t>b</w:t>
      </w:r>
      <w:r w:rsidRPr="00B70D6A">
        <w:rPr>
          <w:lang w:val="sv-SE"/>
        </w:rPr>
        <w:t>, Julia Blanchard</w:t>
      </w:r>
      <w:r w:rsidRPr="00B70D6A">
        <w:rPr>
          <w:vertAlign w:val="superscript"/>
          <w:lang w:val="sv-SE"/>
        </w:rPr>
        <w:t>c</w:t>
      </w:r>
      <w:r w:rsidRPr="00B70D6A">
        <w:rPr>
          <w:lang w:val="sv-SE"/>
        </w:rPr>
        <w:t>, Anna Gårdmark</w:t>
      </w:r>
      <w:r w:rsidRPr="00B70D6A">
        <w:rPr>
          <w:vertAlign w:val="superscript"/>
          <w:lang w:val="sv-SE"/>
        </w:rPr>
        <w:t>d</w:t>
      </w:r>
      <w:r w:rsidRPr="00B70D6A">
        <w:rPr>
          <w:vertAlign w:val="superscript"/>
          <w:lang w:val="sv-SE"/>
        </w:rPr>
        <w:tab/>
      </w:r>
    </w:p>
    <w:p w14:paraId="3F85F9FD" w14:textId="77777777" w:rsidR="005C3B0B" w:rsidRPr="00A658A5" w:rsidRDefault="005C3B0B" w:rsidP="00760BDA">
      <w:pPr>
        <w:spacing w:line="360" w:lineRule="auto"/>
        <w:contextualSpacing/>
        <w:jc w:val="both"/>
      </w:pPr>
      <w:r w:rsidRPr="00A658A5">
        <w:rPr>
          <w:vertAlign w:val="superscript"/>
        </w:rPr>
        <w:t>a</w:t>
      </w:r>
      <w:r w:rsidRPr="00A658A5">
        <w:t>Swedish University of Agricultural Sciences, Department of Aquatic Resources, Institute of Coastal Research, Skolgatan 6, Öregrund 742 42, Sweden</w:t>
      </w:r>
    </w:p>
    <w:p w14:paraId="11D426D8" w14:textId="77777777" w:rsidR="005C3B0B" w:rsidRPr="00A658A5" w:rsidRDefault="005C3B0B" w:rsidP="00760BDA">
      <w:pPr>
        <w:spacing w:line="360" w:lineRule="auto"/>
        <w:contextualSpacing/>
        <w:jc w:val="both"/>
      </w:pPr>
      <w:r w:rsidRPr="00A658A5">
        <w:rPr>
          <w:vertAlign w:val="superscript"/>
        </w:rPr>
        <w:t>b</w:t>
      </w:r>
      <w:r w:rsidRPr="00A658A5">
        <w:t>Institute for Marine and Antarctic Studies, University of Tasmania, Battery Point, TAS 7001, Australia</w:t>
      </w:r>
    </w:p>
    <w:p w14:paraId="12E2EE55" w14:textId="77777777" w:rsidR="005C3B0B" w:rsidRPr="00A658A5" w:rsidRDefault="005C3B0B" w:rsidP="00760BDA">
      <w:pPr>
        <w:spacing w:line="360" w:lineRule="auto"/>
        <w:contextualSpacing/>
        <w:jc w:val="both"/>
      </w:pPr>
      <w:r w:rsidRPr="00A658A5">
        <w:rPr>
          <w:vertAlign w:val="superscript"/>
        </w:rPr>
        <w:t>c</w:t>
      </w:r>
      <w:r w:rsidRPr="00A658A5">
        <w:t>Institute for Marine and Antarctic Studies and Centre for Marine Socioecology, University of Tasmania, 20 Castray Esplanade, Battery Point, Hobart, TAS 7000, Australia</w:t>
      </w:r>
    </w:p>
    <w:p w14:paraId="26DDFFC2" w14:textId="77777777" w:rsidR="005C3B0B" w:rsidRPr="00A658A5" w:rsidRDefault="005C3B0B" w:rsidP="00760BDA">
      <w:pPr>
        <w:spacing w:line="360" w:lineRule="auto"/>
        <w:contextualSpacing/>
        <w:jc w:val="both"/>
      </w:pPr>
      <w:r w:rsidRPr="00A658A5">
        <w:rPr>
          <w:vertAlign w:val="superscript"/>
        </w:rPr>
        <w:t>d</w:t>
      </w:r>
      <w:r w:rsidRPr="00A658A5">
        <w:t xml:space="preserve">Swedish University of Agricultural Sciences, Department of Aquatic Resources, Skolgatan 6, SE-742 42 Öregrund, Sweden </w:t>
      </w:r>
    </w:p>
    <w:p w14:paraId="2DA976E4" w14:textId="77777777" w:rsidR="005C3B0B" w:rsidRPr="00A658A5" w:rsidRDefault="005C3B0B" w:rsidP="00760BDA">
      <w:pPr>
        <w:spacing w:line="360" w:lineRule="auto"/>
        <w:contextualSpacing/>
        <w:jc w:val="center"/>
      </w:pPr>
    </w:p>
    <w:p w14:paraId="5942D242" w14:textId="77777777" w:rsidR="005C3B0B" w:rsidRPr="00A658A5" w:rsidRDefault="005C3B0B" w:rsidP="00760BDA">
      <w:pPr>
        <w:spacing w:line="360" w:lineRule="auto"/>
        <w:contextualSpacing/>
      </w:pPr>
    </w:p>
    <w:p w14:paraId="7389081D" w14:textId="77777777" w:rsidR="005C3B0B" w:rsidRPr="00A658A5" w:rsidRDefault="005C3B0B" w:rsidP="00760BDA">
      <w:pPr>
        <w:spacing w:line="360" w:lineRule="auto"/>
        <w:contextualSpacing/>
        <w:jc w:val="center"/>
      </w:pPr>
    </w:p>
    <w:p w14:paraId="6B092E14" w14:textId="77777777" w:rsidR="005C3B0B" w:rsidRPr="00A658A5" w:rsidRDefault="005C3B0B" w:rsidP="00760BDA">
      <w:pPr>
        <w:spacing w:line="360" w:lineRule="auto"/>
        <w:contextualSpacing/>
        <w:jc w:val="center"/>
      </w:pPr>
    </w:p>
    <w:p w14:paraId="5A39A4AF" w14:textId="77777777" w:rsidR="005C3B0B" w:rsidRPr="00A658A5" w:rsidRDefault="005C3B0B" w:rsidP="00760BDA">
      <w:pPr>
        <w:spacing w:line="360" w:lineRule="auto"/>
        <w:contextualSpacing/>
        <w:jc w:val="center"/>
      </w:pPr>
    </w:p>
    <w:p w14:paraId="706FAB4F" w14:textId="77777777" w:rsidR="005C3B0B" w:rsidRPr="00A658A5" w:rsidRDefault="005C3B0B" w:rsidP="00760BDA">
      <w:pPr>
        <w:spacing w:line="360" w:lineRule="auto"/>
        <w:contextualSpacing/>
        <w:jc w:val="center"/>
      </w:pPr>
    </w:p>
    <w:p w14:paraId="070BD875" w14:textId="77777777" w:rsidR="005C3B0B" w:rsidRPr="00A658A5" w:rsidRDefault="005C3B0B" w:rsidP="00760BDA">
      <w:pPr>
        <w:spacing w:line="360" w:lineRule="auto"/>
        <w:contextualSpacing/>
        <w:jc w:val="center"/>
      </w:pPr>
    </w:p>
    <w:p w14:paraId="6C7BC390" w14:textId="77777777" w:rsidR="005C3B0B" w:rsidRPr="00A658A5" w:rsidRDefault="005C3B0B" w:rsidP="00760BDA">
      <w:pPr>
        <w:spacing w:line="360" w:lineRule="auto"/>
        <w:contextualSpacing/>
        <w:jc w:val="center"/>
      </w:pPr>
    </w:p>
    <w:p w14:paraId="630A5AF4" w14:textId="77777777" w:rsidR="005C3B0B" w:rsidRPr="00A658A5" w:rsidRDefault="005C3B0B" w:rsidP="00760BDA">
      <w:pPr>
        <w:spacing w:line="360" w:lineRule="auto"/>
        <w:contextualSpacing/>
        <w:jc w:val="center"/>
      </w:pPr>
    </w:p>
    <w:p w14:paraId="1F50355C" w14:textId="77777777" w:rsidR="005C3B0B" w:rsidRPr="00A658A5" w:rsidRDefault="005C3B0B" w:rsidP="00760BDA">
      <w:pPr>
        <w:spacing w:line="360" w:lineRule="auto"/>
        <w:contextualSpacing/>
        <w:jc w:val="center"/>
      </w:pPr>
    </w:p>
    <w:p w14:paraId="631BC16B" w14:textId="77777777" w:rsidR="005C3B0B" w:rsidRPr="00A658A5" w:rsidRDefault="005C3B0B" w:rsidP="00760BDA">
      <w:pPr>
        <w:spacing w:line="360" w:lineRule="auto"/>
        <w:contextualSpacing/>
        <w:jc w:val="center"/>
      </w:pPr>
    </w:p>
    <w:sdt>
      <w:sdtPr>
        <w:rPr>
          <w:rFonts w:ascii="Times New Roman" w:eastAsiaTheme="minorHAnsi" w:hAnsi="Times New Roman" w:cs="Times New Roman"/>
          <w:bCs w:val="0"/>
          <w:color w:val="auto"/>
          <w:sz w:val="24"/>
          <w:szCs w:val="24"/>
          <w:lang w:val="sv-SE" w:eastAsia="en-US"/>
        </w:rPr>
        <w:id w:val="-2049285442"/>
        <w:docPartObj>
          <w:docPartGallery w:val="Table of Contents"/>
          <w:docPartUnique/>
        </w:docPartObj>
      </w:sdtPr>
      <w:sdtEndPr>
        <w:rPr>
          <w:noProof/>
          <w:lang w:val="en-US"/>
        </w:rPr>
      </w:sdtEndPr>
      <w:sdtContent>
        <w:p w14:paraId="3AD80C26" w14:textId="77777777" w:rsidR="005C3B0B" w:rsidRPr="006B570B" w:rsidRDefault="005C3B0B" w:rsidP="00760BDA">
          <w:pPr>
            <w:pStyle w:val="TOCHeading"/>
            <w:spacing w:line="360" w:lineRule="auto"/>
            <w:contextualSpacing/>
            <w:rPr>
              <w:rFonts w:ascii="Times New Roman" w:hAnsi="Times New Roman" w:cs="Times New Roman"/>
              <w:bCs w:val="0"/>
              <w:color w:val="auto"/>
            </w:rPr>
          </w:pPr>
          <w:r w:rsidRPr="006B570B">
            <w:rPr>
              <w:rFonts w:ascii="Times New Roman" w:hAnsi="Times New Roman" w:cs="Times New Roman"/>
              <w:bCs w:val="0"/>
              <w:color w:val="auto"/>
            </w:rPr>
            <w:t>Table of Contents</w:t>
          </w:r>
        </w:p>
        <w:p w14:paraId="680EFFC5" w14:textId="28920A98" w:rsidR="00A91590" w:rsidRDefault="005C3B0B" w:rsidP="00760BDA">
          <w:pPr>
            <w:pStyle w:val="TOC1"/>
            <w:tabs>
              <w:tab w:val="right" w:leader="dot" w:pos="9016"/>
            </w:tabs>
            <w:spacing w:line="360" w:lineRule="auto"/>
            <w:contextualSpacing/>
            <w:rPr>
              <w:rFonts w:asciiTheme="minorHAnsi" w:eastAsiaTheme="minorEastAsia" w:hAnsiTheme="minorHAnsi" w:cstheme="minorBidi"/>
              <w:b w:val="0"/>
              <w:bCs w:val="0"/>
              <w:i w:val="0"/>
              <w:iCs w:val="0"/>
              <w:noProof/>
              <w:lang w:eastAsia="en-GB"/>
            </w:rPr>
          </w:pPr>
          <w:r w:rsidRPr="006B570B">
            <w:rPr>
              <w:rFonts w:cs="Times New Roman"/>
              <w:b w:val="0"/>
              <w:bCs w:val="0"/>
              <w:i w:val="0"/>
              <w:iCs w:val="0"/>
            </w:rPr>
            <w:fldChar w:fldCharType="begin"/>
          </w:r>
          <w:r w:rsidRPr="006B570B">
            <w:rPr>
              <w:rFonts w:cs="Times New Roman"/>
              <w:b w:val="0"/>
              <w:bCs w:val="0"/>
              <w:i w:val="0"/>
              <w:iCs w:val="0"/>
            </w:rPr>
            <w:instrText xml:space="preserve"> TOC \o "1-3" \h \z \u </w:instrText>
          </w:r>
          <w:r w:rsidRPr="006B570B">
            <w:rPr>
              <w:rFonts w:cs="Times New Roman"/>
              <w:b w:val="0"/>
              <w:bCs w:val="0"/>
              <w:i w:val="0"/>
              <w:iCs w:val="0"/>
            </w:rPr>
            <w:fldChar w:fldCharType="separate"/>
          </w:r>
          <w:hyperlink w:anchor="_Toc75869554" w:history="1">
            <w:r w:rsidR="00A91590" w:rsidRPr="00CD7C07">
              <w:rPr>
                <w:rStyle w:val="Hyperlink"/>
                <w:rFonts w:cs="Times New Roman"/>
                <w:noProof/>
              </w:rPr>
              <w:t>Model parameterization</w:t>
            </w:r>
            <w:r w:rsidR="00A91590">
              <w:rPr>
                <w:noProof/>
                <w:webHidden/>
              </w:rPr>
              <w:tab/>
            </w:r>
            <w:r w:rsidR="00A91590">
              <w:rPr>
                <w:noProof/>
                <w:webHidden/>
              </w:rPr>
              <w:fldChar w:fldCharType="begin"/>
            </w:r>
            <w:r w:rsidR="00A91590">
              <w:rPr>
                <w:noProof/>
                <w:webHidden/>
              </w:rPr>
              <w:instrText xml:space="preserve"> PAGEREF _Toc75869554 \h </w:instrText>
            </w:r>
            <w:r w:rsidR="00A91590">
              <w:rPr>
                <w:noProof/>
                <w:webHidden/>
              </w:rPr>
            </w:r>
            <w:r w:rsidR="00A91590">
              <w:rPr>
                <w:noProof/>
                <w:webHidden/>
              </w:rPr>
              <w:fldChar w:fldCharType="separate"/>
            </w:r>
            <w:r w:rsidR="008C16C1">
              <w:rPr>
                <w:noProof/>
                <w:webHidden/>
              </w:rPr>
              <w:t>3</w:t>
            </w:r>
            <w:r w:rsidR="00A91590">
              <w:rPr>
                <w:noProof/>
                <w:webHidden/>
              </w:rPr>
              <w:fldChar w:fldCharType="end"/>
            </w:r>
          </w:hyperlink>
        </w:p>
        <w:p w14:paraId="22770A5A" w14:textId="6C6573AC" w:rsidR="00A91590" w:rsidRDefault="00B13CF2" w:rsidP="00760BDA">
          <w:pPr>
            <w:pStyle w:val="TOC2"/>
            <w:tabs>
              <w:tab w:val="right" w:leader="dot" w:pos="9016"/>
            </w:tabs>
            <w:spacing w:line="360" w:lineRule="auto"/>
            <w:contextualSpacing/>
            <w:rPr>
              <w:rFonts w:asciiTheme="minorHAnsi" w:eastAsiaTheme="minorEastAsia" w:hAnsiTheme="minorHAnsi" w:cstheme="minorBidi"/>
              <w:b w:val="0"/>
              <w:bCs w:val="0"/>
              <w:noProof/>
              <w:lang w:eastAsia="en-GB"/>
            </w:rPr>
          </w:pPr>
          <w:hyperlink w:anchor="_Toc75869555" w:history="1">
            <w:r w:rsidR="00A91590" w:rsidRPr="00CD7C07">
              <w:rPr>
                <w:rStyle w:val="Hyperlink"/>
                <w:rFonts w:cs="Times New Roman"/>
                <w:noProof/>
              </w:rPr>
              <w:t>Species-specific parameters</w:t>
            </w:r>
            <w:r w:rsidR="00A91590">
              <w:rPr>
                <w:noProof/>
                <w:webHidden/>
              </w:rPr>
              <w:tab/>
            </w:r>
            <w:r w:rsidR="00A91590">
              <w:rPr>
                <w:noProof/>
                <w:webHidden/>
              </w:rPr>
              <w:fldChar w:fldCharType="begin"/>
            </w:r>
            <w:r w:rsidR="00A91590">
              <w:rPr>
                <w:noProof/>
                <w:webHidden/>
              </w:rPr>
              <w:instrText xml:space="preserve"> PAGEREF _Toc75869555 \h </w:instrText>
            </w:r>
            <w:r w:rsidR="00A91590">
              <w:rPr>
                <w:noProof/>
                <w:webHidden/>
              </w:rPr>
            </w:r>
            <w:r w:rsidR="00A91590">
              <w:rPr>
                <w:noProof/>
                <w:webHidden/>
              </w:rPr>
              <w:fldChar w:fldCharType="separate"/>
            </w:r>
            <w:r w:rsidR="008C16C1">
              <w:rPr>
                <w:noProof/>
                <w:webHidden/>
              </w:rPr>
              <w:t>3</w:t>
            </w:r>
            <w:r w:rsidR="00A91590">
              <w:rPr>
                <w:noProof/>
                <w:webHidden/>
              </w:rPr>
              <w:fldChar w:fldCharType="end"/>
            </w:r>
          </w:hyperlink>
        </w:p>
        <w:p w14:paraId="4BD4D3BF" w14:textId="072416CA" w:rsidR="00A91590" w:rsidRDefault="00B13CF2" w:rsidP="00760BDA">
          <w:pPr>
            <w:pStyle w:val="TOC2"/>
            <w:tabs>
              <w:tab w:val="right" w:leader="dot" w:pos="9016"/>
            </w:tabs>
            <w:spacing w:line="360" w:lineRule="auto"/>
            <w:contextualSpacing/>
            <w:rPr>
              <w:rFonts w:asciiTheme="minorHAnsi" w:eastAsiaTheme="minorEastAsia" w:hAnsiTheme="minorHAnsi" w:cstheme="minorBidi"/>
              <w:b w:val="0"/>
              <w:bCs w:val="0"/>
              <w:noProof/>
              <w:lang w:eastAsia="en-GB"/>
            </w:rPr>
          </w:pPr>
          <w:hyperlink w:anchor="_Toc75869556" w:history="1">
            <w:r w:rsidR="00A91590" w:rsidRPr="00CD7C07">
              <w:rPr>
                <w:rStyle w:val="Hyperlink"/>
                <w:rFonts w:cs="Times New Roman"/>
                <w:noProof/>
              </w:rPr>
              <w:t>Temperature dependence</w:t>
            </w:r>
            <w:r w:rsidR="00A91590">
              <w:rPr>
                <w:noProof/>
                <w:webHidden/>
              </w:rPr>
              <w:tab/>
            </w:r>
            <w:r w:rsidR="00A91590">
              <w:rPr>
                <w:noProof/>
                <w:webHidden/>
              </w:rPr>
              <w:fldChar w:fldCharType="begin"/>
            </w:r>
            <w:r w:rsidR="00A91590">
              <w:rPr>
                <w:noProof/>
                <w:webHidden/>
              </w:rPr>
              <w:instrText xml:space="preserve"> PAGEREF _Toc75869556 \h </w:instrText>
            </w:r>
            <w:r w:rsidR="00A91590">
              <w:rPr>
                <w:noProof/>
                <w:webHidden/>
              </w:rPr>
            </w:r>
            <w:r w:rsidR="00A91590">
              <w:rPr>
                <w:noProof/>
                <w:webHidden/>
              </w:rPr>
              <w:fldChar w:fldCharType="separate"/>
            </w:r>
            <w:r w:rsidR="008C16C1">
              <w:rPr>
                <w:noProof/>
                <w:webHidden/>
              </w:rPr>
              <w:t>8</w:t>
            </w:r>
            <w:r w:rsidR="00A91590">
              <w:rPr>
                <w:noProof/>
                <w:webHidden/>
              </w:rPr>
              <w:fldChar w:fldCharType="end"/>
            </w:r>
          </w:hyperlink>
        </w:p>
        <w:p w14:paraId="3ECC10F1" w14:textId="062430F7" w:rsidR="00A91590" w:rsidRDefault="00B13CF2" w:rsidP="00760BDA">
          <w:pPr>
            <w:pStyle w:val="TOC1"/>
            <w:tabs>
              <w:tab w:val="right" w:leader="dot" w:pos="9016"/>
            </w:tabs>
            <w:spacing w:line="360" w:lineRule="auto"/>
            <w:contextualSpacing/>
            <w:rPr>
              <w:rFonts w:asciiTheme="minorHAnsi" w:eastAsiaTheme="minorEastAsia" w:hAnsiTheme="minorHAnsi" w:cstheme="minorBidi"/>
              <w:b w:val="0"/>
              <w:bCs w:val="0"/>
              <w:i w:val="0"/>
              <w:iCs w:val="0"/>
              <w:noProof/>
              <w:lang w:eastAsia="en-GB"/>
            </w:rPr>
          </w:pPr>
          <w:hyperlink w:anchor="_Toc75869557" w:history="1">
            <w:r w:rsidR="00A91590" w:rsidRPr="00CD7C07">
              <w:rPr>
                <w:rStyle w:val="Hyperlink"/>
                <w:rFonts w:cs="Times New Roman"/>
                <w:noProof/>
              </w:rPr>
              <w:t>Model calibration and validation</w:t>
            </w:r>
            <w:r w:rsidR="00A91590">
              <w:rPr>
                <w:noProof/>
                <w:webHidden/>
              </w:rPr>
              <w:tab/>
            </w:r>
            <w:r w:rsidR="00A91590">
              <w:rPr>
                <w:noProof/>
                <w:webHidden/>
              </w:rPr>
              <w:fldChar w:fldCharType="begin"/>
            </w:r>
            <w:r w:rsidR="00A91590">
              <w:rPr>
                <w:noProof/>
                <w:webHidden/>
              </w:rPr>
              <w:instrText xml:space="preserve"> PAGEREF _Toc75869557 \h </w:instrText>
            </w:r>
            <w:r w:rsidR="00A91590">
              <w:rPr>
                <w:noProof/>
                <w:webHidden/>
              </w:rPr>
            </w:r>
            <w:r w:rsidR="00A91590">
              <w:rPr>
                <w:noProof/>
                <w:webHidden/>
              </w:rPr>
              <w:fldChar w:fldCharType="separate"/>
            </w:r>
            <w:r w:rsidR="008C16C1">
              <w:rPr>
                <w:noProof/>
                <w:webHidden/>
              </w:rPr>
              <w:t>10</w:t>
            </w:r>
            <w:r w:rsidR="00A91590">
              <w:rPr>
                <w:noProof/>
                <w:webHidden/>
              </w:rPr>
              <w:fldChar w:fldCharType="end"/>
            </w:r>
          </w:hyperlink>
        </w:p>
        <w:p w14:paraId="35B2BD20" w14:textId="383EC162" w:rsidR="00A91590" w:rsidRDefault="00B13CF2" w:rsidP="00760BDA">
          <w:pPr>
            <w:pStyle w:val="TOC2"/>
            <w:tabs>
              <w:tab w:val="right" w:leader="dot" w:pos="9016"/>
            </w:tabs>
            <w:spacing w:line="360" w:lineRule="auto"/>
            <w:contextualSpacing/>
            <w:rPr>
              <w:rFonts w:asciiTheme="minorHAnsi" w:eastAsiaTheme="minorEastAsia" w:hAnsiTheme="minorHAnsi" w:cstheme="minorBidi"/>
              <w:b w:val="0"/>
              <w:bCs w:val="0"/>
              <w:noProof/>
              <w:lang w:eastAsia="en-GB"/>
            </w:rPr>
          </w:pPr>
          <w:hyperlink w:anchor="_Toc75869558" w:history="1">
            <w:r w:rsidR="00A91590" w:rsidRPr="00CD7C07">
              <w:rPr>
                <w:rStyle w:val="Hyperlink"/>
                <w:rFonts w:cs="Times New Roman"/>
                <w:noProof/>
              </w:rPr>
              <w:t>Calibration protocol</w:t>
            </w:r>
            <w:r w:rsidR="00A91590">
              <w:rPr>
                <w:noProof/>
                <w:webHidden/>
              </w:rPr>
              <w:tab/>
            </w:r>
            <w:r w:rsidR="00A91590">
              <w:rPr>
                <w:noProof/>
                <w:webHidden/>
              </w:rPr>
              <w:fldChar w:fldCharType="begin"/>
            </w:r>
            <w:r w:rsidR="00A91590">
              <w:rPr>
                <w:noProof/>
                <w:webHidden/>
              </w:rPr>
              <w:instrText xml:space="preserve"> PAGEREF _Toc75869558 \h </w:instrText>
            </w:r>
            <w:r w:rsidR="00A91590">
              <w:rPr>
                <w:noProof/>
                <w:webHidden/>
              </w:rPr>
            </w:r>
            <w:r w:rsidR="00A91590">
              <w:rPr>
                <w:noProof/>
                <w:webHidden/>
              </w:rPr>
              <w:fldChar w:fldCharType="separate"/>
            </w:r>
            <w:r w:rsidR="008C16C1">
              <w:rPr>
                <w:noProof/>
                <w:webHidden/>
              </w:rPr>
              <w:t>10</w:t>
            </w:r>
            <w:r w:rsidR="00A91590">
              <w:rPr>
                <w:noProof/>
                <w:webHidden/>
              </w:rPr>
              <w:fldChar w:fldCharType="end"/>
            </w:r>
          </w:hyperlink>
        </w:p>
        <w:p w14:paraId="250E4AB8" w14:textId="04BBCB4F" w:rsidR="00A91590" w:rsidRDefault="00B13CF2" w:rsidP="00760BDA">
          <w:pPr>
            <w:pStyle w:val="TOC2"/>
            <w:tabs>
              <w:tab w:val="right" w:leader="dot" w:pos="9016"/>
            </w:tabs>
            <w:spacing w:line="360" w:lineRule="auto"/>
            <w:contextualSpacing/>
            <w:rPr>
              <w:rFonts w:asciiTheme="minorHAnsi" w:eastAsiaTheme="minorEastAsia" w:hAnsiTheme="minorHAnsi" w:cstheme="minorBidi"/>
              <w:b w:val="0"/>
              <w:bCs w:val="0"/>
              <w:noProof/>
              <w:lang w:eastAsia="en-GB"/>
            </w:rPr>
          </w:pPr>
          <w:hyperlink w:anchor="_Toc75869559" w:history="1">
            <w:r w:rsidR="00A91590" w:rsidRPr="00CD7C07">
              <w:rPr>
                <w:rStyle w:val="Hyperlink"/>
                <w:rFonts w:cs="Times New Roman"/>
                <w:noProof/>
                <w:lang w:val="en-GB"/>
              </w:rPr>
              <w:t>Results from calibration procedure</w:t>
            </w:r>
            <w:r w:rsidR="00A91590">
              <w:rPr>
                <w:noProof/>
                <w:webHidden/>
              </w:rPr>
              <w:tab/>
            </w:r>
            <w:r w:rsidR="00A91590">
              <w:rPr>
                <w:noProof/>
                <w:webHidden/>
              </w:rPr>
              <w:fldChar w:fldCharType="begin"/>
            </w:r>
            <w:r w:rsidR="00A91590">
              <w:rPr>
                <w:noProof/>
                <w:webHidden/>
              </w:rPr>
              <w:instrText xml:space="preserve"> PAGEREF _Toc75869559 \h </w:instrText>
            </w:r>
            <w:r w:rsidR="00A91590">
              <w:rPr>
                <w:noProof/>
                <w:webHidden/>
              </w:rPr>
            </w:r>
            <w:r w:rsidR="00A91590">
              <w:rPr>
                <w:noProof/>
                <w:webHidden/>
              </w:rPr>
              <w:fldChar w:fldCharType="separate"/>
            </w:r>
            <w:r w:rsidR="008C16C1">
              <w:rPr>
                <w:noProof/>
                <w:webHidden/>
              </w:rPr>
              <w:t>12</w:t>
            </w:r>
            <w:r w:rsidR="00A91590">
              <w:rPr>
                <w:noProof/>
                <w:webHidden/>
              </w:rPr>
              <w:fldChar w:fldCharType="end"/>
            </w:r>
          </w:hyperlink>
        </w:p>
        <w:p w14:paraId="3055435F" w14:textId="673B86FE" w:rsidR="00A91590" w:rsidRDefault="00B13CF2" w:rsidP="00760BDA">
          <w:pPr>
            <w:pStyle w:val="TOC1"/>
            <w:tabs>
              <w:tab w:val="right" w:leader="dot" w:pos="9016"/>
            </w:tabs>
            <w:spacing w:line="360" w:lineRule="auto"/>
            <w:contextualSpacing/>
            <w:rPr>
              <w:rFonts w:asciiTheme="minorHAnsi" w:eastAsiaTheme="minorEastAsia" w:hAnsiTheme="minorHAnsi" w:cstheme="minorBidi"/>
              <w:b w:val="0"/>
              <w:bCs w:val="0"/>
              <w:i w:val="0"/>
              <w:iCs w:val="0"/>
              <w:noProof/>
              <w:lang w:eastAsia="en-GB"/>
            </w:rPr>
          </w:pPr>
          <w:hyperlink w:anchor="_Toc75869560" w:history="1">
            <w:r w:rsidR="00A91590" w:rsidRPr="00CD7C07">
              <w:rPr>
                <w:rStyle w:val="Hyperlink"/>
                <w:rFonts w:cs="Times New Roman"/>
                <w:noProof/>
              </w:rPr>
              <w:t>Analysis</w:t>
            </w:r>
            <w:r w:rsidR="00A91590">
              <w:rPr>
                <w:noProof/>
                <w:webHidden/>
              </w:rPr>
              <w:tab/>
            </w:r>
            <w:r w:rsidR="00A91590">
              <w:rPr>
                <w:noProof/>
                <w:webHidden/>
              </w:rPr>
              <w:fldChar w:fldCharType="begin"/>
            </w:r>
            <w:r w:rsidR="00A91590">
              <w:rPr>
                <w:noProof/>
                <w:webHidden/>
              </w:rPr>
              <w:instrText xml:space="preserve"> PAGEREF _Toc75869560 \h </w:instrText>
            </w:r>
            <w:r w:rsidR="00A91590">
              <w:rPr>
                <w:noProof/>
                <w:webHidden/>
              </w:rPr>
            </w:r>
            <w:r w:rsidR="00A91590">
              <w:rPr>
                <w:noProof/>
                <w:webHidden/>
              </w:rPr>
              <w:fldChar w:fldCharType="separate"/>
            </w:r>
            <w:r w:rsidR="008C16C1">
              <w:rPr>
                <w:noProof/>
                <w:webHidden/>
              </w:rPr>
              <w:t>19</w:t>
            </w:r>
            <w:r w:rsidR="00A91590">
              <w:rPr>
                <w:noProof/>
                <w:webHidden/>
              </w:rPr>
              <w:fldChar w:fldCharType="end"/>
            </w:r>
          </w:hyperlink>
        </w:p>
        <w:p w14:paraId="520654C6" w14:textId="0A40454C" w:rsidR="00A91590" w:rsidRDefault="00B13CF2" w:rsidP="00760BDA">
          <w:pPr>
            <w:pStyle w:val="TOC1"/>
            <w:tabs>
              <w:tab w:val="right" w:leader="dot" w:pos="9016"/>
            </w:tabs>
            <w:spacing w:line="360" w:lineRule="auto"/>
            <w:contextualSpacing/>
            <w:rPr>
              <w:rFonts w:asciiTheme="minorHAnsi" w:eastAsiaTheme="minorEastAsia" w:hAnsiTheme="minorHAnsi" w:cstheme="minorBidi"/>
              <w:b w:val="0"/>
              <w:bCs w:val="0"/>
              <w:i w:val="0"/>
              <w:iCs w:val="0"/>
              <w:noProof/>
              <w:lang w:eastAsia="en-GB"/>
            </w:rPr>
          </w:pPr>
          <w:hyperlink w:anchor="_Toc75869561" w:history="1">
            <w:r w:rsidR="00A91590" w:rsidRPr="00CD7C07">
              <w:rPr>
                <w:rStyle w:val="Hyperlink"/>
                <w:rFonts w:cs="Times New Roman"/>
                <w:noProof/>
              </w:rPr>
              <w:t>References</w:t>
            </w:r>
            <w:r w:rsidR="00A91590">
              <w:rPr>
                <w:noProof/>
                <w:webHidden/>
              </w:rPr>
              <w:tab/>
            </w:r>
            <w:r w:rsidR="00A91590">
              <w:rPr>
                <w:noProof/>
                <w:webHidden/>
              </w:rPr>
              <w:fldChar w:fldCharType="begin"/>
            </w:r>
            <w:r w:rsidR="00A91590">
              <w:rPr>
                <w:noProof/>
                <w:webHidden/>
              </w:rPr>
              <w:instrText xml:space="preserve"> PAGEREF _Toc75869561 \h </w:instrText>
            </w:r>
            <w:r w:rsidR="00A91590">
              <w:rPr>
                <w:noProof/>
                <w:webHidden/>
              </w:rPr>
            </w:r>
            <w:r w:rsidR="00A91590">
              <w:rPr>
                <w:noProof/>
                <w:webHidden/>
              </w:rPr>
              <w:fldChar w:fldCharType="separate"/>
            </w:r>
            <w:r w:rsidR="008C16C1">
              <w:rPr>
                <w:noProof/>
                <w:webHidden/>
              </w:rPr>
              <w:t>23</w:t>
            </w:r>
            <w:r w:rsidR="00A91590">
              <w:rPr>
                <w:noProof/>
                <w:webHidden/>
              </w:rPr>
              <w:fldChar w:fldCharType="end"/>
            </w:r>
          </w:hyperlink>
        </w:p>
        <w:p w14:paraId="2389415B" w14:textId="57EF11C9" w:rsidR="005C3B0B" w:rsidRPr="006B570B" w:rsidRDefault="005C3B0B" w:rsidP="00760BDA">
          <w:pPr>
            <w:spacing w:line="360" w:lineRule="auto"/>
            <w:contextualSpacing/>
          </w:pPr>
          <w:r w:rsidRPr="006B570B">
            <w:rPr>
              <w:noProof/>
            </w:rPr>
            <w:fldChar w:fldCharType="end"/>
          </w:r>
        </w:p>
      </w:sdtContent>
    </w:sdt>
    <w:p w14:paraId="639D0CB5" w14:textId="77777777" w:rsidR="005C3B0B" w:rsidRPr="00A658A5" w:rsidRDefault="005C3B0B" w:rsidP="00760BDA">
      <w:pPr>
        <w:spacing w:line="360" w:lineRule="auto"/>
        <w:contextualSpacing/>
        <w:jc w:val="both"/>
        <w:rPr>
          <w:b/>
        </w:rPr>
      </w:pPr>
    </w:p>
    <w:p w14:paraId="1AFD74FE" w14:textId="77777777" w:rsidR="005C3B0B" w:rsidRPr="00A658A5" w:rsidRDefault="005C3B0B" w:rsidP="00760BDA">
      <w:pPr>
        <w:spacing w:line="360" w:lineRule="auto"/>
        <w:contextualSpacing/>
        <w:jc w:val="both"/>
        <w:rPr>
          <w:b/>
        </w:rPr>
      </w:pPr>
    </w:p>
    <w:p w14:paraId="087DE3B5" w14:textId="77777777" w:rsidR="005C3B0B" w:rsidRPr="00A658A5" w:rsidRDefault="005C3B0B" w:rsidP="00760BDA">
      <w:pPr>
        <w:spacing w:line="360" w:lineRule="auto"/>
        <w:contextualSpacing/>
        <w:jc w:val="both"/>
        <w:rPr>
          <w:b/>
        </w:rPr>
      </w:pPr>
    </w:p>
    <w:p w14:paraId="60954967" w14:textId="77777777" w:rsidR="005C3B0B" w:rsidRPr="00A658A5" w:rsidRDefault="005C3B0B" w:rsidP="00760BDA">
      <w:pPr>
        <w:spacing w:line="360" w:lineRule="auto"/>
        <w:contextualSpacing/>
        <w:jc w:val="both"/>
        <w:rPr>
          <w:b/>
        </w:rPr>
      </w:pPr>
    </w:p>
    <w:p w14:paraId="5A2DEC87" w14:textId="77777777" w:rsidR="005C3B0B" w:rsidRPr="00A658A5" w:rsidRDefault="005C3B0B" w:rsidP="00760BDA">
      <w:pPr>
        <w:spacing w:line="360" w:lineRule="auto"/>
        <w:contextualSpacing/>
        <w:jc w:val="both"/>
        <w:rPr>
          <w:b/>
        </w:rPr>
      </w:pPr>
    </w:p>
    <w:p w14:paraId="2ED7D767" w14:textId="77777777" w:rsidR="005C3B0B" w:rsidRPr="00A658A5" w:rsidRDefault="005C3B0B" w:rsidP="00760BDA">
      <w:pPr>
        <w:spacing w:line="360" w:lineRule="auto"/>
        <w:contextualSpacing/>
        <w:jc w:val="both"/>
        <w:rPr>
          <w:b/>
        </w:rPr>
      </w:pPr>
    </w:p>
    <w:p w14:paraId="296F5486" w14:textId="77777777" w:rsidR="005C3B0B" w:rsidRPr="00A658A5" w:rsidRDefault="005C3B0B" w:rsidP="00760BDA">
      <w:pPr>
        <w:spacing w:line="360" w:lineRule="auto"/>
        <w:contextualSpacing/>
        <w:jc w:val="both"/>
        <w:rPr>
          <w:b/>
        </w:rPr>
      </w:pPr>
    </w:p>
    <w:p w14:paraId="2F0A64CF" w14:textId="77777777" w:rsidR="005C3B0B" w:rsidRPr="00A658A5" w:rsidRDefault="005C3B0B" w:rsidP="00760BDA">
      <w:pPr>
        <w:spacing w:line="360" w:lineRule="auto"/>
        <w:contextualSpacing/>
        <w:jc w:val="both"/>
        <w:rPr>
          <w:b/>
        </w:rPr>
      </w:pPr>
    </w:p>
    <w:p w14:paraId="3CCA21A8" w14:textId="77777777" w:rsidR="005C3B0B" w:rsidRPr="00A658A5" w:rsidRDefault="005C3B0B" w:rsidP="00760BDA">
      <w:pPr>
        <w:spacing w:line="360" w:lineRule="auto"/>
        <w:contextualSpacing/>
        <w:jc w:val="both"/>
        <w:rPr>
          <w:b/>
        </w:rPr>
      </w:pPr>
    </w:p>
    <w:p w14:paraId="3179F64F" w14:textId="77777777" w:rsidR="005C3B0B" w:rsidRPr="00A658A5" w:rsidRDefault="005C3B0B" w:rsidP="00760BDA">
      <w:pPr>
        <w:spacing w:line="360" w:lineRule="auto"/>
        <w:contextualSpacing/>
        <w:jc w:val="both"/>
        <w:rPr>
          <w:b/>
        </w:rPr>
      </w:pPr>
    </w:p>
    <w:p w14:paraId="2EEB0B18" w14:textId="77777777" w:rsidR="005C3B0B" w:rsidRPr="00A658A5" w:rsidRDefault="005C3B0B" w:rsidP="00760BDA">
      <w:pPr>
        <w:spacing w:line="360" w:lineRule="auto"/>
        <w:contextualSpacing/>
        <w:jc w:val="both"/>
        <w:rPr>
          <w:b/>
        </w:rPr>
      </w:pPr>
    </w:p>
    <w:p w14:paraId="0A155BC2" w14:textId="77777777" w:rsidR="005C3B0B" w:rsidRPr="00A658A5" w:rsidRDefault="005C3B0B" w:rsidP="00760BDA">
      <w:pPr>
        <w:spacing w:line="360" w:lineRule="auto"/>
        <w:contextualSpacing/>
        <w:jc w:val="both"/>
        <w:rPr>
          <w:b/>
        </w:rPr>
      </w:pPr>
    </w:p>
    <w:p w14:paraId="706DD241" w14:textId="77777777" w:rsidR="005C3B0B" w:rsidRPr="00A658A5" w:rsidRDefault="005C3B0B" w:rsidP="00760BDA">
      <w:pPr>
        <w:spacing w:line="360" w:lineRule="auto"/>
        <w:contextualSpacing/>
        <w:jc w:val="both"/>
        <w:rPr>
          <w:b/>
        </w:rPr>
      </w:pPr>
    </w:p>
    <w:p w14:paraId="4027EAF8" w14:textId="77777777" w:rsidR="005C3B0B" w:rsidRPr="00A658A5" w:rsidRDefault="005C3B0B" w:rsidP="00760BDA">
      <w:pPr>
        <w:spacing w:line="360" w:lineRule="auto"/>
        <w:contextualSpacing/>
        <w:jc w:val="both"/>
        <w:rPr>
          <w:b/>
        </w:rPr>
      </w:pPr>
    </w:p>
    <w:p w14:paraId="566E0089" w14:textId="27DD0687" w:rsidR="005C3B0B" w:rsidRDefault="005C3B0B" w:rsidP="00760BDA">
      <w:pPr>
        <w:spacing w:line="360" w:lineRule="auto"/>
        <w:contextualSpacing/>
        <w:jc w:val="both"/>
        <w:rPr>
          <w:b/>
        </w:rPr>
      </w:pPr>
    </w:p>
    <w:p w14:paraId="65503E76" w14:textId="59DF3034" w:rsidR="00712EAF" w:rsidRDefault="00712EAF" w:rsidP="00760BDA">
      <w:pPr>
        <w:spacing w:line="360" w:lineRule="auto"/>
        <w:contextualSpacing/>
        <w:jc w:val="both"/>
        <w:rPr>
          <w:b/>
        </w:rPr>
      </w:pPr>
    </w:p>
    <w:p w14:paraId="624912B4" w14:textId="77777777" w:rsidR="00712EAF" w:rsidRPr="00A658A5" w:rsidRDefault="00712EAF" w:rsidP="00760BDA">
      <w:pPr>
        <w:spacing w:line="360" w:lineRule="auto"/>
        <w:contextualSpacing/>
        <w:jc w:val="both"/>
        <w:rPr>
          <w:b/>
        </w:rPr>
      </w:pPr>
    </w:p>
    <w:p w14:paraId="55177CCE"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0" w:name="_Toc30849724"/>
      <w:bookmarkStart w:id="1" w:name="_Toc75869554"/>
      <w:r w:rsidRPr="00A658A5">
        <w:rPr>
          <w:rFonts w:ascii="Times New Roman" w:hAnsi="Times New Roman" w:cs="Times New Roman"/>
          <w:color w:val="auto"/>
        </w:rPr>
        <w:lastRenderedPageBreak/>
        <w:t>Model parameterization</w:t>
      </w:r>
      <w:bookmarkEnd w:id="0"/>
      <w:bookmarkEnd w:id="1"/>
    </w:p>
    <w:p w14:paraId="011BE067"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2" w:name="_Toc30849725"/>
      <w:bookmarkStart w:id="3" w:name="_Toc75869555"/>
      <w:r w:rsidRPr="00A658A5">
        <w:rPr>
          <w:rFonts w:ascii="Times New Roman" w:hAnsi="Times New Roman" w:cs="Times New Roman"/>
          <w:color w:val="auto"/>
          <w:sz w:val="28"/>
          <w:szCs w:val="28"/>
        </w:rPr>
        <w:t>Species-specific parameters</w:t>
      </w:r>
      <w:bookmarkEnd w:id="2"/>
      <w:bookmarkEnd w:id="3"/>
    </w:p>
    <w:p w14:paraId="257C82AC" w14:textId="09C1E297" w:rsidR="005C3B0B" w:rsidRPr="00A658A5" w:rsidRDefault="005C3B0B" w:rsidP="00760BDA">
      <w:pPr>
        <w:spacing w:line="360" w:lineRule="auto"/>
        <w:contextualSpacing/>
        <w:jc w:val="both"/>
        <w:rPr>
          <w:lang w:val="lt-LT"/>
        </w:rPr>
      </w:pPr>
      <w:r w:rsidRPr="00A658A5">
        <w:t xml:space="preserve">Below follows a description for how we acquired default parameters which are valid at the reference temperature,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A658A5">
        <w:rPr>
          <w:rFonts w:eastAsiaTheme="minorEastAsia"/>
        </w:rPr>
        <w:t>, where the temperature scaling equals 1 for all rates</w:t>
      </w:r>
      <w:r w:rsidRPr="00A658A5">
        <w:t xml:space="preserve"> (see main text for which rates are assumed temperature dependent and how). In </w:t>
      </w:r>
      <w:r w:rsidRPr="00A658A5">
        <w:rPr>
          <w:i/>
        </w:rPr>
        <w:t>‘mizer’</w:t>
      </w:r>
      <w:r w:rsidRPr="00A658A5">
        <w:t xml:space="preserve">, </w:t>
      </w:r>
      <w:r w:rsidRPr="00A658A5">
        <w:rPr>
          <w:lang w:val="en-GB"/>
        </w:rPr>
        <w:t>multi-species size spectrum models (</w:t>
      </w:r>
      <w:r w:rsidRPr="00A658A5">
        <w:t>MSSMs), species-specific parameters</w:t>
      </w:r>
      <w:r w:rsidR="00146A77">
        <w:t xml:space="preserve"> are required</w:t>
      </w:r>
      <w:r w:rsidRPr="00A658A5">
        <w:t xml:space="preserve">. Parameters that have no defaults and must be provided are: </w:t>
      </w:r>
      <w:r w:rsidRPr="00A658A5">
        <w:rPr>
          <w:rFonts w:eastAsiaTheme="minorEastAsia"/>
        </w:rPr>
        <w:t>asymptotic size (</w:t>
      </w:r>
      <m:oMath>
        <m:r>
          <w:rPr>
            <w:rFonts w:ascii="Cambria Math" w:hAnsi="Cambria Math"/>
          </w:rPr>
          <m:t>W</m:t>
        </m:r>
      </m:oMath>
      <w:r w:rsidRPr="00A658A5">
        <w:rPr>
          <w:rFonts w:eastAsiaTheme="minorEastAsia"/>
        </w:rPr>
        <w:t>), size at maturation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mat</m:t>
            </m:r>
          </m:sub>
        </m:sSub>
      </m:oMath>
      <w:r w:rsidRPr="00A658A5">
        <w:rPr>
          <w:rFonts w:eastAsiaTheme="minorEastAsia"/>
        </w:rPr>
        <w:t>), preferred predator-prey mass ratio (PPMR) (</w:t>
      </w:r>
      <m:oMath>
        <m:r>
          <w:rPr>
            <w:rFonts w:ascii="Cambria Math" w:hAnsi="Cambria Math"/>
          </w:rPr>
          <m:t>β</m:t>
        </m:r>
      </m:oMath>
      <w:r w:rsidRPr="00A658A5">
        <w:rPr>
          <w:rFonts w:eastAsiaTheme="minorEastAsia"/>
        </w:rPr>
        <w:t>), the standard deviation of PPMR (</w:t>
      </w:r>
      <m:oMath>
        <m:r>
          <w:rPr>
            <w:rFonts w:ascii="Cambria Math" w:hAnsi="Cambria Math"/>
          </w:rPr>
          <m:t>σ</m:t>
        </m:r>
      </m:oMath>
      <w:r w:rsidRPr="00A658A5">
        <w:rPr>
          <w:rFonts w:eastAsiaTheme="minorEastAsia"/>
        </w:rPr>
        <w:t>) and the maximum recruitment in the Beverton-Holt stock recruitment function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max</m:t>
            </m:r>
          </m:sub>
        </m:sSub>
      </m:oMath>
      <w:r w:rsidRPr="00A658A5">
        <w:rPr>
          <w:rFonts w:eastAsiaTheme="minorEastAsia"/>
        </w:rPr>
        <w:t xml:space="preserve">) </w:t>
      </w:r>
      <w:r w:rsidRPr="00A658A5">
        <w:rPr>
          <w:rFonts w:eastAsiaTheme="minorEastAsia"/>
        </w:rPr>
        <w:fldChar w:fldCharType="begin"/>
      </w:r>
      <w:r w:rsidR="002E5D14">
        <w:rPr>
          <w:rFonts w:eastAsiaTheme="minorEastAsia"/>
        </w:rPr>
        <w:instrText xml:space="preserve"> ADDIN ZOTERO_ITEM CSL_CITATION {"citationID":"PIBjUxYN","properties":{"formattedCitation":"(Scott {\\i{}et al.} 2019)","plainCitation":"(Scott et al. 2019)","noteIndex":0},"citationItems":[{"id":"UPAMMKgU/CwCXDrnU","uris":["http://zotero.org/users/6116610/items/DJUXBZVN"],"itemData":{"id":857,"type":"book","genre":"R","title":"mizer: Multi-Species sIZE Spectrum Modelling in R","version":"1.1","author":[{"family":"Scott","given":"Finlay"},{"family":"Blanchard","given":"Julia"},{"family":"Andersen","given":"Ken"}],"issued":{"date-parts":[["2019"]]}},"locator":"201"}],"schema":"https://github.com/citation-style-language/schema/raw/master/csl-citation.json"} </w:instrText>
      </w:r>
      <w:r w:rsidRPr="00A658A5">
        <w:rPr>
          <w:rFonts w:eastAsiaTheme="minorEastAsia"/>
        </w:rPr>
        <w:fldChar w:fldCharType="separate"/>
      </w:r>
      <w:r w:rsidRPr="00A658A5">
        <w:rPr>
          <w:lang w:val="en-GB"/>
        </w:rPr>
        <w:t xml:space="preserve">(Scott </w:t>
      </w:r>
      <w:r w:rsidRPr="00A658A5">
        <w:rPr>
          <w:i/>
          <w:iCs/>
          <w:lang w:val="en-GB"/>
        </w:rPr>
        <w:t>et al.</w:t>
      </w:r>
      <w:r w:rsidRPr="00A658A5">
        <w:rPr>
          <w:lang w:val="en-GB"/>
        </w:rPr>
        <w:t xml:space="preserve"> 2019)</w:t>
      </w:r>
      <w:r w:rsidRPr="00A658A5">
        <w:rPr>
          <w:rFonts w:eastAsiaTheme="minorEastAsia"/>
        </w:rPr>
        <w:fldChar w:fldCharType="end"/>
      </w:r>
      <w:r w:rsidRPr="00A658A5">
        <w:rPr>
          <w:rFonts w:eastAsiaTheme="minorEastAsia"/>
        </w:rPr>
        <w:t>.</w:t>
      </w:r>
      <w:r w:rsidRPr="00A658A5">
        <w:t xml:space="preserve"> </w:t>
      </w:r>
    </w:p>
    <w:p w14:paraId="34ADBD41" w14:textId="61406ABB" w:rsidR="005C3B0B" w:rsidRPr="00A658A5" w:rsidRDefault="005C3B0B" w:rsidP="00760BDA">
      <w:pPr>
        <w:spacing w:line="360" w:lineRule="auto"/>
        <w:ind w:firstLine="284"/>
        <w:contextualSpacing/>
        <w:jc w:val="both"/>
        <w:rPr>
          <w:rFonts w:eastAsiaTheme="minorEastAsia"/>
        </w:rPr>
      </w:pPr>
      <w:r w:rsidRPr="00A658A5">
        <w:t xml:space="preserve">For cod, we initially acquired the parameters </w:t>
      </w:r>
      <m:oMath>
        <m:r>
          <w:rPr>
            <w:rFonts w:ascii="Cambria Math" w:hAnsi="Cambria Math"/>
          </w:rPr>
          <m:t>β</m:t>
        </m:r>
      </m:oMath>
      <w:r w:rsidRPr="00A658A5">
        <w:rPr>
          <w:rFonts w:eastAsiaTheme="minorEastAsia"/>
        </w:rPr>
        <w:t xml:space="preserve"> and </w:t>
      </w:r>
      <m:oMath>
        <m:r>
          <w:rPr>
            <w:rFonts w:ascii="Cambria Math" w:eastAsiaTheme="minorEastAsia" w:hAnsi="Cambria Math"/>
          </w:rPr>
          <m:t>σ</m:t>
        </m:r>
      </m:oMath>
      <w:r w:rsidRPr="00A658A5">
        <w:rPr>
          <w:rFonts w:eastAsiaTheme="minorEastAsia"/>
        </w:rPr>
        <w:t xml:space="preserve"> by calculating the mean and the standard deviation for the distribution of mean individual-level log</w:t>
      </w:r>
      <w:r w:rsidR="0045115D">
        <w:rPr>
          <w:rFonts w:eastAsiaTheme="minorEastAsia"/>
          <w:vertAlign w:val="subscript"/>
        </w:rPr>
        <w:t xml:space="preserve"> </w:t>
      </w:r>
      <w:r w:rsidRPr="00A658A5">
        <w:rPr>
          <w:rFonts w:eastAsiaTheme="minorEastAsia"/>
        </w:rPr>
        <w:t>PPMR</w:t>
      </w:r>
      <w:r w:rsidR="00FF350E">
        <w:rPr>
          <w:rFonts w:eastAsiaTheme="minorEastAsia"/>
        </w:rPr>
        <w:t xml:space="preserve"> (</w:t>
      </w:r>
      <m:oMath>
        <m:r>
          <w:rPr>
            <w:rFonts w:ascii="Cambria Math" w:hAnsi="Cambria Math"/>
          </w:rPr>
          <m:t>β</m:t>
        </m:r>
      </m:oMath>
      <w:r w:rsidR="00FF350E">
        <w:rPr>
          <w:rFonts w:eastAsiaTheme="minorEastAsia"/>
        </w:rPr>
        <w:t xml:space="preserve"> is the</w:t>
      </w:r>
      <w:r w:rsidR="003A57EB">
        <w:rPr>
          <w:rFonts w:eastAsiaTheme="minorEastAsia"/>
        </w:rPr>
        <w:t>n</w:t>
      </w:r>
      <w:r w:rsidR="00FF350E">
        <w:rPr>
          <w:rFonts w:eastAsiaTheme="minorEastAsia"/>
        </w:rPr>
        <w:t xml:space="preserve"> exponentiated whereas </w:t>
      </w:r>
      <m:oMath>
        <m:r>
          <w:rPr>
            <w:rFonts w:ascii="Cambria Math" w:eastAsiaTheme="minorEastAsia" w:hAnsi="Cambria Math"/>
          </w:rPr>
          <m:t>σ</m:t>
        </m:r>
      </m:oMath>
      <w:r w:rsidR="00FF350E">
        <w:rPr>
          <w:rFonts w:eastAsiaTheme="minorEastAsia"/>
        </w:rPr>
        <w:t xml:space="preserve"> is defined as the standard deviation of the distribution of log PPMRs)</w:t>
      </w:r>
      <w:r w:rsidRPr="00A658A5">
        <w:rPr>
          <w:rFonts w:eastAsiaTheme="minorEastAsia"/>
        </w:rPr>
        <w:t xml:space="preserve">, using stomach data (downloaded on 2019.03.20) hosted by the </w:t>
      </w:r>
      <w:r w:rsidRPr="00A658A5">
        <w:t>International Council for the Exploration of the Sea</w:t>
      </w:r>
      <w:r w:rsidRPr="00A658A5">
        <w:rPr>
          <w:rFonts w:eastAsiaTheme="minorEastAsia"/>
        </w:rPr>
        <w:t xml:space="preserve"> (ICES), in the FISH STOMACH database </w:t>
      </w:r>
      <w:r w:rsidRPr="00A658A5">
        <w:rPr>
          <w:rFonts w:eastAsiaTheme="minorEastAsia"/>
        </w:rPr>
        <w:fldChar w:fldCharType="begin"/>
      </w:r>
      <w:r w:rsidR="002E5D14">
        <w:rPr>
          <w:rFonts w:eastAsiaTheme="minorEastAsia"/>
        </w:rPr>
        <w:instrText xml:space="preserve"> ADDIN ZOTERO_ITEM CSL_CITATION {"citationID":"t994a9OK","properties":{"formattedCitation":"(ICES 2010)","plainCitation":"(ICES 2010)","noteIndex":0},"citationItems":[{"id":812,"uris":["http://zotero.org/users/6116610/items/F5UEWUPZ"],"itemData":{"id":812,"type":"article-journal","title":"Stomach Dataset 2010, ICES, Copenhagen","author":[{"family":"ICES","given":""}],"issued":{"date-parts":[["2010"]]},"citation-key":"icesStomachDataset20102010"}}],"schema":"https://github.com/citation-style-language/schema/raw/master/csl-citation.json"} </w:instrText>
      </w:r>
      <w:r w:rsidRPr="00A658A5">
        <w:rPr>
          <w:rFonts w:eastAsiaTheme="minorEastAsia"/>
        </w:rPr>
        <w:fldChar w:fldCharType="separate"/>
      </w:r>
      <w:r w:rsidRPr="00A658A5">
        <w:t>(ICES 2010)</w:t>
      </w:r>
      <w:r w:rsidRPr="00A658A5">
        <w:rPr>
          <w:rFonts w:eastAsiaTheme="minorEastAsia"/>
        </w:rPr>
        <w:fldChar w:fldCharType="end"/>
      </w:r>
      <w:r w:rsidR="008046C0">
        <w:rPr>
          <w:rFonts w:eastAsiaTheme="minorEastAsia"/>
        </w:rPr>
        <w:t xml:space="preserve">. These data </w:t>
      </w:r>
      <w:r w:rsidRPr="00A658A5">
        <w:rPr>
          <w:rFonts w:eastAsiaTheme="minorEastAsia"/>
        </w:rPr>
        <w:t xml:space="preserve">can be downloaded at </w:t>
      </w:r>
      <w:hyperlink r:id="rId8" w:history="1">
        <w:r w:rsidRPr="00A658A5">
          <w:rPr>
            <w:rStyle w:val="Hyperlink"/>
            <w:color w:val="auto"/>
          </w:rPr>
          <w:t>http://ecosystemdata.ices.dk/stomachdata/download.aspx</w:t>
        </w:r>
      </w:hyperlink>
      <w:r w:rsidRPr="00A658A5">
        <w:t xml:space="preserve">. We used only samples with fully intact prey (no digestion) among the observations from the area we consider (ICES subdivisions SD 25-29, 32, see Fig. S2) and from the time window we use for calibrating the model (1992-2002). When prey weight was not available, we used the relationship </w:t>
      </w:r>
      <m:oMath>
        <m:r>
          <w:rPr>
            <w:rFonts w:ascii="Cambria Math" w:hAnsi="Cambria Math"/>
          </w:rPr>
          <m:t>weight=0.01×lengt</m:t>
        </m:r>
        <m:sSup>
          <m:sSupPr>
            <m:ctrlPr>
              <w:rPr>
                <w:rFonts w:ascii="Cambria Math" w:hAnsi="Cambria Math"/>
                <w:i/>
              </w:rPr>
            </m:ctrlPr>
          </m:sSupPr>
          <m:e>
            <m:r>
              <w:rPr>
                <w:rFonts w:ascii="Cambria Math" w:hAnsi="Cambria Math"/>
              </w:rPr>
              <m:t>h</m:t>
            </m:r>
          </m:e>
          <m:sup>
            <m:r>
              <w:rPr>
                <w:rFonts w:ascii="Cambria Math" w:hAnsi="Cambria Math"/>
              </w:rPr>
              <m:t>3</m:t>
            </m:r>
          </m:sup>
        </m:sSup>
      </m:oMath>
      <w:r w:rsidRPr="00A658A5">
        <w:rPr>
          <w:rFonts w:eastAsiaTheme="minorEastAsia"/>
        </w:rPr>
        <w:t>, where length is in cm,</w:t>
      </w:r>
      <w:r w:rsidRPr="00A658A5">
        <w:t xml:space="preserve"> to approximate weight in g. However, since stomach content data is not a measure of preference per se, as it is only shows what has been eaten (which also depends on </w:t>
      </w:r>
      <w:r w:rsidR="00D63359">
        <w:t xml:space="preserve">prey </w:t>
      </w:r>
      <w:r w:rsidRPr="00A658A5">
        <w:t>availability), these parameters should also be evaluated after model fitting. For sprat and herring, we assumed</w:t>
      </w:r>
      <m:oMath>
        <m:r>
          <w:rPr>
            <w:rFonts w:ascii="Cambria Math" w:hAnsi="Cambria Math"/>
          </w:rPr>
          <m:t xml:space="preserve"> β</m:t>
        </m:r>
      </m:oMath>
      <w:r w:rsidRPr="00A658A5">
        <w:rPr>
          <w:rFonts w:eastAsiaTheme="minorEastAsia"/>
        </w:rPr>
        <w:t xml:space="preserve"> and </w:t>
      </w:r>
      <m:oMath>
        <m:r>
          <w:rPr>
            <w:rFonts w:ascii="Cambria Math" w:eastAsiaTheme="minorEastAsia" w:hAnsi="Cambria Math"/>
          </w:rPr>
          <m:t>σ</m:t>
        </m:r>
      </m:oMath>
      <w:r w:rsidRPr="00A658A5">
        <w:t xml:space="preserve"> to be 1000 and 1.3, respectively, which reflects that forage fish typically feed on prey that are small in relation to their body size throughout ontogeny </w:t>
      </w:r>
      <w:r w:rsidRPr="00A658A5">
        <w:fldChar w:fldCharType="begin"/>
      </w:r>
      <w:r w:rsidR="002E5D14">
        <w:instrText xml:space="preserve"> ADDIN ZOTERO_ITEM CSL_CITATION {"citationID":"3Xqxtezz","properties":{"formattedCitation":"(Aydin {\\i{}et al.} 2002; Reum {\\i{}et al.} 2019)","plainCitation":"(Aydin et al. 2002; Reum et al. 2019)","noteIndex":0},"citationItems":[{"id":811,"uris":["http://zotero.org/users/6116610/items/HCKVFQ3D"],"itemData":{"id":811,"type":"report","language":"en","title":"A Comparison of the Eastern and Western Bering Sea Shelf/Slope Ecosystems Through the Use of Mass Balance Food Web Models. - US Dept of Commerce, NOAA Techical. Memo. NMFS-AFSC-130, 78","URL":"https://www.researchgate.net/publication/263807898_A_Comparison_of_the_Eastern_and_Western_Bering_Sea_ShelfSlope_Ecosystems_Through_the_Use_of_Mass_Balance_Food_Web_Models","author":[{"family":"Aydin","given":"Kerim Y."},{"family":"Lapko","given":"Victor V."},{"family":"Radchenko","given":"Vladimir I."},{"family":"Livingston","given":"Patricia A."}],"accessed":{"date-parts":[["2019",11,7]]},"issued":{"date-parts":[["2002"]]},"citation-key":"aydinComparisonEasternWestern2002"}},{"id":"UPAMMKgU/QeJyn5wV","uris":["http://zotero.org/users/6116610/items/R5YI4ZVT"],"itemData":{"id":594,"type":"article-journal","title":"Species‐specific ontogenetic diet shifts attenuate trophic cascades and lengthen food chains in exploited ecosystems","container-title":"Oikos","page":"1051-1064","volume":"128","issue":"7","source":"Crossref","DOI":"10.1111/oik.05630","ISSN":"0030-1299, 1600-0706","language":"en","author":[{"family":"Reum","given":"Jonathan C. P."},{"family":"Blanchard","given":"Julia L."},{"family":"Holsman","given":"Kirstin K."},{"family":"Aydin","given":"Kerim"},{"family":"Punt","given":"André E."}],"issued":{"date-parts":[["2019",7]]}}}],"schema":"https://github.com/citation-style-language/schema/raw/master/csl-citation.json"} </w:instrText>
      </w:r>
      <w:r w:rsidRPr="00A658A5">
        <w:fldChar w:fldCharType="separate"/>
      </w:r>
      <w:r w:rsidRPr="00A658A5">
        <w:t xml:space="preserve">(Aydin </w:t>
      </w:r>
      <w:r w:rsidRPr="00A658A5">
        <w:rPr>
          <w:i/>
          <w:iCs/>
        </w:rPr>
        <w:t>et al.</w:t>
      </w:r>
      <w:r w:rsidRPr="00A658A5">
        <w:t xml:space="preserve"> 2002; Reum </w:t>
      </w:r>
      <w:r w:rsidRPr="00A658A5">
        <w:rPr>
          <w:i/>
          <w:iCs/>
        </w:rPr>
        <w:t>et al.</w:t>
      </w:r>
      <w:r w:rsidRPr="00A658A5">
        <w:t xml:space="preserve"> 2019)</w:t>
      </w:r>
      <w:r w:rsidRPr="00A658A5">
        <w:fldChar w:fldCharType="end"/>
      </w:r>
      <w:r w:rsidRPr="00A658A5">
        <w:t>.</w:t>
      </w:r>
      <w:r w:rsidRPr="00A658A5">
        <w:rPr>
          <w:rFonts w:eastAsiaTheme="minorEastAsia"/>
        </w:rPr>
        <w:t xml:space="preserve"> </w:t>
      </w:r>
    </w:p>
    <w:p w14:paraId="08423182" w14:textId="14F4585F" w:rsidR="005C3B0B" w:rsidRDefault="005C3B0B" w:rsidP="00760BDA">
      <w:pPr>
        <w:spacing w:line="360" w:lineRule="auto"/>
        <w:ind w:firstLine="284"/>
        <w:contextualSpacing/>
        <w:jc w:val="both"/>
        <w:rPr>
          <w:rFonts w:eastAsiaTheme="minorEastAsia"/>
        </w:rPr>
      </w:pPr>
    </w:p>
    <w:p w14:paraId="7CEEFBFD" w14:textId="0636301E" w:rsidR="002F4A86" w:rsidRDefault="002F4A86" w:rsidP="00760BDA">
      <w:pPr>
        <w:spacing w:line="360" w:lineRule="auto"/>
        <w:ind w:firstLine="284"/>
        <w:contextualSpacing/>
        <w:jc w:val="both"/>
        <w:rPr>
          <w:rFonts w:eastAsiaTheme="minorEastAsia"/>
        </w:rPr>
      </w:pPr>
    </w:p>
    <w:p w14:paraId="67E0A5D2" w14:textId="7A93517A" w:rsidR="002F4A86" w:rsidRDefault="002F4A86" w:rsidP="00760BDA">
      <w:pPr>
        <w:spacing w:line="360" w:lineRule="auto"/>
        <w:ind w:firstLine="284"/>
        <w:contextualSpacing/>
        <w:jc w:val="both"/>
        <w:rPr>
          <w:rFonts w:eastAsiaTheme="minorEastAsia"/>
        </w:rPr>
      </w:pPr>
    </w:p>
    <w:p w14:paraId="00A9AD82" w14:textId="79D3475B" w:rsidR="002F4A86" w:rsidRDefault="002F4A86" w:rsidP="00760BDA">
      <w:pPr>
        <w:spacing w:line="360" w:lineRule="auto"/>
        <w:ind w:firstLine="284"/>
        <w:contextualSpacing/>
        <w:jc w:val="both"/>
        <w:rPr>
          <w:rFonts w:eastAsiaTheme="minorEastAsia"/>
        </w:rPr>
      </w:pPr>
    </w:p>
    <w:p w14:paraId="39656E7D" w14:textId="06C26634" w:rsidR="002F4A86" w:rsidRDefault="002F4A86" w:rsidP="00760BDA">
      <w:pPr>
        <w:spacing w:line="360" w:lineRule="auto"/>
        <w:ind w:firstLine="284"/>
        <w:contextualSpacing/>
        <w:jc w:val="both"/>
        <w:rPr>
          <w:rFonts w:eastAsiaTheme="minorEastAsia"/>
        </w:rPr>
      </w:pPr>
    </w:p>
    <w:p w14:paraId="6AD790DC" w14:textId="07EFF5AD" w:rsidR="002F4A86" w:rsidRDefault="002F4A86" w:rsidP="00760BDA">
      <w:pPr>
        <w:spacing w:line="360" w:lineRule="auto"/>
        <w:ind w:firstLine="284"/>
        <w:contextualSpacing/>
        <w:jc w:val="both"/>
        <w:rPr>
          <w:rFonts w:eastAsiaTheme="minorEastAsia"/>
        </w:rPr>
      </w:pPr>
    </w:p>
    <w:p w14:paraId="1BB0A66C" w14:textId="3DF5C1B7" w:rsidR="002F4A86" w:rsidRDefault="002F4A86" w:rsidP="00760BDA">
      <w:pPr>
        <w:spacing w:line="360" w:lineRule="auto"/>
        <w:ind w:firstLine="284"/>
        <w:contextualSpacing/>
        <w:jc w:val="both"/>
        <w:rPr>
          <w:rFonts w:eastAsiaTheme="minorEastAsia"/>
        </w:rPr>
      </w:pPr>
    </w:p>
    <w:p w14:paraId="6E71FD9C" w14:textId="716F4BED" w:rsidR="005C3B0B" w:rsidRPr="00A658A5" w:rsidRDefault="00DC0AF7" w:rsidP="00760BDA">
      <w:pPr>
        <w:spacing w:line="360" w:lineRule="auto"/>
        <w:ind w:firstLine="284"/>
        <w:contextualSpacing/>
        <w:jc w:val="center"/>
        <w:rPr>
          <w:rFonts w:eastAsiaTheme="minorEastAsia"/>
        </w:rPr>
      </w:pPr>
      <w:r>
        <w:rPr>
          <w:rFonts w:eastAsiaTheme="minorEastAsia"/>
          <w:noProof/>
          <w:lang w:val="sv-SE" w:eastAsia="sv-SE"/>
        </w:rPr>
        <w:lastRenderedPageBreak/>
        <w:drawing>
          <wp:inline distT="0" distB="0" distL="0" distR="0" wp14:anchorId="55C0C1F3" wp14:editId="303626BC">
            <wp:extent cx="2855479" cy="2750696"/>
            <wp:effectExtent l="0" t="0" r="2540" b="5715"/>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rotWithShape="1">
                    <a:blip r:embed="rId9" cstate="print">
                      <a:extLst>
                        <a:ext uri="{28A0092B-C50C-407E-A947-70E740481C1C}">
                          <a14:useLocalDpi xmlns:a14="http://schemas.microsoft.com/office/drawing/2010/main" val="0"/>
                        </a:ext>
                      </a:extLst>
                    </a:blip>
                    <a:srcRect t="1575" b="2095"/>
                    <a:stretch/>
                  </pic:blipFill>
                  <pic:spPr bwMode="auto">
                    <a:xfrm>
                      <a:off x="0" y="0"/>
                      <a:ext cx="2879492" cy="2773828"/>
                    </a:xfrm>
                    <a:prstGeom prst="rect">
                      <a:avLst/>
                    </a:prstGeom>
                    <a:ln>
                      <a:noFill/>
                    </a:ln>
                    <a:extLst>
                      <a:ext uri="{53640926-AAD7-44D8-BBD7-CCE9431645EC}">
                        <a14:shadowObscured xmlns:a14="http://schemas.microsoft.com/office/drawing/2010/main"/>
                      </a:ext>
                    </a:extLst>
                  </pic:spPr>
                </pic:pic>
              </a:graphicData>
            </a:graphic>
          </wp:inline>
        </w:drawing>
      </w:r>
    </w:p>
    <w:p w14:paraId="261B46C4" w14:textId="1EC8E041" w:rsidR="005C3B0B" w:rsidRPr="00A658A5" w:rsidRDefault="005C3B0B" w:rsidP="00760BDA">
      <w:pPr>
        <w:spacing w:line="360" w:lineRule="auto"/>
        <w:contextualSpacing/>
        <w:jc w:val="both"/>
        <w:rPr>
          <w:rFonts w:eastAsiaTheme="minorEastAsia"/>
          <w:i/>
          <w:iCs/>
        </w:rPr>
      </w:pPr>
      <w:r w:rsidRPr="00A658A5">
        <w:rPr>
          <w:rFonts w:eastAsiaTheme="minorEastAsia"/>
          <w:i/>
          <w:iCs/>
        </w:rPr>
        <w:t>Figure S1. Distribution of individual level predator-prey mass ratio (</w:t>
      </w:r>
      <w:r w:rsidRPr="00A91590">
        <w:rPr>
          <w:rFonts w:eastAsiaTheme="minorEastAsia"/>
        </w:rPr>
        <w:t>log</w:t>
      </w:r>
      <w:r w:rsidR="003C4632">
        <w:rPr>
          <w:rFonts w:eastAsiaTheme="minorEastAsia"/>
          <w:i/>
          <w:iCs/>
          <w:vertAlign w:val="subscript"/>
        </w:rPr>
        <w:t xml:space="preserve"> </w:t>
      </w:r>
      <w:r w:rsidRPr="00A658A5">
        <w:rPr>
          <w:rFonts w:eastAsiaTheme="minorEastAsia"/>
          <w:i/>
          <w:iCs/>
        </w:rPr>
        <w:t>PPMR) for cod. Mean</w:t>
      </w:r>
      <w:r w:rsidR="001A2D1F">
        <w:rPr>
          <w:rFonts w:eastAsiaTheme="minorEastAsia"/>
          <w:i/>
          <w:iCs/>
        </w:rPr>
        <w:t xml:space="preserve"> </w:t>
      </w:r>
      <w:r w:rsidR="0003340E" w:rsidRPr="00A91590">
        <w:rPr>
          <w:rFonts w:eastAsiaTheme="minorEastAsia"/>
        </w:rPr>
        <w:t>exp</w:t>
      </w:r>
      <w:r w:rsidR="0003340E">
        <w:rPr>
          <w:rFonts w:eastAsiaTheme="minorEastAsia"/>
          <w:i/>
          <w:iCs/>
        </w:rPr>
        <w:t>(</w:t>
      </w:r>
      <w:r w:rsidR="001A2D1F">
        <w:rPr>
          <w:rFonts w:eastAsiaTheme="minorEastAsia"/>
          <w:i/>
          <w:iCs/>
        </w:rPr>
        <w:t>PPMR</w:t>
      </w:r>
      <w:r w:rsidR="0003340E">
        <w:rPr>
          <w:rFonts w:eastAsiaTheme="minorEastAsia"/>
          <w:i/>
          <w:iCs/>
        </w:rPr>
        <w:t>)</w:t>
      </w:r>
      <w:r w:rsidRPr="00A658A5">
        <w:rPr>
          <w:rFonts w:eastAsiaTheme="minorEastAsia"/>
          <w:i/>
          <w:iCs/>
        </w:rPr>
        <w:t xml:space="preserve"> correspond</w:t>
      </w:r>
      <w:r w:rsidR="001A2D1F">
        <w:rPr>
          <w:rFonts w:eastAsiaTheme="minorEastAsia"/>
          <w:i/>
          <w:iCs/>
        </w:rPr>
        <w:t>s</w:t>
      </w:r>
      <w:r w:rsidRPr="00A658A5">
        <w:rPr>
          <w:rFonts w:eastAsiaTheme="minorEastAsia"/>
          <w:i/>
          <w:iCs/>
        </w:rPr>
        <w:t xml:space="preserve"> to </w:t>
      </w:r>
      <m:oMath>
        <m:r>
          <w:rPr>
            <w:rFonts w:ascii="Cambria Math" w:eastAsiaTheme="minorEastAsia" w:hAnsi="Cambria Math"/>
          </w:rPr>
          <m:t>β</m:t>
        </m:r>
      </m:oMath>
      <w:r w:rsidRPr="00A658A5">
        <w:rPr>
          <w:rFonts w:eastAsiaTheme="minorEastAsia"/>
          <w:i/>
          <w:iCs/>
        </w:rPr>
        <w:t xml:space="preserve"> and </w:t>
      </w:r>
      <w:r w:rsidR="00485116">
        <w:rPr>
          <w:rFonts w:eastAsiaTheme="minorEastAsia"/>
          <w:i/>
          <w:iCs/>
        </w:rPr>
        <w:t>sd</w:t>
      </w:r>
      <w:r w:rsidR="00D63359">
        <w:rPr>
          <w:rFonts w:eastAsiaTheme="minorEastAsia"/>
          <w:i/>
          <w:iCs/>
        </w:rPr>
        <w:t xml:space="preserve"> to </w:t>
      </w:r>
      <m:oMath>
        <m:r>
          <w:rPr>
            <w:rFonts w:ascii="Cambria Math" w:eastAsiaTheme="minorEastAsia" w:hAnsi="Cambria Math"/>
          </w:rPr>
          <m:t>σ</m:t>
        </m:r>
      </m:oMath>
      <w:r w:rsidRPr="00A658A5">
        <w:rPr>
          <w:rFonts w:eastAsiaTheme="minorEastAsia"/>
          <w:i/>
          <w:iCs/>
        </w:rPr>
        <w:t xml:space="preserve">. The dashed red vertical line corresponds to the mean </w:t>
      </w:r>
      <w:r w:rsidRPr="00A91590">
        <w:rPr>
          <w:rFonts w:eastAsiaTheme="minorEastAsia"/>
        </w:rPr>
        <w:t>log</w:t>
      </w:r>
      <w:r w:rsidRPr="00A658A5">
        <w:rPr>
          <w:rFonts w:eastAsiaTheme="minorEastAsia"/>
          <w:i/>
          <w:iCs/>
        </w:rPr>
        <w:t xml:space="preserve"> PPMR.</w:t>
      </w:r>
    </w:p>
    <w:p w14:paraId="7F769D73" w14:textId="77777777" w:rsidR="005C3B0B" w:rsidRPr="00A658A5" w:rsidRDefault="005C3B0B" w:rsidP="00760BDA">
      <w:pPr>
        <w:spacing w:line="360" w:lineRule="auto"/>
        <w:ind w:firstLine="284"/>
        <w:contextualSpacing/>
        <w:jc w:val="center"/>
        <w:rPr>
          <w:rFonts w:eastAsiaTheme="minorEastAsia"/>
          <w:i/>
          <w:iCs/>
        </w:rPr>
      </w:pPr>
    </w:p>
    <w:p w14:paraId="0483333A" w14:textId="38F095B4" w:rsidR="005C3B0B" w:rsidRPr="00A658A5" w:rsidRDefault="005C3B0B" w:rsidP="00760BDA">
      <w:pPr>
        <w:spacing w:line="360" w:lineRule="auto"/>
        <w:contextualSpacing/>
        <w:jc w:val="both"/>
      </w:pPr>
      <w:r w:rsidRPr="00A658A5">
        <w:t xml:space="preserve">From von Bertalanffy (VBGE) growth parameters and theory linking growth to feeding parameters </w:t>
      </w:r>
      <w:r w:rsidRPr="00A658A5">
        <w:fldChar w:fldCharType="begin"/>
      </w:r>
      <w:r w:rsidR="002E5D14">
        <w:instrText xml:space="preserve"> ADDIN ZOTERO_ITEM CSL_CITATION {"citationID":"bWOPVCVX","properties":{"formattedCitation":"(Hartvig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sidRPr="00A658A5">
        <w:fldChar w:fldCharType="separate"/>
      </w:r>
      <w:r w:rsidRPr="00A658A5">
        <w:rPr>
          <w:lang w:val="en-GB"/>
        </w:rPr>
        <w:t xml:space="preserve">(Hartvig </w:t>
      </w:r>
      <w:r w:rsidRPr="00A658A5">
        <w:rPr>
          <w:i/>
          <w:iCs/>
          <w:lang w:val="en-GB"/>
        </w:rPr>
        <w:t>et al.</w:t>
      </w:r>
      <w:r w:rsidRPr="00A658A5">
        <w:rPr>
          <w:lang w:val="en-GB"/>
        </w:rPr>
        <w:t xml:space="preserve"> 2011)</w:t>
      </w:r>
      <w:r w:rsidRPr="00A658A5">
        <w:fldChar w:fldCharType="end"/>
      </w:r>
      <w:r w:rsidRPr="00A658A5">
        <w:t>, the remaining species-specific parameters can be estimated. The allometric constant in the maximum food intake rate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Pr="00A658A5">
        <w:t xml:space="preserve">) is defined as </w:t>
      </w:r>
      <m:oMath>
        <m:sSub>
          <m:sSubPr>
            <m:ctrlPr>
              <w:rPr>
                <w:rFonts w:ascii="Cambria Math" w:eastAsiaTheme="minorEastAsia" w:hAnsi="Cambria Math"/>
                <w:i/>
              </w:rPr>
            </m:ctrlPr>
          </m:sSubPr>
          <m:e>
            <m:r>
              <w:rPr>
                <w:rFonts w:ascii="Cambria Math" w:hAnsi="Cambria Math"/>
              </w:rPr>
              <m:t>h</m:t>
            </m:r>
            <m:ctrlPr>
              <w:rPr>
                <w:rFonts w:ascii="Cambria Math" w:hAnsi="Cambria Math"/>
                <w:i/>
              </w:rPr>
            </m:ctrlP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vb</m:t>
                </m:r>
              </m:sub>
            </m:sSub>
          </m:num>
          <m:den>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den>
        </m:f>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1/3</m:t>
            </m:r>
          </m:sup>
        </m:sSup>
      </m:oMath>
      <w:r w:rsidRPr="00A658A5">
        <w:rPr>
          <w:rFonts w:eastAsiaTheme="minorEastAsia"/>
        </w:rPr>
        <w:t xml:space="preserve">, where </w:t>
      </w:r>
      <m:oMath>
        <m:sSub>
          <m:sSubPr>
            <m:ctrlPr>
              <w:rPr>
                <w:rFonts w:ascii="Cambria Math" w:hAnsi="Cambria Math"/>
                <w:i/>
              </w:rPr>
            </m:ctrlPr>
          </m:sSubPr>
          <m:e>
            <m:r>
              <w:rPr>
                <w:rFonts w:ascii="Cambria Math" w:eastAsiaTheme="minorEastAsia" w:hAnsi="Cambria Math"/>
              </w:rPr>
              <m:t>k</m:t>
            </m:r>
            <m:ctrlPr>
              <w:rPr>
                <w:rFonts w:ascii="Cambria Math" w:eastAsiaTheme="minorEastAsia" w:hAnsi="Cambria Math"/>
                <w:i/>
              </w:rPr>
            </m:ctrlPr>
          </m:e>
          <m:sub>
            <m:r>
              <w:rPr>
                <w:rFonts w:ascii="Cambria Math" w:hAnsi="Cambria Math"/>
              </w:rPr>
              <m:t>vb</m:t>
            </m:r>
          </m:sub>
        </m:sSub>
      </m:oMath>
      <w:r w:rsidRPr="00A658A5">
        <w:rPr>
          <w:rFonts w:eastAsiaTheme="minorEastAsia"/>
        </w:rPr>
        <w:t xml:space="preserve"> is the Brody growth coefficient of the VBGE, </w:t>
      </w:r>
      <m:oMath>
        <m:r>
          <w:rPr>
            <w:rFonts w:ascii="Cambria Math" w:eastAsiaTheme="minorEastAsia" w:hAnsi="Cambria Math"/>
          </w:rPr>
          <m:t>α</m:t>
        </m:r>
      </m:oMath>
      <w:r w:rsidRPr="00A658A5">
        <w:rPr>
          <w:rFonts w:eastAsiaTheme="minorEastAsia"/>
        </w:rPr>
        <w:t xml:space="preserve"> is the assimilation efficiency,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oMath>
      <w:r w:rsidRPr="00A658A5">
        <w:rPr>
          <w:rFonts w:eastAsiaTheme="minorEastAsia"/>
        </w:rPr>
        <w:t xml:space="preserve"> is the initial feeding level of small individuals and </w:t>
      </w:r>
      <m:oMath>
        <m:r>
          <w:rPr>
            <w:rFonts w:ascii="Cambria Math" w:eastAsiaTheme="minorEastAsia" w:hAnsi="Cambria Math"/>
          </w:rPr>
          <m:t>W</m:t>
        </m:r>
      </m:oMath>
      <w:r w:rsidRPr="00A658A5">
        <w:t xml:space="preserve"> is asymptotic mass (</w:t>
      </w:r>
      <w:r w:rsidR="00146A77">
        <w:t xml:space="preserve">see </w:t>
      </w:r>
      <w:r w:rsidRPr="00A658A5">
        <w:t xml:space="preserve">main text) </w:t>
      </w:r>
      <w:r w:rsidRPr="00A658A5">
        <w:fldChar w:fldCharType="begin"/>
      </w:r>
      <w:r w:rsidR="002E5D14">
        <w:instrText xml:space="preserve"> ADDIN ZOTERO_ITEM CSL_CITATION {"citationID":"gltYYyzY","properties":{"formattedCitation":"(Andersen {\\i{}et al.} 2009; Scott {\\i{}et al.} 2019)","plainCitation":"(Andersen et al. 2009; Scott et al. 2019)","noteIndex":0},"citationItems":[{"id":66,"uris":["http://zotero.org/users/6116610/items/3PGRXT2H"],"itemData":{"id":66,"type":"article-journal","language":"en","page":"7","source":"Zotero","title":"How community ecology links natural mortality, growth, and production of ﬁsh populations","author":[{"family":"Andersen","given":"K H"},{"family":"Farnsworth","given":"K D"},{"family":"Pedersen","given":"M"},{"family":"Gislason","given":"H"},{"family":"Beyer","given":"J E"}],"issued":{"date-parts":[["2009"]]},"citation-key":"andersenHowCommunityEcology2009"}},{"id":"UPAMMKgU/CwCXDrnU","uris":["http://zotero.org/users/6116610/items/DJUXBZVN"],"itemData":{"id":857,"type":"book","genre":"R","title":"mizer: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(Andersen </w:t>
      </w:r>
      <w:r w:rsidRPr="00A658A5">
        <w:rPr>
          <w:i/>
          <w:iCs/>
          <w:lang w:val="en-GB"/>
        </w:rPr>
        <w:t>et al.</w:t>
      </w:r>
      <w:r w:rsidRPr="00A658A5">
        <w:rPr>
          <w:lang w:val="en-GB"/>
        </w:rPr>
        <w:t xml:space="preserve"> 2009; Scott </w:t>
      </w:r>
      <w:r w:rsidRPr="00A658A5">
        <w:rPr>
          <w:i/>
          <w:iCs/>
          <w:lang w:val="en-GB"/>
        </w:rPr>
        <w:t>et al.</w:t>
      </w:r>
      <w:r w:rsidRPr="00A658A5">
        <w:rPr>
          <w:lang w:val="en-GB"/>
        </w:rPr>
        <w:t xml:space="preserve"> 2019)</w:t>
      </w:r>
      <w:r w:rsidRPr="00A658A5">
        <w:fldChar w:fldCharType="end"/>
      </w:r>
      <w:r w:rsidRPr="00A658A5">
        <w:t xml:space="preserve"> (but see calibration protocol). When </w:t>
      </w:r>
      <m:oMath>
        <m:sSub>
          <m:sSubPr>
            <m:ctrlPr>
              <w:rPr>
                <w:rFonts w:ascii="Cambria Math" w:eastAsiaTheme="minorEastAsia" w:hAnsi="Cambria Math"/>
                <w:i/>
              </w:rPr>
            </m:ctrlPr>
          </m:sSubPr>
          <m:e>
            <m:r>
              <w:rPr>
                <w:rFonts w:ascii="Cambria Math" w:hAnsi="Cambria Math"/>
              </w:rPr>
              <m:t>h</m:t>
            </m:r>
            <m:ctrlPr>
              <w:rPr>
                <w:rFonts w:ascii="Cambria Math" w:hAnsi="Cambria Math"/>
                <w:i/>
              </w:rPr>
            </m:ctrlPr>
          </m:e>
          <m:sub>
            <m:r>
              <w:rPr>
                <w:rFonts w:ascii="Cambria Math" w:eastAsiaTheme="minorEastAsia" w:hAnsi="Cambria Math"/>
              </w:rPr>
              <m:t>i</m:t>
            </m:r>
          </m:sub>
        </m:sSub>
      </m:oMath>
      <w:r w:rsidRPr="00A658A5">
        <w:rPr>
          <w:rFonts w:eastAsiaTheme="minorEastAsia"/>
        </w:rPr>
        <w:t xml:space="preserve"> is known, the allometric constant in the search rate function, </w:t>
      </w:r>
      <m:oMath>
        <m:sSub>
          <m:sSubPr>
            <m:ctrlPr>
              <w:rPr>
                <w:rFonts w:ascii="Cambria Math" w:eastAsia="Calibri" w:hAnsi="Cambria Math"/>
                <w:i/>
              </w:rPr>
            </m:ctrlPr>
          </m:sSubPr>
          <m:e>
            <m:r>
              <w:rPr>
                <w:rFonts w:ascii="Cambria Math" w:eastAsia="Calibri" w:hAnsi="Cambria Math"/>
              </w:rPr>
              <m:t>γ</m:t>
            </m:r>
          </m:e>
          <m:sub>
            <m:r>
              <w:rPr>
                <w:rFonts w:ascii="Cambria Math" w:eastAsia="Calibri" w:hAnsi="Cambria Math"/>
              </w:rPr>
              <m:t>i</m:t>
            </m:r>
          </m:sub>
        </m:sSub>
      </m:oMath>
      <w:r w:rsidRPr="00A658A5">
        <w:rPr>
          <w:rFonts w:eastAsiaTheme="minorEastAsia"/>
        </w:rPr>
        <w:t>, can be calculated (</w:t>
      </w:r>
      <w:r w:rsidR="00146A77">
        <w:rPr>
          <w:rFonts w:eastAsiaTheme="minorEastAsia"/>
        </w:rPr>
        <w:t>see equation</w:t>
      </w:r>
      <w:r w:rsidR="00B70D6A">
        <w:rPr>
          <w:rFonts w:eastAsiaTheme="minorEastAsia"/>
        </w:rPr>
        <w:t xml:space="preserve"> 9</w:t>
      </w:r>
      <w:r w:rsidR="00146A77">
        <w:rPr>
          <w:rFonts w:eastAsiaTheme="minorEastAsia"/>
        </w:rPr>
        <w:t xml:space="preserve"> in </w:t>
      </w:r>
      <w:r w:rsidRPr="00A658A5">
        <w:rPr>
          <w:rFonts w:eastAsiaTheme="minorEastAsia"/>
        </w:rPr>
        <w:t xml:space="preserve">main text). The allometric constant of standard metabolism,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met,i</m:t>
            </m:r>
          </m:sub>
        </m:sSub>
      </m:oMath>
      <w:r w:rsidRPr="00A658A5">
        <w:rPr>
          <w:rFonts w:eastAsiaTheme="minorEastAsia"/>
        </w:rPr>
        <w:t xml:space="preserve"> is by default </w:t>
      </w:r>
      <m:oMath>
        <m:r>
          <w:rPr>
            <w:rFonts w:ascii="Cambria Math" w:eastAsiaTheme="minorEastAsia" w:hAnsi="Cambria Math"/>
          </w:rPr>
          <m:t>0.12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Pr="00A658A5">
        <w:rPr>
          <w:rFonts w:eastAsiaTheme="minorEastAsia"/>
        </w:rPr>
        <w:t xml:space="preserve"> (but see calibration protocol).</w:t>
      </w:r>
    </w:p>
    <w:p w14:paraId="3850E1A8" w14:textId="6F6D49B7" w:rsidR="005C3B0B" w:rsidRPr="00A658A5" w:rsidRDefault="005C3B0B" w:rsidP="00760BDA">
      <w:pPr>
        <w:spacing w:line="360" w:lineRule="auto"/>
        <w:ind w:firstLine="284"/>
        <w:contextualSpacing/>
        <w:jc w:val="both"/>
      </w:pPr>
      <w:r w:rsidRPr="00A658A5">
        <w:t xml:space="preserve">We estimated VBGE parameters </w:t>
      </w:r>
      <m:oMath>
        <m:sSub>
          <m:sSubPr>
            <m:ctrlPr>
              <w:rPr>
                <w:rFonts w:ascii="Cambria Math" w:hAnsi="Cambria Math"/>
                <w:i/>
              </w:rPr>
            </m:ctrlPr>
          </m:sSubPr>
          <m:e>
            <m:r>
              <w:rPr>
                <w:rFonts w:ascii="Cambria Math" w:hAnsi="Cambria Math"/>
              </w:rPr>
              <m:t>k</m:t>
            </m:r>
          </m:e>
          <m:sub>
            <m:r>
              <w:rPr>
                <w:rFonts w:ascii="Cambria Math" w:hAnsi="Cambria Math"/>
              </w:rPr>
              <m:t>vb</m:t>
            </m:r>
          </m:sub>
        </m:sSub>
      </m:oMath>
      <w:r w:rsidRPr="00A658A5">
        <w:t xml:space="preserve"> and </w:t>
      </w:r>
      <m:oMath>
        <m:r>
          <w:rPr>
            <w:rFonts w:ascii="Cambria Math" w:hAnsi="Cambria Math"/>
          </w:rPr>
          <m:t>W</m:t>
        </m:r>
      </m:oMath>
      <w:r w:rsidRPr="00A658A5">
        <w:t xml:space="preserve"> for cod, herring and sprat in the Baltic Sea using data from the Baltic International Trawl Survey (BITS), maintained by ICES. They are publicly available at the DATRAS database (</w:t>
      </w:r>
      <w:hyperlink r:id="rId10" w:history="1">
        <w:r w:rsidRPr="00A658A5">
          <w:rPr>
            <w:rStyle w:val="Hyperlink"/>
            <w:color w:val="auto"/>
          </w:rPr>
          <w:t>http://www.ices.dk/marine-data/data-portals/Pages/DATRAS.aspx</w:t>
        </w:r>
      </w:hyperlink>
      <w:r w:rsidRPr="00A658A5">
        <w:t>). We downloaded the full data for the years 1992-2002 (the calibration time period) on 2018.11.24, and applied further processing in R using the ‘</w:t>
      </w:r>
      <w:r w:rsidRPr="00A658A5">
        <w:rPr>
          <w:i/>
          <w:iCs/>
        </w:rPr>
        <w:t>tidyverse</w:t>
      </w:r>
      <w:r w:rsidRPr="00A658A5">
        <w:t xml:space="preserve">’ packages </w:t>
      </w:r>
      <w:r w:rsidRPr="00A658A5">
        <w:fldChar w:fldCharType="begin"/>
      </w:r>
      <w:r w:rsidR="002E5D14">
        <w:instrText xml:space="preserve"> ADDIN ZOTERO_ITEM CSL_CITATION {"citationID":"igFyY5fy","properties":{"formattedCitation":"(Wickham {\\i{}et al.} 2019)","plainCitation":"(Wickham et al. 2019)","noteIndex":0},"citationItems":[{"id":842,"uris":["http://zotero.org/users/6116610/items/VF9SB64E"],"itemData":{"id":842,"type":"article-journal","DOI":"https://doi.org/10.21105/joss.01686","journalAbbreviation":"Journal of Open Source Software","page":"1686","title":"Welcome to the tidyverse","author":[{"family":"Wickham","given":"Hadley"},{"family":"Averick","given":"Mara"},{"family":"Bryan","given":"Jennifer"},{"family":"Chang","given":"Winston"},{"family":"D'Agostino McGowan","given":"Lucy"},{"family":"François","given":"Romain"},{"family":"Grolemund","given":"Garrett"},{"family":"Alex","given":"Hayes"}],"issued":{"date-parts":[["2019"]]},"citation-key":"wickhamWelcomeTidyverse2019"}}],"schema":"https://github.com/citation-style-language/schema/raw/master/csl-citation.json"} </w:instrText>
      </w:r>
      <w:r w:rsidRPr="00A658A5">
        <w:fldChar w:fldCharType="separate"/>
      </w:r>
      <w:r w:rsidR="004436D5" w:rsidRPr="004436D5">
        <w:rPr>
          <w:lang w:val="en-GB"/>
        </w:rPr>
        <w:t xml:space="preserve">(Wickham </w:t>
      </w:r>
      <w:r w:rsidR="004436D5" w:rsidRPr="004436D5">
        <w:rPr>
          <w:i/>
          <w:iCs/>
          <w:lang w:val="en-GB"/>
        </w:rPr>
        <w:t>et al.</w:t>
      </w:r>
      <w:r w:rsidR="004436D5" w:rsidRPr="004436D5">
        <w:rPr>
          <w:lang w:val="en-GB"/>
        </w:rPr>
        <w:t xml:space="preserve"> 2019)</w:t>
      </w:r>
      <w:r w:rsidRPr="00A658A5">
        <w:fldChar w:fldCharType="end"/>
      </w:r>
      <w:r w:rsidRPr="00A658A5">
        <w:t xml:space="preserve">. We followed the approach in Ogle </w:t>
      </w:r>
      <w:r w:rsidRPr="00A658A5">
        <w:fldChar w:fldCharType="begin"/>
      </w:r>
      <w:r w:rsidR="002E5D14">
        <w:instrText xml:space="preserve"> ADDIN ZOTERO_ITEM CSL_CITATION {"citationID":"2zVkbbXw","properties":{"formattedCitation":"(2013)","plainCitation":"(2013)","noteIndex":0},"citationItems":[{"id":900,"uris":["http://zotero.org/users/6116610/items/5EHF9UUE"],"itemData":{"id":900,"type":"article-journal","language":"en","source":"Zotero","title":"fishR Vignette - Von Bertalanffy Growth Models","author":[{"family":"Ogle","given":"D.H."}],"issued":{"date-parts":[["2013"]]},"citation-key":"ogleFishRVignetteBertalanffy2013"},"suppress-author":true}],"schema":"https://github.com/citation-style-language/schema/raw/master/csl-citation.json"} </w:instrText>
      </w:r>
      <w:r w:rsidRPr="00A658A5">
        <w:fldChar w:fldCharType="separate"/>
      </w:r>
      <w:r w:rsidRPr="00A658A5">
        <w:t>(2013)</w:t>
      </w:r>
      <w:r w:rsidRPr="00A658A5">
        <w:fldChar w:fldCharType="end"/>
      </w:r>
      <w:r w:rsidRPr="00A658A5">
        <w:t xml:space="preserve"> and fit the VBGE using the form </w:t>
      </w:r>
      <m:oMath>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vb</m:t>
                </m:r>
              </m:sub>
            </m:sSub>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0</m:t>
                    </m:r>
                  </m:sub>
                </m:sSub>
              </m:e>
            </m:d>
          </m:sup>
        </m:sSup>
        <m:r>
          <w:rPr>
            <w:rFonts w:ascii="Cambria Math" w:hAnsi="Cambria Math"/>
          </w:rPr>
          <m:t>)</m:t>
        </m:r>
      </m:oMath>
      <w:r w:rsidRPr="00A658A5">
        <w:rPr>
          <w:rFonts w:eastAsiaTheme="minorEastAsia"/>
        </w:rPr>
        <w:t xml:space="preserve"> </w:t>
      </w:r>
      <w:r w:rsidRPr="00A658A5">
        <w:t xml:space="preserve">when estimating parameters. Here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rsidRPr="00A658A5">
        <w:rPr>
          <w:rFonts w:eastAsiaTheme="minorEastAsia"/>
        </w:rPr>
        <w:t xml:space="preserve"> </w:t>
      </w:r>
      <w:r w:rsidRPr="00A658A5">
        <w:t xml:space="preserve">is the expected length at age </w:t>
      </w:r>
      <m:oMath>
        <m:r>
          <w:rPr>
            <w:rFonts w:ascii="Cambria Math" w:hAnsi="Cambria Math"/>
          </w:rPr>
          <m:t>a</m:t>
        </m:r>
      </m:oMath>
      <w:r w:rsidRPr="00A658A5">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Pr="00A658A5">
        <w:t xml:space="preserve"> is the average asymptotic length, </w:t>
      </w:r>
      <m:oMath>
        <m:sSub>
          <m:sSubPr>
            <m:ctrlPr>
              <w:rPr>
                <w:rFonts w:ascii="Cambria Math" w:hAnsi="Cambria Math"/>
                <w:i/>
              </w:rPr>
            </m:ctrlPr>
          </m:sSubPr>
          <m:e>
            <m:r>
              <w:rPr>
                <w:rFonts w:ascii="Cambria Math" w:hAnsi="Cambria Math"/>
              </w:rPr>
              <m:t>k</m:t>
            </m:r>
          </m:e>
          <m:sub>
            <m:r>
              <w:rPr>
                <w:rFonts w:ascii="Cambria Math" w:hAnsi="Cambria Math"/>
              </w:rPr>
              <m:t>vb</m:t>
            </m:r>
          </m:sub>
        </m:sSub>
      </m:oMath>
      <w:r w:rsidRPr="00A658A5">
        <w:t xml:space="preserve"> is the Brody growth rate coefficient and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A658A5">
        <w:rPr>
          <w:rFonts w:eastAsiaTheme="minorEastAsia"/>
        </w:rPr>
        <w:t xml:space="preserve"> </w:t>
      </w:r>
      <w:r w:rsidRPr="00A658A5">
        <w:t>is a modeling artifact that represent</w:t>
      </w:r>
      <w:r w:rsidR="00291F93">
        <w:t>s</w:t>
      </w:r>
      <w:r w:rsidRPr="00A658A5">
        <w:t xml:space="preserve"> the time or age when the average length </w:t>
      </w:r>
      <w:r w:rsidRPr="00A658A5">
        <w:lastRenderedPageBreak/>
        <w:t>would have been zero. Parameters were estimated using non-linear least squares regression (‘</w:t>
      </w:r>
      <w:r w:rsidRPr="00A658A5">
        <w:rPr>
          <w:i/>
          <w:iCs/>
        </w:rPr>
        <w:t>nls</w:t>
      </w:r>
      <w:r w:rsidRPr="00A658A5">
        <w:t>’ package in R), and the packages ‘</w:t>
      </w:r>
      <w:r w:rsidRPr="00A658A5">
        <w:rPr>
          <w:i/>
          <w:iCs/>
        </w:rPr>
        <w:t>FSA</w:t>
      </w:r>
      <w:r w:rsidRPr="00A658A5">
        <w:t xml:space="preserve">’ </w:t>
      </w:r>
      <w:r w:rsidRPr="00A658A5">
        <w:fldChar w:fldCharType="begin"/>
      </w:r>
      <w:r w:rsidR="002E5D14">
        <w:instrText xml:space="preserve"> ADDIN ZOTERO_ITEM CSL_CITATION {"citationID":"rUUeO70A","properties":{"formattedCitation":"(Ogle 2018)","plainCitation":"(Ogle 2018)","noteIndex":0},"citationItems":[{"id":899,"uris":["http://zotero.org/users/6116610/items/U2Z82ACP"],"itemData":{"id":899,"type":"book","title":"FSA: Fisheries Stock Analysis. R package","URL":"https://github.com/droglenc/FSA.","version":"version 0.8.21,","author":[{"family":"Ogle","given":"D.H."}],"issued":{"date-parts":[["2018"]]},"citation-key":"ogleFSAFisheriesStock2018"}}],"schema":"https://github.com/citation-style-language/schema/raw/master/csl-citation.json"} </w:instrText>
      </w:r>
      <w:r w:rsidRPr="00A658A5">
        <w:fldChar w:fldCharType="separate"/>
      </w:r>
      <w:r w:rsidRPr="00A658A5">
        <w:t>(Ogle 2018)</w:t>
      </w:r>
      <w:r w:rsidRPr="00A658A5">
        <w:fldChar w:fldCharType="end"/>
      </w:r>
      <w:r w:rsidRPr="00A658A5">
        <w:t xml:space="preserve"> and ‘</w:t>
      </w:r>
      <w:r w:rsidRPr="00A658A5">
        <w:rPr>
          <w:i/>
          <w:iCs/>
        </w:rPr>
        <w:t>FSAdata</w:t>
      </w:r>
      <w:r w:rsidRPr="00A658A5">
        <w:t xml:space="preserve">’ </w:t>
      </w:r>
      <w:r w:rsidRPr="00A658A5">
        <w:fldChar w:fldCharType="begin"/>
      </w:r>
      <w:r w:rsidR="002E5D14">
        <w:instrText xml:space="preserve"> ADDIN ZOTERO_ITEM CSL_CITATION {"citationID":"JwkfITuF","properties":{"formattedCitation":"(Ogle 2017)","plainCitation":"(Ogle 2017)","noteIndex":0},"citationItems":[{"id":897,"uris":["http://zotero.org/users/6116610/items/4CLEI6SJ"],"itemData":{"id":897,"type":"book","title":"FSAdata: Fisheries Stock Analysis, Datasets","version":"0.3.6.","author":[{"family":"Ogle","given":"D.H."}],"issued":{"date-parts":[["2017"]]},"citation-key":"ogleFSAdataFisheriesStock2017"}}],"schema":"https://github.com/citation-style-language/schema/raw/master/csl-citation.json"} </w:instrText>
      </w:r>
      <w:r w:rsidRPr="00A658A5">
        <w:fldChar w:fldCharType="separate"/>
      </w:r>
      <w:r w:rsidRPr="00A658A5">
        <w:t>(Ogle 2017)</w:t>
      </w:r>
      <w:r w:rsidRPr="00A658A5">
        <w:fldChar w:fldCharType="end"/>
      </w:r>
      <w:r w:rsidRPr="00A658A5">
        <w:t xml:space="preserve">. We fit VBGE parameters using length-at-age data and convert between length and weight using the equation </w:t>
      </w:r>
      <m:oMath>
        <m:r>
          <w:rPr>
            <w:rFonts w:ascii="Cambria Math" w:hAnsi="Cambria Math"/>
          </w:rPr>
          <m:t>w=a</m:t>
        </m:r>
        <m:sSup>
          <m:sSupPr>
            <m:ctrlPr>
              <w:rPr>
                <w:rFonts w:ascii="Cambria Math" w:hAnsi="Cambria Math"/>
                <w:i/>
              </w:rPr>
            </m:ctrlPr>
          </m:sSupPr>
          <m:e>
            <m:r>
              <w:rPr>
                <w:rFonts w:ascii="Cambria Math" w:hAnsi="Cambria Math"/>
              </w:rPr>
              <m:t>L</m:t>
            </m:r>
          </m:e>
          <m:sup>
            <m:r>
              <w:rPr>
                <w:rFonts w:ascii="Cambria Math" w:hAnsi="Cambria Math"/>
              </w:rPr>
              <m:t>b</m:t>
            </m:r>
          </m:sup>
        </m:sSup>
      </m:oMath>
      <w:r w:rsidRPr="00A658A5">
        <w:rPr>
          <w:rFonts w:eastAsiaTheme="minorEastAsia"/>
        </w:rPr>
        <w:t xml:space="preserve">, where parameters </w:t>
      </w:r>
      <m:oMath>
        <m:r>
          <w:rPr>
            <w:rFonts w:ascii="Cambria Math" w:eastAsiaTheme="minorEastAsia" w:hAnsi="Cambria Math"/>
          </w:rPr>
          <m:t>a</m:t>
        </m:r>
      </m:oMath>
      <w:r w:rsidRPr="00A658A5">
        <w:rPr>
          <w:rFonts w:eastAsiaTheme="minorEastAsia"/>
        </w:rPr>
        <w:t xml:space="preserve"> and </w:t>
      </w:r>
      <m:oMath>
        <m:r>
          <w:rPr>
            <w:rFonts w:ascii="Cambria Math" w:eastAsiaTheme="minorEastAsia" w:hAnsi="Cambria Math"/>
          </w:rPr>
          <m:t>b</m:t>
        </m:r>
      </m:oMath>
      <w:r w:rsidRPr="00A658A5">
        <w:rPr>
          <w:rFonts w:eastAsiaTheme="minorEastAsia"/>
        </w:rPr>
        <w:t xml:space="preserve"> are estimated in this study from a subset of the BITS data where both weight and length information is available for the same individual. </w:t>
      </w:r>
      <w:r w:rsidRPr="00A658A5">
        <w:t>Length-at-matur</w:t>
      </w:r>
      <w:r w:rsidR="00D63359">
        <w:t>ation</w:t>
      </w:r>
      <w:r w:rsidRPr="00A658A5">
        <w:t xml:space="preserve"> was taken from the </w:t>
      </w:r>
      <w:r w:rsidR="008A0087" w:rsidRPr="00A658A5">
        <w:t>literature and</w:t>
      </w:r>
      <w:r w:rsidRPr="00A658A5">
        <w:t xml:space="preserve"> </w:t>
      </w:r>
      <w:r w:rsidR="00D63359">
        <w:t>was</w:t>
      </w:r>
      <w:r w:rsidR="00D63359" w:rsidRPr="00A658A5">
        <w:t xml:space="preserve"> </w:t>
      </w:r>
      <w:r w:rsidRPr="00A658A5">
        <w:t>converted to weight-at-matur</w:t>
      </w:r>
      <w:r w:rsidR="00D63359">
        <w:t>ation</w:t>
      </w:r>
      <w:r w:rsidRPr="00A658A5">
        <w:t xml:space="preserve"> using length-weight relationships estimated in this study from BITS (Table S1). All models were fitted using R </w:t>
      </w:r>
      <w:r w:rsidRPr="00A658A5">
        <w:fldChar w:fldCharType="begin"/>
      </w:r>
      <w:r w:rsidR="002E5D14">
        <w:instrText xml:space="preserve"> ADDIN ZOTERO_ITEM CSL_CITATION {"citationID":"YNUj6Rh2","properties":{"formattedCitation":"(R Core Team 2020)","plainCitation":"(R Core Team 2020)","noteIndex":0},"citationItems":[{"id":620,"uris":["http://zotero.org/users/6116610/items/6PCYIS59"],"itemData":{"id":620,"type":"book","event-place":"Vienna,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Team","given":""}],"issued":{"date-parts":[["2020",6,22]]},"citation-key":"rcoreteamLanguageEnvironmentStatistical2020"}}],"schema":"https://github.com/citation-style-language/schema/raw/master/csl-citation.json"} </w:instrText>
      </w:r>
      <w:r w:rsidRPr="00A658A5">
        <w:fldChar w:fldCharType="separate"/>
      </w:r>
      <w:r w:rsidR="004436D5">
        <w:t>(R Core Team 2020)</w:t>
      </w:r>
      <w:r w:rsidRPr="00A658A5">
        <w:fldChar w:fldCharType="end"/>
      </w:r>
      <w:r w:rsidRPr="00A658A5">
        <w:t xml:space="preserve">, and for all statistical models we verified </w:t>
      </w:r>
      <w:r w:rsidR="0017594D">
        <w:t xml:space="preserve">through visual inspection </w:t>
      </w:r>
      <w:r w:rsidRPr="00A658A5">
        <w:t xml:space="preserve">that assumptions about error homoscedasticity and normality were met. </w:t>
      </w:r>
    </w:p>
    <w:p w14:paraId="11EDBC9B" w14:textId="77777777" w:rsidR="005C3B0B" w:rsidRPr="00A658A5" w:rsidRDefault="005C3B0B" w:rsidP="00760BDA">
      <w:pPr>
        <w:spacing w:line="360" w:lineRule="auto"/>
        <w:ind w:firstLine="284"/>
        <w:contextualSpacing/>
        <w:jc w:val="both"/>
      </w:pPr>
    </w:p>
    <w:p w14:paraId="6869403A" w14:textId="0E7FAB96" w:rsidR="005C3B0B" w:rsidRDefault="005C3B0B" w:rsidP="00760BDA">
      <w:pPr>
        <w:spacing w:line="360" w:lineRule="auto"/>
        <w:ind w:firstLine="284"/>
        <w:contextualSpacing/>
        <w:jc w:val="both"/>
      </w:pPr>
    </w:p>
    <w:p w14:paraId="52E64C5E" w14:textId="77777777" w:rsidR="00BB6D7C" w:rsidRPr="00A658A5" w:rsidRDefault="00BB6D7C" w:rsidP="00760BDA">
      <w:pPr>
        <w:spacing w:line="360" w:lineRule="auto"/>
        <w:ind w:firstLine="284"/>
        <w:contextualSpacing/>
        <w:jc w:val="both"/>
      </w:pPr>
    </w:p>
    <w:p w14:paraId="28D1DA92" w14:textId="38E196EF" w:rsidR="005C3B0B" w:rsidRPr="00A658A5" w:rsidRDefault="005C3B0B" w:rsidP="00760BDA">
      <w:pPr>
        <w:spacing w:line="360" w:lineRule="auto"/>
        <w:ind w:firstLine="284"/>
        <w:contextualSpacing/>
        <w:jc w:val="both"/>
      </w:pPr>
    </w:p>
    <w:p w14:paraId="15BAE34A" w14:textId="384AB5C3" w:rsidR="005C3B0B" w:rsidRPr="00A658A5" w:rsidRDefault="00DC0AF7" w:rsidP="00760BDA">
      <w:pPr>
        <w:spacing w:line="360" w:lineRule="auto"/>
        <w:ind w:firstLine="284"/>
        <w:contextualSpacing/>
        <w:jc w:val="both"/>
      </w:pPr>
      <w:r>
        <w:rPr>
          <w:noProof/>
          <w:lang w:val="sv-SE" w:eastAsia="sv-SE"/>
        </w:rPr>
        <w:drawing>
          <wp:inline distT="0" distB="0" distL="0" distR="0" wp14:anchorId="0BE9E304" wp14:editId="6D7F05DC">
            <wp:extent cx="5730874" cy="4227226"/>
            <wp:effectExtent l="0" t="0" r="0" b="1905"/>
            <wp:docPr id="13" name="Picture 1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pic:nvPicPr>
                  <pic:blipFill rotWithShape="1">
                    <a:blip r:embed="rId11" cstate="print">
                      <a:extLst>
                        <a:ext uri="{28A0092B-C50C-407E-A947-70E740481C1C}">
                          <a14:useLocalDpi xmlns:a14="http://schemas.microsoft.com/office/drawing/2010/main" val="0"/>
                        </a:ext>
                      </a:extLst>
                    </a:blip>
                    <a:srcRect t="13208" b="13030"/>
                    <a:stretch/>
                  </pic:blipFill>
                  <pic:spPr bwMode="auto">
                    <a:xfrm>
                      <a:off x="0" y="0"/>
                      <a:ext cx="5731510" cy="4227695"/>
                    </a:xfrm>
                    <a:prstGeom prst="rect">
                      <a:avLst/>
                    </a:prstGeom>
                    <a:ln>
                      <a:noFill/>
                    </a:ln>
                    <a:extLst>
                      <a:ext uri="{53640926-AAD7-44D8-BBD7-CCE9431645EC}">
                        <a14:shadowObscured xmlns:a14="http://schemas.microsoft.com/office/drawing/2010/main"/>
                      </a:ext>
                    </a:extLst>
                  </pic:spPr>
                </pic:pic>
              </a:graphicData>
            </a:graphic>
          </wp:inline>
        </w:drawing>
      </w:r>
    </w:p>
    <w:p w14:paraId="3DAE55F7" w14:textId="187F37BE" w:rsidR="005C3B0B" w:rsidRPr="00A658A5" w:rsidRDefault="005C3B0B" w:rsidP="00760BDA">
      <w:pPr>
        <w:spacing w:line="360" w:lineRule="auto"/>
        <w:contextualSpacing/>
        <w:jc w:val="both"/>
        <w:rPr>
          <w:rFonts w:eastAsiaTheme="minorEastAsia"/>
          <w:i/>
          <w:iCs/>
        </w:rPr>
      </w:pPr>
      <w:r w:rsidRPr="008E7477">
        <w:rPr>
          <w:rFonts w:eastAsiaTheme="minorEastAsia"/>
          <w:i/>
          <w:iCs/>
        </w:rPr>
        <w:t xml:space="preserve">Figure S2. Map of the study area (ICES sub-divisions </w:t>
      </w:r>
      <w:r w:rsidRPr="008E7477">
        <w:rPr>
          <w:i/>
          <w:iCs/>
          <w:lang w:val="en-GB"/>
        </w:rPr>
        <w:t>25-29+32</w:t>
      </w:r>
      <w:r w:rsidRPr="008E7477">
        <w:rPr>
          <w:i/>
          <w:iCs/>
        </w:rPr>
        <w:t xml:space="preserve">). Point size is proportional to abundance per ICES rectangle during the calibration time period (1992-2002), using data from the </w:t>
      </w:r>
      <w:r w:rsidRPr="008E7477">
        <w:rPr>
          <w:rFonts w:eastAsiaTheme="minorEastAsia"/>
          <w:i/>
          <w:iCs/>
        </w:rPr>
        <w:t>Baltic International Trawl Survey (BITS) for cod, and the Baltic International Acoustic Survey (BIAS) for sprat and herring.</w:t>
      </w:r>
    </w:p>
    <w:p w14:paraId="0C248D56" w14:textId="45BA658A" w:rsidR="005C3B0B" w:rsidRPr="00A658A5" w:rsidRDefault="005C3B0B" w:rsidP="00760BDA">
      <w:pPr>
        <w:spacing w:line="360" w:lineRule="auto"/>
        <w:contextualSpacing/>
        <w:jc w:val="both"/>
        <w:rPr>
          <w:i/>
          <w:iCs/>
        </w:rPr>
      </w:pPr>
      <w:r w:rsidRPr="00A658A5">
        <w:rPr>
          <w:i/>
          <w:iCs/>
        </w:rPr>
        <w:lastRenderedPageBreak/>
        <w:t>Table S1</w:t>
      </w:r>
      <w:r w:rsidRPr="00A658A5">
        <w:rPr>
          <w:i/>
          <w:iCs/>
          <w:lang w:val="en-GB"/>
        </w:rPr>
        <w:t>.</w:t>
      </w:r>
      <w:r w:rsidRPr="00A658A5">
        <w:rPr>
          <w:i/>
          <w:iCs/>
        </w:rPr>
        <w:t xml:space="preserve"> Species-specific parameters used in model. Source: 1 = estimated in this study, 2 = </w:t>
      </w:r>
      <w:r w:rsidRPr="00A658A5">
        <w:rPr>
          <w:i/>
          <w:iCs/>
        </w:rPr>
        <w:fldChar w:fldCharType="begin"/>
      </w:r>
      <w:r w:rsidR="002E5D14">
        <w:rPr>
          <w:i/>
          <w:iCs/>
        </w:rPr>
        <w:instrText xml:space="preserve"> ADDIN ZOTERO_ITEM CSL_CITATION {"citationID":"Ka2iqkFz","properties":{"formattedCitation":"(Reum {\\i{}et al.} 2019)","plainCitation":"(Reum et al. 2019)","noteIndex":0},"citationItems":[{"id":"UPAMMKgU/QeJyn5wV","uris":["http://zotero.org/users/6116610/items/R5YI4ZVT"],"itemData":{"id":594,"type":"article-journal","title":"Species‐specific ontogenetic diet shifts attenuate trophic cascades and lengthen food chains in exploited ecosystems","container-title":"Oikos","page":"1051-1064","volume":"128","issue":"7","source":"Crossref","DOI":"10.1111/oik.05630","ISSN":"0030-1299, 1600-0706","language":"en","author":[{"family":"Reum","given":"Jonathan C. P."},{"family":"Blanchard","given":"Julia L."},{"family":"Holsman","given":"Kirstin K."},{"family":"Aydin","given":"Kerim"},{"family":"Punt","given":"André E."}],"issued":{"date-parts":[["2019",7]]}}}],"schema":"https://github.com/citation-style-language/schema/raw/master/csl-citation.json"} </w:instrText>
      </w:r>
      <w:r w:rsidRPr="00A658A5">
        <w:rPr>
          <w:i/>
          <w:iCs/>
        </w:rPr>
        <w:fldChar w:fldCharType="separate"/>
      </w:r>
      <w:r w:rsidRPr="00A658A5">
        <w:rPr>
          <w:i/>
          <w:iCs/>
          <w:lang w:val="en-GB"/>
        </w:rPr>
        <w:t>(Reum et al. 2019)</w:t>
      </w:r>
      <w:r w:rsidRPr="00A658A5">
        <w:rPr>
          <w:i/>
          <w:iCs/>
        </w:rPr>
        <w:fldChar w:fldCharType="end"/>
      </w:r>
      <w:r w:rsidRPr="00A658A5">
        <w:rPr>
          <w:i/>
          <w:iCs/>
        </w:rPr>
        <w:t xml:space="preserve">, 3 = </w:t>
      </w:r>
      <w:r w:rsidRPr="00A658A5">
        <w:rPr>
          <w:i/>
          <w:iCs/>
        </w:rPr>
        <w:fldChar w:fldCharType="begin"/>
      </w:r>
      <w:r w:rsidR="002E5D14">
        <w:rPr>
          <w:i/>
          <w:iCs/>
        </w:rPr>
        <w:instrText xml:space="preserve"> ADDIN ZOTERO_ITEM CSL_CITATION {"citationID":"zMDmP0dH","properties":{"formattedCitation":"(Hartvig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sidRPr="00A658A5">
        <w:rPr>
          <w:i/>
          <w:iCs/>
        </w:rPr>
        <w:fldChar w:fldCharType="separate"/>
      </w:r>
      <w:r w:rsidRPr="00A658A5">
        <w:rPr>
          <w:i/>
          <w:iCs/>
          <w:lang w:val="en-GB"/>
        </w:rPr>
        <w:t>(Hartvig et al. 2011)</w:t>
      </w:r>
      <w:r w:rsidRPr="00A658A5">
        <w:rPr>
          <w:i/>
          <w:iCs/>
        </w:rPr>
        <w:fldChar w:fldCharType="end"/>
      </w:r>
      <w:r w:rsidRPr="00A658A5">
        <w:rPr>
          <w:i/>
          <w:iCs/>
        </w:rPr>
        <w:t xml:space="preserve">, 4 = generalized values based on </w:t>
      </w:r>
      <w:r w:rsidRPr="00A658A5">
        <w:rPr>
          <w:i/>
          <w:iCs/>
        </w:rPr>
        <w:fldChar w:fldCharType="begin"/>
      </w:r>
      <w:r w:rsidR="002E5D14">
        <w:rPr>
          <w:i/>
          <w:iCs/>
        </w:rPr>
        <w:instrText xml:space="preserve"> ADDIN ZOTERO_ITEM CSL_CITATION {"citationID":"6xiZ6ZwY","properties":{"formattedCitation":"(Casini {\\i{}et al.} 2004)","plainCitation":"(Casini et al. 2004)","noteIndex":0},"citationItems":[{"id":852,"uris":["http://zotero.org/users/6116610/items/74L2X4AK"],"itemData":{"id":852,"type":"article-journal","container-title":"ICES Journal of Marine Science","DOI":"10.1016/j.icesjms.2003.12.011","ISSN":"10543139","issue":"8","language":"en","page":"1267-1277","source":"Crossref","title":"Feeding preferences of herring () and sprat () in the southern Baltic Sea","volume":"61","author":[{"family":"Casini","given":"M"},{"family":"Cardinale","given":"M"},{"family":"Arrhenius","given":"F"}],"issued":{"date-parts":[["2004",12]]},"citation-key":"casiniFeedingPreferencesHerring2004"}}],"schema":"https://github.com/citation-style-language/schema/raw/master/csl-citation.json"} </w:instrText>
      </w:r>
      <w:r w:rsidRPr="00A658A5">
        <w:rPr>
          <w:i/>
          <w:iCs/>
        </w:rPr>
        <w:fldChar w:fldCharType="separate"/>
      </w:r>
      <w:r w:rsidRPr="00A658A5">
        <w:rPr>
          <w:i/>
          <w:iCs/>
        </w:rPr>
        <w:t>(Casini et al. 2004)</w:t>
      </w:r>
      <w:r w:rsidRPr="00A658A5">
        <w:rPr>
          <w:i/>
          <w:iCs/>
        </w:rPr>
        <w:fldChar w:fldCharType="end"/>
      </w:r>
      <w:r w:rsidRPr="00A658A5">
        <w:rPr>
          <w:i/>
          <w:iCs/>
        </w:rPr>
        <w:t xml:space="preserve">, 5 = calculated internally. Parameters in bold are tuned in the calibration process, parenthesis show default values pre-calibration. </w:t>
      </w:r>
    </w:p>
    <w:tbl>
      <w:tblPr>
        <w:tblStyle w:val="GridTable1Light-Accent3"/>
        <w:tblW w:w="0" w:type="auto"/>
        <w:tblLook w:val="04A0" w:firstRow="1" w:lastRow="0" w:firstColumn="1" w:lastColumn="0" w:noHBand="0" w:noVBand="1"/>
      </w:tblPr>
      <w:tblGrid>
        <w:gridCol w:w="1166"/>
        <w:gridCol w:w="2718"/>
        <w:gridCol w:w="1370"/>
        <w:gridCol w:w="1048"/>
        <w:gridCol w:w="1022"/>
        <w:gridCol w:w="828"/>
        <w:gridCol w:w="864"/>
      </w:tblGrid>
      <w:tr w:rsidR="00052DE5" w:rsidRPr="00C027CA" w14:paraId="4C136A83"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4ED5C9" w14:textId="77777777" w:rsidR="005C3B0B" w:rsidRPr="00C027CA" w:rsidRDefault="005C3B0B" w:rsidP="00760BDA">
            <w:pPr>
              <w:spacing w:line="360" w:lineRule="auto"/>
              <w:contextualSpacing/>
              <w:jc w:val="both"/>
              <w:rPr>
                <w:b w:val="0"/>
                <w:sz w:val="22"/>
                <w:szCs w:val="22"/>
              </w:rPr>
            </w:pPr>
            <w:r w:rsidRPr="00C027CA">
              <w:rPr>
                <w:sz w:val="22"/>
                <w:szCs w:val="22"/>
              </w:rPr>
              <w:t>Symbol</w:t>
            </w:r>
          </w:p>
        </w:tc>
        <w:tc>
          <w:tcPr>
            <w:tcW w:w="0" w:type="auto"/>
          </w:tcPr>
          <w:p w14:paraId="786C6D09"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Description</w:t>
            </w:r>
          </w:p>
        </w:tc>
        <w:tc>
          <w:tcPr>
            <w:tcW w:w="0" w:type="auto"/>
          </w:tcPr>
          <w:p w14:paraId="729FFD8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Unit</w:t>
            </w:r>
          </w:p>
        </w:tc>
        <w:tc>
          <w:tcPr>
            <w:tcW w:w="0" w:type="auto"/>
          </w:tcPr>
          <w:p w14:paraId="7ECF4A8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Cod</w:t>
            </w:r>
          </w:p>
        </w:tc>
        <w:tc>
          <w:tcPr>
            <w:tcW w:w="0" w:type="auto"/>
          </w:tcPr>
          <w:p w14:paraId="716C5AA4"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Herring</w:t>
            </w:r>
          </w:p>
        </w:tc>
        <w:tc>
          <w:tcPr>
            <w:tcW w:w="0" w:type="auto"/>
          </w:tcPr>
          <w:p w14:paraId="64DE27C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Sprat</w:t>
            </w:r>
          </w:p>
        </w:tc>
        <w:tc>
          <w:tcPr>
            <w:tcW w:w="0" w:type="auto"/>
          </w:tcPr>
          <w:p w14:paraId="39AA0F22"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Source</w:t>
            </w:r>
          </w:p>
        </w:tc>
      </w:tr>
      <w:tr w:rsidR="00052DE5" w:rsidRPr="00C027CA" w14:paraId="090C534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1FE9F14B" w14:textId="6E79AD31" w:rsidR="005C3B0B" w:rsidRPr="00C027CA" w:rsidRDefault="00B13CF2"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w</m:t>
                    </m:r>
                  </m:e>
                  <m:sub>
                    <m:r>
                      <m:rPr>
                        <m:sty m:val="bi"/>
                      </m:rPr>
                      <w:rPr>
                        <w:rFonts w:ascii="Cambria Math" w:hAnsi="Cambria Math" w:cs="Times New Roman"/>
                        <w:color w:val="auto"/>
                        <w:sz w:val="22"/>
                        <w:szCs w:val="22"/>
                      </w:rPr>
                      <m:t>mat</m:t>
                    </m:r>
                  </m:sub>
                </m:sSub>
              </m:oMath>
            </m:oMathPara>
          </w:p>
        </w:tc>
        <w:tc>
          <w:tcPr>
            <w:tcW w:w="0" w:type="auto"/>
          </w:tcPr>
          <w:p w14:paraId="6CDA8B9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Maturation size*</w:t>
            </w:r>
          </w:p>
        </w:tc>
        <w:tc>
          <w:tcPr>
            <w:tcW w:w="0" w:type="auto"/>
          </w:tcPr>
          <w:p w14:paraId="1729BBF5" w14:textId="12F8BB24" w:rsidR="005C3B0B" w:rsidRPr="00C027CA" w:rsidRDefault="00D63359"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371C5DF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267</w:t>
            </w:r>
          </w:p>
        </w:tc>
        <w:tc>
          <w:tcPr>
            <w:tcW w:w="0" w:type="auto"/>
          </w:tcPr>
          <w:p w14:paraId="564E0D9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17</w:t>
            </w:r>
          </w:p>
        </w:tc>
        <w:tc>
          <w:tcPr>
            <w:tcW w:w="0" w:type="auto"/>
          </w:tcPr>
          <w:p w14:paraId="0B6C6EE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c>
          <w:tcPr>
            <w:tcW w:w="0" w:type="auto"/>
          </w:tcPr>
          <w:p w14:paraId="59E6DF2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93B1FB3"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8E2CE43" w14:textId="77777777" w:rsidR="005C3B0B" w:rsidRPr="00C027CA" w:rsidRDefault="005C3B0B"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r>
                  <m:rPr>
                    <m:sty m:val="bi"/>
                  </m:rPr>
                  <w:rPr>
                    <w:rFonts w:ascii="Cambria Math" w:hAnsi="Cambria Math" w:cs="Times New Roman"/>
                    <w:color w:val="auto"/>
                    <w:sz w:val="22"/>
                    <w:szCs w:val="22"/>
                  </w:rPr>
                  <m:t>W</m:t>
                </m:r>
              </m:oMath>
            </m:oMathPara>
          </w:p>
        </w:tc>
        <w:tc>
          <w:tcPr>
            <w:tcW w:w="0" w:type="auto"/>
          </w:tcPr>
          <w:p w14:paraId="700FBE8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 xml:space="preserve">Asymptotic weight </w:t>
            </w:r>
          </w:p>
        </w:tc>
        <w:tc>
          <w:tcPr>
            <w:tcW w:w="0" w:type="auto"/>
          </w:tcPr>
          <w:p w14:paraId="270D00E2" w14:textId="1CDC1026" w:rsidR="005C3B0B" w:rsidRPr="00C027CA" w:rsidRDefault="00D63359"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38E7AEA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44903</w:t>
            </w:r>
          </w:p>
        </w:tc>
        <w:tc>
          <w:tcPr>
            <w:tcW w:w="0" w:type="auto"/>
          </w:tcPr>
          <w:p w14:paraId="2B23FA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125</w:t>
            </w:r>
          </w:p>
        </w:tc>
        <w:tc>
          <w:tcPr>
            <w:tcW w:w="0" w:type="auto"/>
          </w:tcPr>
          <w:p w14:paraId="1E449BA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21</w:t>
            </w:r>
          </w:p>
        </w:tc>
        <w:tc>
          <w:tcPr>
            <w:tcW w:w="0" w:type="auto"/>
          </w:tcPr>
          <w:p w14:paraId="4914422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580E998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C3BD2B8" w14:textId="77777777" w:rsidR="005C3B0B" w:rsidRPr="00C027CA" w:rsidRDefault="00B13CF2"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bCs w:val="0"/>
                        <w:i/>
                        <w:iCs/>
                        <w:color w:val="auto"/>
                        <w:sz w:val="22"/>
                        <w:szCs w:val="22"/>
                      </w:rPr>
                    </m:ctrlPr>
                  </m:sSubPr>
                  <m:e>
                    <m:r>
                      <m:rPr>
                        <m:sty m:val="bi"/>
                      </m:rPr>
                      <w:rPr>
                        <w:rFonts w:ascii="Cambria Math" w:hAnsi="Cambria Math" w:cs="Times New Roman"/>
                        <w:color w:val="auto"/>
                        <w:sz w:val="22"/>
                        <w:szCs w:val="22"/>
                      </w:rPr>
                      <m:t>k</m:t>
                    </m:r>
                    <m:ctrlPr>
                      <w:rPr>
                        <w:rFonts w:ascii="Cambria Math" w:hAnsi="Cambria Math" w:cs="Times New Roman"/>
                        <w:b w:val="0"/>
                        <w:i/>
                        <w:iCs/>
                        <w:color w:val="auto"/>
                        <w:sz w:val="22"/>
                        <w:szCs w:val="22"/>
                      </w:rPr>
                    </m:ctrlPr>
                  </m:e>
                  <m:sub>
                    <m:r>
                      <m:rPr>
                        <m:sty m:val="bi"/>
                      </m:rPr>
                      <w:rPr>
                        <w:rFonts w:ascii="Cambria Math" w:hAnsi="Cambria Math" w:cs="Times New Roman"/>
                        <w:color w:val="auto"/>
                        <w:sz w:val="22"/>
                        <w:szCs w:val="22"/>
                      </w:rPr>
                      <m:t>vb</m:t>
                    </m:r>
                  </m:sub>
                </m:sSub>
              </m:oMath>
            </m:oMathPara>
          </w:p>
        </w:tc>
        <w:tc>
          <w:tcPr>
            <w:tcW w:w="0" w:type="auto"/>
          </w:tcPr>
          <w:p w14:paraId="7E0FBBA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Brody growth coefficient</w:t>
            </w:r>
          </w:p>
        </w:tc>
        <w:tc>
          <w:tcPr>
            <w:tcW w:w="0" w:type="auto"/>
          </w:tcPr>
          <w:p w14:paraId="3C9DE0B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eastAsiaTheme="minorEastAsia" w:hAnsi="Cambria Math"/>
                    <w:sz w:val="22"/>
                    <w:szCs w:val="22"/>
                  </w:rPr>
                  <m:t>y</m:t>
                </m:r>
                <m:sSup>
                  <m:sSupPr>
                    <m:ctrlPr>
                      <w:rPr>
                        <w:rFonts w:ascii="Cambria Math" w:eastAsiaTheme="minorEastAsia" w:hAnsi="Cambria Math"/>
                        <w:iCs/>
                        <w:sz w:val="22"/>
                        <w:szCs w:val="22"/>
                      </w:rPr>
                    </m:ctrlPr>
                  </m:sSupPr>
                  <m:e>
                    <m:r>
                      <m:rPr>
                        <m:sty m:val="p"/>
                      </m:rPr>
                      <w:rPr>
                        <w:rFonts w:ascii="Cambria Math" w:eastAsiaTheme="minorEastAsia" w:hAnsi="Cambria Math"/>
                        <w:sz w:val="22"/>
                        <w:szCs w:val="22"/>
                      </w:rPr>
                      <m:t>r</m:t>
                    </m:r>
                  </m:e>
                  <m:sup>
                    <m:r>
                      <m:rPr>
                        <m:sty m:val="p"/>
                      </m:rPr>
                      <w:rPr>
                        <w:rFonts w:ascii="Cambria Math" w:eastAsiaTheme="minorEastAsia" w:hAnsi="Cambria Math"/>
                        <w:sz w:val="22"/>
                        <w:szCs w:val="22"/>
                      </w:rPr>
                      <m:t>-1</m:t>
                    </m:r>
                  </m:sup>
                </m:sSup>
              </m:oMath>
            </m:oMathPara>
          </w:p>
        </w:tc>
        <w:tc>
          <w:tcPr>
            <w:tcW w:w="0" w:type="auto"/>
          </w:tcPr>
          <w:p w14:paraId="0FC27C1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0.07</w:t>
            </w:r>
          </w:p>
        </w:tc>
        <w:tc>
          <w:tcPr>
            <w:tcW w:w="0" w:type="auto"/>
          </w:tcPr>
          <w:p w14:paraId="331E326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0.165</w:t>
            </w:r>
          </w:p>
        </w:tc>
        <w:tc>
          <w:tcPr>
            <w:tcW w:w="0" w:type="auto"/>
          </w:tcPr>
          <w:p w14:paraId="288062E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0.287</w:t>
            </w:r>
          </w:p>
        </w:tc>
        <w:tc>
          <w:tcPr>
            <w:tcW w:w="0" w:type="auto"/>
          </w:tcPr>
          <w:p w14:paraId="605FD8D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2306B9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324BFB0" w14:textId="77777777" w:rsidR="005C3B0B" w:rsidRPr="00C027CA" w:rsidRDefault="00B13CF2" w:rsidP="00760BDA">
            <w:pPr>
              <w:pStyle w:val="Default"/>
              <w:spacing w:line="360" w:lineRule="auto"/>
              <w:contextualSpacing/>
              <w:rPr>
                <w:rFonts w:ascii="Times New Roman" w:eastAsiaTheme="minorEastAsia" w:hAnsi="Times New Roman" w:cs="Times New Roman"/>
                <w:b w:val="0"/>
                <w:color w:val="auto"/>
                <w:sz w:val="22"/>
                <w:szCs w:val="22"/>
              </w:rPr>
            </w:pPr>
            <m:oMathPara>
              <m:oMathParaPr>
                <m:jc m:val="left"/>
              </m:oMathParaPr>
              <m:oMath>
                <m:sSub>
                  <m:sSubPr>
                    <m:ctrlPr>
                      <w:rPr>
                        <w:rFonts w:ascii="Cambria Math" w:eastAsia="Times New Roman" w:hAnsi="Cambria Math" w:cs="Times New Roman"/>
                        <w:b w:val="0"/>
                        <w:i/>
                        <w:color w:val="auto"/>
                        <w:sz w:val="22"/>
                        <w:szCs w:val="22"/>
                      </w:rPr>
                    </m:ctrlPr>
                  </m:sSubPr>
                  <m:e>
                    <m:r>
                      <m:rPr>
                        <m:sty m:val="bi"/>
                      </m:rPr>
                      <w:rPr>
                        <w:rFonts w:ascii="Cambria Math" w:eastAsia="Times New Roman" w:hAnsi="Cambria Math" w:cs="Times New Roman"/>
                        <w:color w:val="auto"/>
                        <w:sz w:val="22"/>
                        <w:szCs w:val="22"/>
                      </w:rPr>
                      <m:t>t</m:t>
                    </m:r>
                  </m:e>
                  <m:sub>
                    <m:r>
                      <m:rPr>
                        <m:sty m:val="bi"/>
                      </m:rPr>
                      <w:rPr>
                        <w:rFonts w:ascii="Cambria Math" w:eastAsia="Times New Roman" w:hAnsi="Cambria Math" w:cs="Times New Roman"/>
                        <w:color w:val="auto"/>
                        <w:sz w:val="22"/>
                        <w:szCs w:val="22"/>
                      </w:rPr>
                      <m:t>0</m:t>
                    </m:r>
                  </m:sub>
                </m:sSub>
              </m:oMath>
            </m:oMathPara>
          </w:p>
        </w:tc>
        <w:tc>
          <w:tcPr>
            <w:tcW w:w="0" w:type="auto"/>
          </w:tcPr>
          <w:p w14:paraId="73DA8F2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Age at length 0</w:t>
            </w:r>
          </w:p>
        </w:tc>
        <w:tc>
          <w:tcPr>
            <w:tcW w:w="0" w:type="auto"/>
          </w:tcPr>
          <w:p w14:paraId="22B2278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heme="minorEastAsia"/>
                <w:iCs/>
                <w:sz w:val="22"/>
                <w:szCs w:val="22"/>
              </w:rPr>
            </w:pPr>
            <w:r w:rsidRPr="00C027CA">
              <w:rPr>
                <w:rFonts w:eastAsiaTheme="minorEastAsia"/>
                <w:iCs/>
                <w:sz w:val="22"/>
                <w:szCs w:val="22"/>
              </w:rPr>
              <w:t>-</w:t>
            </w:r>
          </w:p>
        </w:tc>
        <w:tc>
          <w:tcPr>
            <w:tcW w:w="0" w:type="auto"/>
          </w:tcPr>
          <w:p w14:paraId="27A2480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-0.94</w:t>
            </w:r>
          </w:p>
        </w:tc>
        <w:tc>
          <w:tcPr>
            <w:tcW w:w="0" w:type="auto"/>
          </w:tcPr>
          <w:p w14:paraId="17B1BE9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-3.74</w:t>
            </w:r>
          </w:p>
        </w:tc>
        <w:tc>
          <w:tcPr>
            <w:tcW w:w="0" w:type="auto"/>
          </w:tcPr>
          <w:p w14:paraId="18E9410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-2.97</w:t>
            </w:r>
          </w:p>
        </w:tc>
        <w:tc>
          <w:tcPr>
            <w:tcW w:w="0" w:type="auto"/>
          </w:tcPr>
          <w:p w14:paraId="476FAC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38C482A0"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69B82BA" w14:textId="77777777" w:rsidR="005C3B0B" w:rsidRPr="00C027CA" w:rsidRDefault="005C3B0B"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r>
                  <m:rPr>
                    <m:sty m:val="bi"/>
                  </m:rPr>
                  <w:rPr>
                    <w:rFonts w:ascii="Cambria Math" w:hAnsi="Cambria Math" w:cs="Times New Roman"/>
                    <w:color w:val="auto"/>
                    <w:sz w:val="22"/>
                    <w:szCs w:val="22"/>
                  </w:rPr>
                  <m:t>β</m:t>
                </m:r>
              </m:oMath>
            </m:oMathPara>
          </w:p>
        </w:tc>
        <w:tc>
          <w:tcPr>
            <w:tcW w:w="0" w:type="auto"/>
          </w:tcPr>
          <w:p w14:paraId="06F2E66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Preferred predator prey mass ratio</w:t>
            </w:r>
          </w:p>
        </w:tc>
        <w:tc>
          <w:tcPr>
            <w:tcW w:w="0" w:type="auto"/>
          </w:tcPr>
          <w:p w14:paraId="2F7CAB52"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5CC5365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426</w:t>
            </w:r>
          </w:p>
        </w:tc>
        <w:tc>
          <w:tcPr>
            <w:tcW w:w="0" w:type="auto"/>
          </w:tcPr>
          <w:p w14:paraId="14C2815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1000</w:t>
            </w:r>
          </w:p>
        </w:tc>
        <w:tc>
          <w:tcPr>
            <w:tcW w:w="0" w:type="auto"/>
          </w:tcPr>
          <w:p w14:paraId="04E9E43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1000</w:t>
            </w:r>
          </w:p>
        </w:tc>
        <w:tc>
          <w:tcPr>
            <w:tcW w:w="0" w:type="auto"/>
          </w:tcPr>
          <w:p w14:paraId="1BE4EF7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052DE5" w:rsidRPr="00C027CA" w14:paraId="57824D8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5D40366" w14:textId="77777777" w:rsidR="005C3B0B" w:rsidRPr="00C027CA" w:rsidRDefault="005C3B0B"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r>
                  <m:rPr>
                    <m:sty m:val="bi"/>
                  </m:rPr>
                  <w:rPr>
                    <w:rFonts w:ascii="Cambria Math" w:hAnsi="Cambria Math" w:cs="Times New Roman"/>
                    <w:color w:val="auto"/>
                    <w:sz w:val="22"/>
                    <w:szCs w:val="22"/>
                  </w:rPr>
                  <m:t>σ</m:t>
                </m:r>
              </m:oMath>
            </m:oMathPara>
          </w:p>
        </w:tc>
        <w:tc>
          <w:tcPr>
            <w:tcW w:w="0" w:type="auto"/>
          </w:tcPr>
          <w:p w14:paraId="119340A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Width of prey size preference</w:t>
            </w:r>
          </w:p>
        </w:tc>
        <w:tc>
          <w:tcPr>
            <w:tcW w:w="0" w:type="auto"/>
          </w:tcPr>
          <w:p w14:paraId="59238C39"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43C74CD6" w14:textId="5FA5D106"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r w:rsidR="00133B77">
              <w:rPr>
                <w:sz w:val="22"/>
                <w:szCs w:val="22"/>
              </w:rPr>
              <w:t>7</w:t>
            </w:r>
            <w:r w:rsidR="00133B77" w:rsidRPr="00C027CA">
              <w:rPr>
                <w:sz w:val="22"/>
                <w:szCs w:val="22"/>
              </w:rPr>
              <w:t xml:space="preserve"> </w:t>
            </w:r>
          </w:p>
        </w:tc>
        <w:tc>
          <w:tcPr>
            <w:tcW w:w="0" w:type="auto"/>
          </w:tcPr>
          <w:p w14:paraId="4FDB77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1.3</w:t>
            </w:r>
          </w:p>
        </w:tc>
        <w:tc>
          <w:tcPr>
            <w:tcW w:w="0" w:type="auto"/>
          </w:tcPr>
          <w:p w14:paraId="317D6CD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1.3</w:t>
            </w:r>
          </w:p>
        </w:tc>
        <w:tc>
          <w:tcPr>
            <w:tcW w:w="0" w:type="auto"/>
          </w:tcPr>
          <w:p w14:paraId="33C63F9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052DE5" w:rsidRPr="00C027CA" w14:paraId="0895FD0B"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CE46345" w14:textId="77777777" w:rsidR="005C3B0B" w:rsidRPr="00C027CA" w:rsidRDefault="005C3B0B"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r>
                  <m:rPr>
                    <m:sty m:val="bi"/>
                  </m:rPr>
                  <w:rPr>
                    <w:rFonts w:ascii="Cambria Math" w:eastAsia="Times New Roman" w:hAnsi="Cambria Math" w:cs="Times New Roman"/>
                    <w:color w:val="auto"/>
                    <w:sz w:val="22"/>
                    <w:szCs w:val="22"/>
                  </w:rPr>
                  <m:t>h</m:t>
                </m:r>
              </m:oMath>
            </m:oMathPara>
          </w:p>
        </w:tc>
        <w:tc>
          <w:tcPr>
            <w:tcW w:w="0" w:type="auto"/>
          </w:tcPr>
          <w:p w14:paraId="20C12F4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max. food intake</w:t>
            </w:r>
          </w:p>
        </w:tc>
        <w:tc>
          <w:tcPr>
            <w:tcW w:w="0" w:type="auto"/>
          </w:tcPr>
          <w:p w14:paraId="2E3E7448" w14:textId="77777777" w:rsidR="005C3B0B" w:rsidRPr="00C027CA" w:rsidRDefault="00B13CF2"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m:rPr>
                        <m:sty m:val="p"/>
                      </m:rPr>
                      <w:rPr>
                        <w:rFonts w:ascii="Cambria Math" w:eastAsiaTheme="minorEastAsia" w:hAnsi="Cambria Math"/>
                        <w:sz w:val="22"/>
                        <w:szCs w:val="22"/>
                      </w:rPr>
                      <m:t>1-</m:t>
                    </m:r>
                    <m:r>
                      <w:rPr>
                        <w:rFonts w:ascii="Cambria Math" w:eastAsiaTheme="minorEastAsia" w:hAnsi="Cambria Math"/>
                        <w:sz w:val="22"/>
                        <w:szCs w:val="22"/>
                      </w:rPr>
                      <m:t>n</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2CFFB35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27 (20.7)</w:t>
            </w:r>
          </w:p>
        </w:tc>
        <w:tc>
          <w:tcPr>
            <w:tcW w:w="0" w:type="auto"/>
          </w:tcPr>
          <w:p w14:paraId="688EF70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8.9 (6.9)</w:t>
            </w:r>
          </w:p>
        </w:tc>
        <w:tc>
          <w:tcPr>
            <w:tcW w:w="0" w:type="auto"/>
          </w:tcPr>
          <w:p w14:paraId="4FA6AD4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8.6 (6.6)</w:t>
            </w:r>
          </w:p>
        </w:tc>
        <w:tc>
          <w:tcPr>
            <w:tcW w:w="0" w:type="auto"/>
          </w:tcPr>
          <w:p w14:paraId="4851E39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6BB006ED"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D193DE6" w14:textId="77777777" w:rsidR="005C3B0B" w:rsidRPr="00C027CA" w:rsidRDefault="005C3B0B"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r>
                  <m:rPr>
                    <m:sty m:val="bi"/>
                  </m:rPr>
                  <w:rPr>
                    <w:rFonts w:ascii="Cambria Math" w:eastAsia="Times New Roman" w:hAnsi="Cambria Math" w:cs="Times New Roman"/>
                    <w:color w:val="auto"/>
                    <w:sz w:val="22"/>
                    <w:szCs w:val="22"/>
                  </w:rPr>
                  <m:t>γ</m:t>
                </m:r>
              </m:oMath>
            </m:oMathPara>
          </w:p>
        </w:tc>
        <w:tc>
          <w:tcPr>
            <w:tcW w:w="0" w:type="auto"/>
          </w:tcPr>
          <w:p w14:paraId="4C68958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volumetric search rate</w:t>
            </w:r>
          </w:p>
        </w:tc>
        <w:tc>
          <w:tcPr>
            <w:tcW w:w="0" w:type="auto"/>
          </w:tcPr>
          <w:p w14:paraId="633CD79F" w14:textId="77777777" w:rsidR="005C3B0B" w:rsidRPr="00C027CA" w:rsidRDefault="00B13CF2"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w:rPr>
                        <w:rFonts w:ascii="Cambria Math" w:eastAsiaTheme="minorEastAsia" w:hAnsi="Cambria Math"/>
                        <w:sz w:val="22"/>
                        <w:szCs w:val="22"/>
                      </w:rPr>
                      <m:t>-q</m:t>
                    </m:r>
                  </m:sup>
                </m:sSup>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m</m:t>
                    </m:r>
                  </m:e>
                  <m:sup>
                    <m:r>
                      <m:rPr>
                        <m:sty m:val="p"/>
                      </m:rPr>
                      <w:rPr>
                        <w:rFonts w:ascii="Cambria Math" w:eastAsiaTheme="minorEastAsia" w:hAnsi="Cambria Math"/>
                        <w:sz w:val="22"/>
                        <w:szCs w:val="22"/>
                      </w:rPr>
                      <m:t>2</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3028D37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0.6 (0.38)</w:t>
            </w:r>
          </w:p>
        </w:tc>
        <w:tc>
          <w:tcPr>
            <w:tcW w:w="0" w:type="auto"/>
          </w:tcPr>
          <w:p w14:paraId="29455AD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0.18 (0.11)</w:t>
            </w:r>
          </w:p>
        </w:tc>
        <w:tc>
          <w:tcPr>
            <w:tcW w:w="0" w:type="auto"/>
          </w:tcPr>
          <w:p w14:paraId="64BBB9E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 xml:space="preserve">0.17 (0.1) </w:t>
            </w:r>
          </w:p>
        </w:tc>
        <w:tc>
          <w:tcPr>
            <w:tcW w:w="0" w:type="auto"/>
          </w:tcPr>
          <w:p w14:paraId="10D8E40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7D7F8E69"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B06A902" w14:textId="3A31305B" w:rsidR="005C3B0B" w:rsidRPr="00C027CA" w:rsidRDefault="00B13CF2"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sSub>
                  <m:sSubPr>
                    <m:ctrlPr>
                      <w:rPr>
                        <w:rFonts w:ascii="Cambria Math" w:eastAsia="Times New Roman" w:hAnsi="Cambria Math" w:cs="Times New Roman"/>
                        <w:i/>
                        <w:color w:val="auto"/>
                        <w:sz w:val="22"/>
                        <w:szCs w:val="22"/>
                      </w:rPr>
                    </m:ctrlPr>
                  </m:sSubPr>
                  <m:e>
                    <m:r>
                      <m:rPr>
                        <m:sty m:val="bi"/>
                      </m:rPr>
                      <w:rPr>
                        <w:rFonts w:ascii="Cambria Math" w:eastAsia="Times New Roman" w:hAnsi="Cambria Math" w:cs="Times New Roman"/>
                        <w:color w:val="auto"/>
                        <w:sz w:val="22"/>
                        <w:szCs w:val="22"/>
                      </w:rPr>
                      <m:t>k</m:t>
                    </m:r>
                  </m:e>
                  <m:sub>
                    <m:r>
                      <m:rPr>
                        <m:sty m:val="bi"/>
                      </m:rPr>
                      <w:rPr>
                        <w:rFonts w:ascii="Cambria Math" w:eastAsia="Times New Roman" w:hAnsi="Cambria Math" w:cs="Times New Roman"/>
                        <w:color w:val="auto"/>
                        <w:sz w:val="22"/>
                        <w:szCs w:val="22"/>
                      </w:rPr>
                      <m:t>met</m:t>
                    </m:r>
                  </m:sub>
                </m:sSub>
              </m:oMath>
            </m:oMathPara>
          </w:p>
        </w:tc>
        <w:tc>
          <w:tcPr>
            <w:tcW w:w="0" w:type="auto"/>
          </w:tcPr>
          <w:p w14:paraId="298E95C2" w14:textId="10D98DD0"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metabol</w:t>
            </w:r>
            <w:r w:rsidR="00506977">
              <w:rPr>
                <w:iCs/>
                <w:sz w:val="22"/>
                <w:szCs w:val="22"/>
              </w:rPr>
              <w:t>ic rate</w:t>
            </w:r>
            <w:r w:rsidR="00052DE5">
              <w:rPr>
                <w:iCs/>
                <w:sz w:val="22"/>
                <w:szCs w:val="22"/>
              </w:rPr>
              <w:t xml:space="preserve"> (note this term is assumed to represent all metabolic costs, </w:t>
            </w:r>
            <w:r w:rsidR="00B32C01">
              <w:rPr>
                <w:iCs/>
                <w:sz w:val="22"/>
                <w:szCs w:val="22"/>
              </w:rPr>
              <w:t>e.g.,</w:t>
            </w:r>
            <w:r w:rsidR="00052DE5">
              <w:rPr>
                <w:iCs/>
                <w:sz w:val="22"/>
                <w:szCs w:val="22"/>
              </w:rPr>
              <w:t xml:space="preserve"> standard and for activity) </w:t>
            </w:r>
          </w:p>
        </w:tc>
        <w:tc>
          <w:tcPr>
            <w:tcW w:w="0" w:type="auto"/>
          </w:tcPr>
          <w:p w14:paraId="5E13F9C2" w14:textId="77777777" w:rsidR="005C3B0B" w:rsidRPr="00C027CA" w:rsidRDefault="00B13CF2"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m:rPr>
                        <m:sty m:val="p"/>
                      </m:rPr>
                      <w:rPr>
                        <w:rFonts w:ascii="Cambria Math" w:eastAsiaTheme="minorEastAsia" w:hAnsi="Cambria Math"/>
                        <w:sz w:val="22"/>
                        <w:szCs w:val="22"/>
                      </w:rPr>
                      <m:t>1-</m:t>
                    </m:r>
                    <m:r>
                      <w:rPr>
                        <w:rFonts w:ascii="Cambria Math" w:eastAsiaTheme="minorEastAsia" w:hAnsi="Cambria Math"/>
                        <w:sz w:val="22"/>
                        <w:szCs w:val="22"/>
                      </w:rPr>
                      <m:t>p</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3F616FD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2.49</w:t>
            </w:r>
          </w:p>
        </w:tc>
        <w:tc>
          <w:tcPr>
            <w:tcW w:w="0" w:type="auto"/>
          </w:tcPr>
          <w:p w14:paraId="180CD90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0.83</w:t>
            </w:r>
          </w:p>
        </w:tc>
        <w:tc>
          <w:tcPr>
            <w:tcW w:w="0" w:type="auto"/>
          </w:tcPr>
          <w:p w14:paraId="3FEE01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0.22</w:t>
            </w:r>
          </w:p>
        </w:tc>
        <w:tc>
          <w:tcPr>
            <w:tcW w:w="0" w:type="auto"/>
          </w:tcPr>
          <w:p w14:paraId="28B3318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236088C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21873CD8" w14:textId="1FFC4EB2" w:rsidR="005C3B0B" w:rsidRPr="00C027CA" w:rsidRDefault="00011B57" w:rsidP="00760BDA">
            <w:pPr>
              <w:pStyle w:val="Default"/>
              <w:spacing w:line="360" w:lineRule="auto"/>
              <w:contextualSpacing/>
              <w:rPr>
                <w:rFonts w:ascii="Times New Roman" w:eastAsia="Times New Roman" w:hAnsi="Times New Roman" w:cs="Times New Roman"/>
                <w:color w:val="auto"/>
                <w:sz w:val="22"/>
                <w:szCs w:val="22"/>
              </w:rPr>
            </w:pPr>
            <m:oMathPara>
              <m:oMathParaPr>
                <m:jc m:val="left"/>
              </m:oMathParaPr>
              <m:oMath>
                <m:r>
                  <m:rPr>
                    <m:sty m:val="bi"/>
                  </m:rPr>
                  <w:rPr>
                    <w:rFonts w:ascii="Cambria Math" w:hAnsi="Cambria Math"/>
                  </w:rPr>
                  <m:t>ϵ,</m:t>
                </m:r>
                <m:r>
                  <m:rPr>
                    <m:sty m:val="bi"/>
                  </m:rPr>
                  <w:rPr>
                    <w:rFonts w:ascii="Cambria Math" w:eastAsia="Times New Roman" w:hAnsi="Cambria Math" w:cs="Times New Roman"/>
                    <w:color w:val="auto"/>
                    <w:sz w:val="22"/>
                    <w:szCs w:val="22"/>
                  </w:rPr>
                  <m:t>erepro</m:t>
                </m:r>
              </m:oMath>
            </m:oMathPara>
          </w:p>
        </w:tc>
        <w:tc>
          <w:tcPr>
            <w:tcW w:w="0" w:type="auto"/>
          </w:tcPr>
          <w:p w14:paraId="5C35F71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Reproductive efficiency</w:t>
            </w:r>
          </w:p>
        </w:tc>
        <w:tc>
          <w:tcPr>
            <w:tcW w:w="0" w:type="auto"/>
          </w:tcPr>
          <w:p w14:paraId="1D563323"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EF4752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5e-05 (0.01)</w:t>
            </w:r>
          </w:p>
        </w:tc>
        <w:tc>
          <w:tcPr>
            <w:tcW w:w="0" w:type="auto"/>
          </w:tcPr>
          <w:p w14:paraId="533EE57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8e-04 (0.01)</w:t>
            </w:r>
          </w:p>
        </w:tc>
        <w:tc>
          <w:tcPr>
            <w:tcW w:w="0" w:type="auto"/>
          </w:tcPr>
          <w:p w14:paraId="2EF58B4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1e-03 (0.01)</w:t>
            </w:r>
          </w:p>
        </w:tc>
        <w:tc>
          <w:tcPr>
            <w:tcW w:w="0" w:type="auto"/>
          </w:tcPr>
          <w:p w14:paraId="1CEBF69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14CFB545"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96C066B" w14:textId="77777777" w:rsidR="005C3B0B" w:rsidRPr="00C027CA" w:rsidRDefault="005C3B0B" w:rsidP="00760BDA">
            <w:pPr>
              <w:pStyle w:val="Default"/>
              <w:spacing w:line="360" w:lineRule="auto"/>
              <w:contextualSpacing/>
              <w:rPr>
                <w:rFonts w:ascii="Times New Roman" w:hAnsi="Times New Roman" w:cs="Times New Roman"/>
                <w:iCs/>
                <w:color w:val="auto"/>
                <w:sz w:val="22"/>
                <w:szCs w:val="22"/>
              </w:rPr>
            </w:pPr>
            <m:oMathPara>
              <m:oMathParaPr>
                <m:jc m:val="left"/>
              </m:oMathParaPr>
              <m:oMath>
                <m:r>
                  <m:rPr>
                    <m:sty m:val="bi"/>
                  </m:rPr>
                  <w:rPr>
                    <w:rFonts w:ascii="Cambria Math" w:eastAsiaTheme="minorEastAsia" w:hAnsi="Cambria Math" w:cs="Times New Roman"/>
                    <w:color w:val="auto"/>
                    <w:sz w:val="22"/>
                    <w:szCs w:val="22"/>
                  </w:rPr>
                  <m:t>a</m:t>
                </m:r>
              </m:oMath>
            </m:oMathPara>
          </w:p>
        </w:tc>
        <w:tc>
          <w:tcPr>
            <w:tcW w:w="0" w:type="auto"/>
          </w:tcPr>
          <w:p w14:paraId="503F25B0" w14:textId="77777777" w:rsidR="005C3B0B" w:rsidRPr="00C027CA" w:rsidRDefault="005C3B0B" w:rsidP="00760BDA">
            <w:pPr>
              <w:pStyle w:val="Default"/>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color w:val="auto"/>
                <w:sz w:val="22"/>
                <w:szCs w:val="22"/>
              </w:rPr>
            </w:pPr>
            <w:r w:rsidRPr="00C027CA">
              <w:rPr>
                <w:rFonts w:ascii="Times New Roman" w:hAnsi="Times New Roman" w:cs="Times New Roman"/>
                <w:iCs/>
                <w:color w:val="auto"/>
                <w:sz w:val="22"/>
                <w:szCs w:val="22"/>
              </w:rPr>
              <w:t>Constant in length-weight relationship</w:t>
            </w:r>
          </w:p>
        </w:tc>
        <w:tc>
          <w:tcPr>
            <w:tcW w:w="0" w:type="auto"/>
          </w:tcPr>
          <w:p w14:paraId="2195C394"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97CDB2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0.0078</w:t>
            </w:r>
          </w:p>
        </w:tc>
        <w:tc>
          <w:tcPr>
            <w:tcW w:w="0" w:type="auto"/>
          </w:tcPr>
          <w:p w14:paraId="15F077E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.0042</w:t>
            </w:r>
          </w:p>
        </w:tc>
        <w:tc>
          <w:tcPr>
            <w:tcW w:w="0" w:type="auto"/>
          </w:tcPr>
          <w:p w14:paraId="4535BC9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.0041</w:t>
            </w:r>
          </w:p>
        </w:tc>
        <w:tc>
          <w:tcPr>
            <w:tcW w:w="0" w:type="auto"/>
          </w:tcPr>
          <w:p w14:paraId="3991434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A2A971B"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F69D8CD" w14:textId="77777777" w:rsidR="005C3B0B" w:rsidRPr="00C027CA" w:rsidRDefault="005C3B0B"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r>
                  <m:rPr>
                    <m:sty m:val="bi"/>
                  </m:rPr>
                  <w:rPr>
                    <w:rFonts w:ascii="Cambria Math" w:hAnsi="Cambria Math" w:cs="Times New Roman"/>
                    <w:color w:val="auto"/>
                    <w:sz w:val="22"/>
                    <w:szCs w:val="22"/>
                  </w:rPr>
                  <m:t>b</m:t>
                </m:r>
              </m:oMath>
            </m:oMathPara>
          </w:p>
        </w:tc>
        <w:tc>
          <w:tcPr>
            <w:tcW w:w="0" w:type="auto"/>
          </w:tcPr>
          <w:p w14:paraId="1AAF2E48" w14:textId="77777777" w:rsidR="005C3B0B" w:rsidRPr="00C027CA" w:rsidRDefault="005C3B0B" w:rsidP="00760BDA">
            <w:pPr>
              <w:pStyle w:val="Default"/>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rPr>
            </w:pPr>
            <w:r w:rsidRPr="00C027CA">
              <w:rPr>
                <w:rFonts w:ascii="Times New Roman" w:hAnsi="Times New Roman" w:cs="Times New Roman"/>
                <w:iCs/>
                <w:color w:val="auto"/>
                <w:sz w:val="22"/>
                <w:szCs w:val="22"/>
              </w:rPr>
              <w:t>Exponent in length-weight relationship</w:t>
            </w:r>
          </w:p>
        </w:tc>
        <w:tc>
          <w:tcPr>
            <w:tcW w:w="0" w:type="auto"/>
          </w:tcPr>
          <w:p w14:paraId="4D8F32BB"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99A211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3.07</w:t>
            </w:r>
          </w:p>
        </w:tc>
        <w:tc>
          <w:tcPr>
            <w:tcW w:w="0" w:type="auto"/>
          </w:tcPr>
          <w:p w14:paraId="78F3BA6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3.14</w:t>
            </w:r>
          </w:p>
        </w:tc>
        <w:tc>
          <w:tcPr>
            <w:tcW w:w="0" w:type="auto"/>
          </w:tcPr>
          <w:p w14:paraId="39420B5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3.15</w:t>
            </w:r>
          </w:p>
        </w:tc>
        <w:tc>
          <w:tcPr>
            <w:tcW w:w="0" w:type="auto"/>
          </w:tcPr>
          <w:p w14:paraId="35B98B8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361CA114"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EF3B136" w14:textId="77777777" w:rsidR="005C3B0B" w:rsidRPr="00C027CA" w:rsidRDefault="00B13CF2" w:rsidP="00760BDA">
            <w:pPr>
              <w:pStyle w:val="Default"/>
              <w:spacing w:line="360" w:lineRule="auto"/>
              <w:contextualSpacing/>
              <w:rPr>
                <w:rFonts w:ascii="Times New Roman" w:eastAsia="Times New Roman" w:hAnsi="Times New Roman" w:cs="Times New Roman"/>
                <w:color w:val="auto"/>
                <w:sz w:val="22"/>
                <w:szCs w:val="22"/>
              </w:rPr>
            </w:pPr>
            <m:oMathPara>
              <m:oMathParaPr>
                <m:jc m:val="left"/>
              </m:oMathParaPr>
              <m:oMath>
                <m:sSub>
                  <m:sSubPr>
                    <m:ctrlPr>
                      <w:rPr>
                        <w:rFonts w:ascii="Cambria Math" w:eastAsia="Times New Roman" w:hAnsi="Cambria Math" w:cs="Times New Roman"/>
                        <w:bCs w:val="0"/>
                        <w:i/>
                        <w:color w:val="auto"/>
                        <w:sz w:val="22"/>
                        <w:szCs w:val="22"/>
                      </w:rPr>
                    </m:ctrlPr>
                  </m:sSubPr>
                  <m:e>
                    <m:r>
                      <m:rPr>
                        <m:sty m:val="bi"/>
                      </m:rPr>
                      <w:rPr>
                        <w:rFonts w:ascii="Cambria Math" w:eastAsia="Times New Roman" w:hAnsi="Cambria Math" w:cs="Times New Roman"/>
                        <w:color w:val="auto"/>
                        <w:sz w:val="22"/>
                        <w:szCs w:val="22"/>
                      </w:rPr>
                      <m:t>R</m:t>
                    </m:r>
                    <m:ctrlPr>
                      <w:rPr>
                        <w:rFonts w:ascii="Cambria Math" w:eastAsia="Times New Roman" w:hAnsi="Cambria Math" w:cs="Times New Roman"/>
                        <w:i/>
                        <w:color w:val="auto"/>
                        <w:sz w:val="22"/>
                        <w:szCs w:val="22"/>
                      </w:rPr>
                    </m:ctrlPr>
                  </m:e>
                  <m:sub>
                    <m:r>
                      <m:rPr>
                        <m:sty m:val="bi"/>
                      </m:rPr>
                      <w:rPr>
                        <w:rFonts w:ascii="Cambria Math" w:eastAsia="Times New Roman" w:hAnsi="Cambria Math" w:cs="Times New Roman"/>
                        <w:color w:val="auto"/>
                        <w:sz w:val="22"/>
                        <w:szCs w:val="22"/>
                      </w:rPr>
                      <m:t>max</m:t>
                    </m:r>
                  </m:sub>
                </m:sSub>
              </m:oMath>
            </m:oMathPara>
          </w:p>
        </w:tc>
        <w:tc>
          <w:tcPr>
            <w:tcW w:w="0" w:type="auto"/>
          </w:tcPr>
          <w:p w14:paraId="25E24C9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Maximum recruitment in the Beverton-Holt stock recruitment function</w:t>
            </w:r>
            <w:r w:rsidRPr="00C027CA">
              <w:rPr>
                <w:rFonts w:eastAsiaTheme="minorEastAsia"/>
                <w:sz w:val="22"/>
                <w:szCs w:val="22"/>
              </w:rPr>
              <w:t>**</w:t>
            </w:r>
          </w:p>
        </w:tc>
        <w:tc>
          <w:tcPr>
            <w:tcW w:w="0" w:type="auto"/>
          </w:tcPr>
          <w:p w14:paraId="75A227B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Para>
              <m:oMathParaPr>
                <m:jc m:val="left"/>
              </m:oMathParaPr>
              <m:oMath>
                <m:r>
                  <m:rPr>
                    <m:sty m:val="p"/>
                  </m:rPr>
                  <w:rPr>
                    <w:rFonts w:ascii="Cambria Math" w:eastAsiaTheme="minorEastAsia" w:hAnsi="Cambria Math"/>
                    <w:sz w:val="22"/>
                    <w:szCs w:val="22"/>
                  </w:rPr>
                  <m:t>g/</m:t>
                </m:r>
                <m:sSup>
                  <m:sSupPr>
                    <m:ctrlPr>
                      <w:rPr>
                        <w:rFonts w:ascii="Cambria Math" w:eastAsiaTheme="minorEastAsia" w:hAnsi="Cambria Math"/>
                        <w:sz w:val="22"/>
                        <w:szCs w:val="22"/>
                        <w:vertAlign w:val="superscript"/>
                      </w:rPr>
                    </m:ctrlPr>
                  </m:sSupPr>
                  <m:e>
                    <m:r>
                      <m:rPr>
                        <m:sty m:val="p"/>
                      </m:rPr>
                      <w:rPr>
                        <w:rFonts w:ascii="Cambria Math" w:eastAsiaTheme="minorEastAsia" w:hAnsi="Cambria Math"/>
                        <w:sz w:val="22"/>
                        <w:szCs w:val="22"/>
                      </w:rPr>
                      <m:t>m</m:t>
                    </m:r>
                    <m:ctrlPr>
                      <w:rPr>
                        <w:rFonts w:ascii="Cambria Math" w:eastAsiaTheme="minorEastAsia" w:hAnsi="Cambria Math"/>
                        <w:sz w:val="22"/>
                        <w:szCs w:val="22"/>
                      </w:rPr>
                    </m:ctrlPr>
                  </m:e>
                  <m:sup>
                    <m:r>
                      <m:rPr>
                        <m:sty m:val="p"/>
                      </m:rPr>
                      <w:rPr>
                        <w:rFonts w:ascii="Cambria Math" w:eastAsiaTheme="minorEastAsia" w:hAnsi="Cambria Math"/>
                        <w:sz w:val="22"/>
                        <w:szCs w:val="22"/>
                        <w:vertAlign w:val="superscript"/>
                      </w:rPr>
                      <m:t>2</m:t>
                    </m:r>
                  </m:sup>
                </m:sSup>
              </m:oMath>
            </m:oMathPara>
          </w:p>
        </w:tc>
        <w:tc>
          <w:tcPr>
            <w:tcW w:w="0" w:type="auto"/>
          </w:tcPr>
          <w:p w14:paraId="68DB251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0.003 (0.0826)</w:t>
            </w:r>
          </w:p>
        </w:tc>
        <w:tc>
          <w:tcPr>
            <w:tcW w:w="0" w:type="auto"/>
          </w:tcPr>
          <w:p w14:paraId="3A2A125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0.1 (11.1)</w:t>
            </w:r>
          </w:p>
        </w:tc>
        <w:tc>
          <w:tcPr>
            <w:tcW w:w="0" w:type="auto"/>
          </w:tcPr>
          <w:p w14:paraId="7B0F1FB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 xml:space="preserve">1.16 </w:t>
            </w:r>
          </w:p>
          <w:p w14:paraId="0E3FEC6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(7.3)</w:t>
            </w:r>
          </w:p>
        </w:tc>
        <w:tc>
          <w:tcPr>
            <w:tcW w:w="0" w:type="auto"/>
          </w:tcPr>
          <w:p w14:paraId="455DAF5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w:t>
            </w:r>
          </w:p>
        </w:tc>
      </w:tr>
      <w:tr w:rsidR="00052DE5" w:rsidRPr="00C027CA" w14:paraId="1BFE351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35C5B81" w14:textId="77777777" w:rsidR="005C3B0B" w:rsidRPr="00C027CA" w:rsidRDefault="00B13CF2"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sSub>
                  <m:sSubPr>
                    <m:ctrlPr>
                      <w:rPr>
                        <w:rFonts w:ascii="Cambria Math" w:hAnsi="Cambria Math" w:cs="Times New Roman"/>
                        <w:b w:val="0"/>
                        <w:i/>
                        <w:color w:val="auto"/>
                        <w:sz w:val="22"/>
                        <w:szCs w:val="22"/>
                      </w:rPr>
                    </m:ctrlPr>
                  </m:sSubPr>
                  <m:e>
                    <m:r>
                      <m:rPr>
                        <m:sty m:val="bi"/>
                      </m:rPr>
                      <w:rPr>
                        <w:rFonts w:ascii="Cambria Math" w:hAnsi="Cambria Math" w:cs="Times New Roman"/>
                        <w:color w:val="auto"/>
                        <w:sz w:val="22"/>
                        <w:szCs w:val="22"/>
                      </w:rPr>
                      <m:t>θ</m:t>
                    </m:r>
                  </m:e>
                  <m:sub>
                    <m:r>
                      <m:rPr>
                        <m:sty m:val="bi"/>
                      </m:rPr>
                      <w:rPr>
                        <w:rFonts w:ascii="Cambria Math" w:hAnsi="Cambria Math" w:cs="Times New Roman"/>
                        <w:color w:val="auto"/>
                        <w:sz w:val="22"/>
                        <w:szCs w:val="22"/>
                      </w:rPr>
                      <m:t>i, ben</m:t>
                    </m:r>
                  </m:sub>
                </m:sSub>
              </m:oMath>
            </m:oMathPara>
          </w:p>
        </w:tc>
        <w:tc>
          <w:tcPr>
            <w:tcW w:w="0" w:type="auto"/>
          </w:tcPr>
          <w:p w14:paraId="092F122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Benthos availability</w:t>
            </w:r>
          </w:p>
        </w:tc>
        <w:tc>
          <w:tcPr>
            <w:tcW w:w="0" w:type="auto"/>
          </w:tcPr>
          <w:p w14:paraId="6DD8DF3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3F790B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3B780A4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0730514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w:t>
            </w:r>
          </w:p>
        </w:tc>
        <w:tc>
          <w:tcPr>
            <w:tcW w:w="0" w:type="auto"/>
          </w:tcPr>
          <w:p w14:paraId="63AA6C0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r>
      <w:tr w:rsidR="00052DE5" w:rsidRPr="00C027CA" w14:paraId="5C26C79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24754DA" w14:textId="77777777" w:rsidR="005C3B0B" w:rsidRPr="00C027CA" w:rsidRDefault="00B13CF2" w:rsidP="00760BDA">
            <w:pPr>
              <w:pStyle w:val="Default"/>
              <w:spacing w:line="360" w:lineRule="auto"/>
              <w:contextualSpacing/>
              <w:rPr>
                <w:rFonts w:ascii="Times New Roman" w:eastAsia="Times New Roman" w:hAnsi="Times New Roman" w:cs="Times New Roman"/>
                <w:b w:val="0"/>
                <w:color w:val="auto"/>
                <w:sz w:val="22"/>
                <w:szCs w:val="22"/>
              </w:rPr>
            </w:pPr>
            <m:oMathPara>
              <m:oMathParaPr>
                <m:jc m:val="left"/>
              </m:oMathParaPr>
              <m:oMath>
                <m:sSub>
                  <m:sSubPr>
                    <m:ctrlPr>
                      <w:rPr>
                        <w:rFonts w:ascii="Cambria Math" w:hAnsi="Cambria Math" w:cs="Times New Roman"/>
                        <w:b w:val="0"/>
                        <w:i/>
                        <w:color w:val="auto"/>
                        <w:sz w:val="22"/>
                        <w:szCs w:val="22"/>
                      </w:rPr>
                    </m:ctrlPr>
                  </m:sSubPr>
                  <m:e>
                    <m:r>
                      <m:rPr>
                        <m:sty m:val="bi"/>
                      </m:rPr>
                      <w:rPr>
                        <w:rFonts w:ascii="Cambria Math" w:hAnsi="Cambria Math" w:cs="Times New Roman"/>
                        <w:color w:val="auto"/>
                        <w:sz w:val="22"/>
                        <w:szCs w:val="22"/>
                      </w:rPr>
                      <m:t>θ</m:t>
                    </m:r>
                  </m:e>
                  <m:sub>
                    <m:r>
                      <m:rPr>
                        <m:sty m:val="bi"/>
                      </m:rPr>
                      <w:rPr>
                        <w:rFonts w:ascii="Cambria Math" w:hAnsi="Cambria Math" w:cs="Times New Roman"/>
                        <w:color w:val="auto"/>
                        <w:sz w:val="22"/>
                        <w:szCs w:val="22"/>
                      </w:rPr>
                      <m:t>i, pla</m:t>
                    </m:r>
                  </m:sub>
                </m:sSub>
              </m:oMath>
            </m:oMathPara>
          </w:p>
        </w:tc>
        <w:tc>
          <w:tcPr>
            <w:tcW w:w="0" w:type="auto"/>
          </w:tcPr>
          <w:p w14:paraId="058EEA1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Plankton availability</w:t>
            </w:r>
          </w:p>
        </w:tc>
        <w:tc>
          <w:tcPr>
            <w:tcW w:w="0" w:type="auto"/>
          </w:tcPr>
          <w:p w14:paraId="56B7455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4FEC8C1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40C729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3388F5E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c>
          <w:tcPr>
            <w:tcW w:w="0" w:type="auto"/>
          </w:tcPr>
          <w:p w14:paraId="284E3A7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r>
    </w:tbl>
    <w:p w14:paraId="56C4DC0D" w14:textId="0E090098" w:rsidR="005C3B0B" w:rsidRDefault="005C3B0B" w:rsidP="00760BDA">
      <w:pPr>
        <w:spacing w:line="360" w:lineRule="auto"/>
        <w:contextualSpacing/>
        <w:jc w:val="both"/>
        <w:rPr>
          <w:sz w:val="20"/>
          <w:szCs w:val="20"/>
          <w:lang w:val="en-GB"/>
        </w:rPr>
      </w:pPr>
      <w:r w:rsidRPr="00A658A5">
        <w:rPr>
          <w:sz w:val="20"/>
          <w:szCs w:val="20"/>
          <w:vertAlign w:val="superscript"/>
          <w:lang w:val="en-GB"/>
        </w:rPr>
        <w:t>*</w:t>
      </w:r>
      <w:r w:rsidRPr="00A658A5">
        <w:rPr>
          <w:sz w:val="20"/>
          <w:szCs w:val="20"/>
        </w:rPr>
        <w:t xml:space="preserve">Length at maturation for cod and sprat are taken from van Leeuwen </w:t>
      </w:r>
      <w:r w:rsidRPr="00A658A5">
        <w:rPr>
          <w:i/>
          <w:sz w:val="20"/>
          <w:szCs w:val="20"/>
        </w:rPr>
        <w:t>et al</w:t>
      </w:r>
      <w:r w:rsidRPr="00A658A5">
        <w:rPr>
          <w:sz w:val="20"/>
          <w:szCs w:val="20"/>
        </w:rPr>
        <w:t xml:space="preserve">. </w:t>
      </w:r>
      <w:r w:rsidRPr="00A658A5">
        <w:rPr>
          <w:sz w:val="20"/>
          <w:szCs w:val="20"/>
        </w:rPr>
        <w:fldChar w:fldCharType="begin"/>
      </w:r>
      <w:r w:rsidR="002E5D14">
        <w:rPr>
          <w:sz w:val="20"/>
          <w:szCs w:val="20"/>
        </w:rPr>
        <w:instrText xml:space="preserve"> ADDIN ZOTERO_ITEM CSL_CITATION {"citationID":"rAdUgF7O","properties":{"formattedCitation":"(2013)","plainCitation":"(2013)","noteIndex":0},"citationItems":[{"id":855,"uris":["http://zotero.org/users/6116610/items/AKPRM6AC"],"itemData":{"id":855,"type":"article-journal","abstract":"Catastrophic collapses of top predators have revealed trophic cascades and community structuring by top-down control. When populations fail to recover after a collapse, this may indicate alternative stable states in the system. Overfishing has caused several of the most compelling cases of these dynamics, and in particular Atlantic cod stocks exemplify such lack of recovery. Often, competition between prey species and juvenile predators is hypothesized to explain the lack of recovery of predator populations. The predator is then considered to compete with its prey for one resource when small and to subsequently shift to piscivory. Yet predator life history is often more complex than that, including multiple ontogenetic diet shifts. Here we show that no alternative stable states occur when predators in an intermediate life stage feed on an additional resource (exclusive to the predator) before switching to piscivory, because predation and competition between prey and predator do not simultaneously structure community dynamics. We find top-down control by the predator only when there is no feedback from predator foraging on the additional resource. Otherwise, the predator population dynamics are governed by a bottleneck in individual growth occurring in the intermediate life stage. Therefore, additional resources for predators may be beneficial or detrimental for predator population growth and strongly influence the potential for top-down community control.","container-title":"American Naturalist","DOI":"10.1086/670614","issue":"1","note":"PMID: 23778226","page":"53–66","title":"Predators with multiple ontogenetic niche shifts have limited potential for population growth and top-down control of their prey","volume":"182","author":[{"family":"Leeuwen","given":"A","non-dropping-particle":"van"},{"family":"Huss","given":"M"},{"family":"Gårdmark","given":"A"},{"family":"Casini","given":"M"},{"family":"Vitale","given":"F"},{"family":"Hjelm","given":"J"},{"family":"Persson","given":"L"},{"family":"Roos","given":"A. M","non-dropping-particle":"de"}],"issued":{"date-parts":[["2013"]]},"citation-key":"vanleeuwenPredatorsMultipleOntogenetic2013"},"suppress-author":true}],"schema":"https://github.com/citation-style-language/schema/raw/master/csl-citation.json"} </w:instrText>
      </w:r>
      <w:r w:rsidRPr="00A658A5">
        <w:rPr>
          <w:sz w:val="20"/>
          <w:szCs w:val="20"/>
        </w:rPr>
        <w:fldChar w:fldCharType="separate"/>
      </w:r>
      <w:r w:rsidRPr="00A658A5">
        <w:rPr>
          <w:sz w:val="20"/>
          <w:szCs w:val="20"/>
        </w:rPr>
        <w:t>(2013)</w:t>
      </w:r>
      <w:r w:rsidRPr="00A658A5">
        <w:rPr>
          <w:sz w:val="20"/>
          <w:szCs w:val="20"/>
        </w:rPr>
        <w:fldChar w:fldCharType="end"/>
      </w:r>
      <w:r w:rsidRPr="00A658A5">
        <w:rPr>
          <w:sz w:val="20"/>
          <w:szCs w:val="20"/>
        </w:rPr>
        <w:t xml:space="preserve"> (30 cm and 9 cm, respectively) and for herring we used Huss </w:t>
      </w:r>
      <w:r w:rsidRPr="00A658A5">
        <w:rPr>
          <w:i/>
          <w:sz w:val="20"/>
          <w:szCs w:val="20"/>
        </w:rPr>
        <w:t>et al</w:t>
      </w:r>
      <w:r w:rsidRPr="00A658A5">
        <w:rPr>
          <w:sz w:val="20"/>
          <w:szCs w:val="20"/>
        </w:rPr>
        <w:t xml:space="preserve">. </w:t>
      </w:r>
      <w:r w:rsidRPr="00A658A5">
        <w:rPr>
          <w:sz w:val="20"/>
          <w:szCs w:val="20"/>
        </w:rPr>
        <w:fldChar w:fldCharType="begin"/>
      </w:r>
      <w:r w:rsidR="002E5D14">
        <w:rPr>
          <w:sz w:val="20"/>
          <w:szCs w:val="20"/>
        </w:rPr>
        <w:instrText xml:space="preserve"> ADDIN ZOTERO_ITEM CSL_CITATION {"citationID":"jXI4xCOF","properties":{"formattedCitation":"(2012)","plainCitation":"(2012)","noteIndex":0},"citationItems":[{"id":615,"uris":["http://zotero.org/users/6116610/items/BE32WA5J"],"itemData":{"id":615,"type":"article-journal","container-title":"Ecology","issue":"4","page":"847–857","title":"Size- and food-dependent growth drives patterns of competitive dominance along productivity gradients","volume":"93","author":[{"family":"Huss","given":"M"},{"family":"Gårdmark","given":"A"},{"family":"Leeuwen","given":"A","non-dropping-particle":"van"},{"family":"Roos","given":"A. M","non-dropping-particle":"de"}],"issued":{"date-parts":[["2012"]]},"citation-key":"hussSizeFooddependentGrowth2012"},"suppress-author":true}],"schema":"https://github.com/citation-style-language/schema/raw/master/csl-citation.json"} </w:instrText>
      </w:r>
      <w:r w:rsidRPr="00A658A5">
        <w:rPr>
          <w:sz w:val="20"/>
          <w:szCs w:val="20"/>
        </w:rPr>
        <w:fldChar w:fldCharType="separate"/>
      </w:r>
      <w:r w:rsidRPr="00A658A5">
        <w:rPr>
          <w:sz w:val="20"/>
          <w:szCs w:val="20"/>
        </w:rPr>
        <w:t>(2012)</w:t>
      </w:r>
      <w:r w:rsidRPr="00A658A5">
        <w:rPr>
          <w:sz w:val="20"/>
          <w:szCs w:val="20"/>
        </w:rPr>
        <w:fldChar w:fldCharType="end"/>
      </w:r>
      <w:r w:rsidRPr="00A658A5">
        <w:rPr>
          <w:sz w:val="20"/>
          <w:szCs w:val="20"/>
        </w:rPr>
        <w:t xml:space="preserve"> (14 cm)</w:t>
      </w:r>
      <w:r w:rsidR="0008232B">
        <w:rPr>
          <w:sz w:val="20"/>
          <w:szCs w:val="20"/>
        </w:rPr>
        <w:t xml:space="preserve">, based on </w:t>
      </w:r>
      <w:r w:rsidR="0008232B">
        <w:rPr>
          <w:sz w:val="20"/>
          <w:szCs w:val="20"/>
        </w:rPr>
        <w:fldChar w:fldCharType="begin"/>
      </w:r>
      <w:r w:rsidR="002E5D14">
        <w:rPr>
          <w:sz w:val="20"/>
          <w:szCs w:val="20"/>
        </w:rPr>
        <w:instrText xml:space="preserve"> ADDIN ZOTERO_ITEM CSL_CITATION {"citationID":"mlTzBe8H","properties":{"formattedCitation":"(Vainikka {\\i{}et al.} 2009a, b)","plainCitation":"(Vainikka et al. 2009a, b)","noteIndex":0},"citationItems":[{"id":537,"uris":["http://zotero.org/users/6116610/items/JM2CKB87"],"itemData":{"id":537,"type":"article-journal","container-title":"ICES Journal of Marine Science: Journal du Conseil","issue":"2","page":"248–257","title":"Two-and three-dimensional maturation reaction norms for the eastern Baltic cod, Gadus morhua","volume":"66","author":[{"family":"Vainikka","given":"Anssi"},{"family":"G\\a ardmark","given":"Anna"},{"family":"Bland","given":"Barbara"},{"family":"Hjelm","given":"Joakim"}],"issued":{"date-parts":[["2009"]]},"citation-key":"vainikkaTwoandThreedimensionalMaturation2009"}},{"id":2780,"uris":["http://zotero.org/users/6116610/items/N8RHLWKW"],"itemData":{"id":2780,"type":"article-journal","abstract":"Understanding of spatial patterns in life-history traits can help fisheries management focus on biologically and functionally relevant stock units. In the present study, we examined life-history variation in growth, condition and maturation of the Baltic herring Clupea harengus membras among different areas of the Baltic Sea. As expected based on environmental gradients, herring grew faster in southern than in northern areas. The condition factor for young individuals was higher in the north, but higher for older individuals in the south. Probabilistic maturation reaction norms (PMRNs) based on age, length and condition indicated counter-gradient variation: young herring in the northern areas reached the size at which they had a 50% probability of maturing when they were comparatively smaller than the southern specimens. However, the north–south differences in PMRNs were reversed in older age groups. This indicated that maturation of herring in the north was more size dependent (zero PMRN slope) than it was for herring in the south, where maturation was predominantly determined by age (negative PMRN slope). The geographical differentiation in maturation schedules would potentially translated into divergent changes in recruitment in response to changes in density-dependent growth and, hence, also fishing patterns.","container-title":"Marine Ecology Progress Series","DOI":"10.3354/meps07970","ISSN":"0171-8630, 1616-1599","language":"en","page":"285-294","source":"www.int-res.com","title":"Spatial variation in growth, condition and maturation reaction norms of the Baltic herring Clupea harengus membras","volume":"383","author":[{"family":"Vainikka","given":"Anssi"},{"family":"Mollet","given":"Fabian"},{"family":"Casini","given":"Michele"},{"family":"Gårdmark","given":"Anna"}],"issued":{"date-parts":[["2009",5,14]]},"citation-key":"vainikkaSpatialVariationGrowth2009"}}],"schema":"https://github.com/citation-style-language/schema/raw/master/csl-citation.json"} </w:instrText>
      </w:r>
      <w:r w:rsidR="0008232B">
        <w:rPr>
          <w:sz w:val="20"/>
          <w:szCs w:val="20"/>
        </w:rPr>
        <w:fldChar w:fldCharType="separate"/>
      </w:r>
      <w:r w:rsidR="00F751F9" w:rsidRPr="00F751F9">
        <w:rPr>
          <w:sz w:val="20"/>
          <w:lang w:val="en-GB"/>
        </w:rPr>
        <w:t xml:space="preserve">(Vainikka </w:t>
      </w:r>
      <w:r w:rsidR="00F751F9" w:rsidRPr="00F751F9">
        <w:rPr>
          <w:i/>
          <w:iCs/>
          <w:sz w:val="20"/>
          <w:lang w:val="en-GB"/>
        </w:rPr>
        <w:t>et al.</w:t>
      </w:r>
      <w:r w:rsidR="00F751F9" w:rsidRPr="00F751F9">
        <w:rPr>
          <w:sz w:val="20"/>
          <w:lang w:val="en-GB"/>
        </w:rPr>
        <w:t xml:space="preserve"> 2009a, b)</w:t>
      </w:r>
      <w:r w:rsidR="0008232B">
        <w:rPr>
          <w:sz w:val="20"/>
          <w:szCs w:val="20"/>
        </w:rPr>
        <w:fldChar w:fldCharType="end"/>
      </w:r>
      <w:r w:rsidRPr="00A658A5">
        <w:rPr>
          <w:sz w:val="20"/>
          <w:szCs w:val="20"/>
        </w:rPr>
        <w:t xml:space="preserve">. </w:t>
      </w:r>
      <w:r w:rsidRPr="00A658A5">
        <w:rPr>
          <w:sz w:val="20"/>
          <w:szCs w:val="20"/>
          <w:vertAlign w:val="superscript"/>
          <w:lang w:val="en-GB"/>
        </w:rPr>
        <w:t>**</w:t>
      </w:r>
      <w:r w:rsidRPr="00A658A5">
        <w:rPr>
          <w:sz w:val="20"/>
          <w:szCs w:val="20"/>
          <w:lang w:val="en-GB"/>
        </w:rPr>
        <w:t>See calibration protocol for unit and volume scaling</w:t>
      </w:r>
    </w:p>
    <w:p w14:paraId="593ACEE4" w14:textId="753E8F8A" w:rsidR="005C3B0B" w:rsidRPr="00A658A5" w:rsidRDefault="005C3B0B" w:rsidP="00760BDA">
      <w:pPr>
        <w:spacing w:line="360" w:lineRule="auto"/>
        <w:contextualSpacing/>
        <w:jc w:val="both"/>
        <w:rPr>
          <w:i/>
          <w:iCs/>
        </w:rPr>
      </w:pPr>
      <w:r w:rsidRPr="00A658A5">
        <w:rPr>
          <w:i/>
          <w:iCs/>
        </w:rPr>
        <w:lastRenderedPageBreak/>
        <w:t xml:space="preserve">Table S2. General parameters.  Source: 1 = </w:t>
      </w:r>
      <w:r w:rsidRPr="00A658A5">
        <w:rPr>
          <w:i/>
          <w:iCs/>
        </w:rPr>
        <w:fldChar w:fldCharType="begin"/>
      </w:r>
      <w:r w:rsidR="002E5D14">
        <w:rPr>
          <w:i/>
          <w:iCs/>
        </w:rPr>
        <w:instrText xml:space="preserve"> ADDIN ZOTERO_ITEM CSL_CITATION {"citationID":"rf8FVwVD","properties":{"formattedCitation":"(Scott {\\i{}et al.} 2019)","plainCitation":"(Scott et al. 2019)","noteIndex":0},"citationItems":[{"id":"UPAMMKgU/CwCXDrnU","uris":["http://zotero.org/users/6116610/items/DJUXBZVN"],"itemData":{"id":857,"type":"book","genre":"R","title":"mizer: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rPr>
          <w:i/>
          <w:iCs/>
        </w:rPr>
        <w:fldChar w:fldCharType="separate"/>
      </w:r>
      <w:r w:rsidRPr="00A658A5">
        <w:rPr>
          <w:i/>
          <w:iCs/>
          <w:lang w:val="en-GB"/>
        </w:rPr>
        <w:t>(Scott et al. 2019)</w:t>
      </w:r>
      <w:r w:rsidRPr="00A658A5">
        <w:rPr>
          <w:i/>
          <w:iCs/>
        </w:rPr>
        <w:fldChar w:fldCharType="end"/>
      </w:r>
      <w:r w:rsidRPr="00A658A5">
        <w:rPr>
          <w:i/>
          <w:iCs/>
          <w:lang w:val="en-GB"/>
        </w:rPr>
        <w:t xml:space="preserve">, 2 = </w:t>
      </w:r>
      <w:r w:rsidRPr="00A658A5">
        <w:rPr>
          <w:i/>
          <w:iCs/>
        </w:rPr>
        <w:fldChar w:fldCharType="begin"/>
      </w:r>
      <w:r w:rsidR="002E5D14">
        <w:rPr>
          <w:i/>
          <w:iCs/>
          <w:lang w:val="en-GB"/>
        </w:rPr>
        <w:instrText xml:space="preserve"> ADDIN ZOTERO_ITEM CSL_CITATION {"citationID":"N1C0LGIZ","properties":{"formattedCitation":"(Hartvig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sidRPr="00A658A5">
        <w:rPr>
          <w:i/>
          <w:iCs/>
        </w:rPr>
        <w:fldChar w:fldCharType="separate"/>
      </w:r>
      <w:r w:rsidRPr="00A658A5">
        <w:rPr>
          <w:i/>
          <w:iCs/>
          <w:lang w:val="en-GB"/>
        </w:rPr>
        <w:t>(Hartvig et al. 2011)</w:t>
      </w:r>
      <w:r w:rsidRPr="00A658A5">
        <w:rPr>
          <w:i/>
          <w:iCs/>
        </w:rPr>
        <w:fldChar w:fldCharType="end"/>
      </w:r>
      <w:r w:rsidRPr="00A658A5">
        <w:rPr>
          <w:i/>
          <w:iCs/>
          <w:lang w:val="en-GB"/>
        </w:rPr>
        <w:t xml:space="preserve">, 3 = </w:t>
      </w:r>
      <w:r w:rsidRPr="00A658A5">
        <w:rPr>
          <w:i/>
          <w:iCs/>
        </w:rPr>
        <w:fldChar w:fldCharType="begin"/>
      </w:r>
      <w:r w:rsidR="002E5D14">
        <w:rPr>
          <w:i/>
          <w:iCs/>
          <w:lang w:val="en-GB"/>
        </w:rPr>
        <w:instrText xml:space="preserve"> ADDIN ZOTERO_ITEM CSL_CITATION {"citationID":"77172Zw5","properties":{"formattedCitation":"(Blanchard {\\i{}et al.} 2014)","plainCitation":"(Blanchard et al. 2014)","noteIndex":0},"citationItems":[{"id":539,"uris":["http://zotero.org/users/6116610/items/D8WSZLZU"],"itemData":{"id":539,"type":"article-journal","abstract":"$\\backslash$n$\\backslash$n$\\backslash$n$\\backslash$n*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T."},{"family":"Piet","given":"Gerjan"},{"family":"Jennings","given":"Simon"}],"issued":{"date-parts":[["2014"]]},"citation-key":"blanchardEvaluatingTargetsTradeoffs2014"}}],"schema":"https://github.com/citation-style-language/schema/raw/master/csl-citation.json"} </w:instrText>
      </w:r>
      <w:r w:rsidRPr="00A658A5">
        <w:rPr>
          <w:i/>
          <w:iCs/>
        </w:rPr>
        <w:fldChar w:fldCharType="separate"/>
      </w:r>
      <w:r w:rsidRPr="00A658A5">
        <w:rPr>
          <w:i/>
          <w:iCs/>
        </w:rPr>
        <w:t>(Blanchard et al. 2014)</w:t>
      </w:r>
      <w:r w:rsidRPr="00A658A5">
        <w:rPr>
          <w:i/>
          <w:iCs/>
        </w:rPr>
        <w:fldChar w:fldCharType="end"/>
      </w:r>
      <w:r w:rsidRPr="00A658A5">
        <w:rPr>
          <w:i/>
          <w:iCs/>
        </w:rPr>
        <w:t>, 4 = this study</w:t>
      </w:r>
      <w:r w:rsidR="00027D4A">
        <w:rPr>
          <w:i/>
          <w:iCs/>
        </w:rPr>
        <w:t xml:space="preserve">, 5 = </w:t>
      </w:r>
      <w:r w:rsidR="00027D4A" w:rsidRPr="00027D4A">
        <w:rPr>
          <w:i/>
          <w:iCs/>
        </w:rPr>
        <w:t>Audzijonyte</w:t>
      </w:r>
      <w:r w:rsidR="00F533AE">
        <w:rPr>
          <w:i/>
          <w:iCs/>
        </w:rPr>
        <w:t xml:space="preserve"> et al., unpublished</w:t>
      </w:r>
      <w:r w:rsidR="006D56F5">
        <w:rPr>
          <w:i/>
          <w:iCs/>
        </w:rPr>
        <w:t>.</w:t>
      </w:r>
      <w:r w:rsidRPr="00A658A5">
        <w:rPr>
          <w:i/>
          <w:iCs/>
        </w:rPr>
        <w:t xml:space="preserve">. Parameters in bold are tuned in the calibration process, parenthesis show default values pre-calibration. </w:t>
      </w:r>
    </w:p>
    <w:tbl>
      <w:tblPr>
        <w:tblStyle w:val="GridTable1Light-Accent3"/>
        <w:tblW w:w="0" w:type="auto"/>
        <w:tblLook w:val="04A0" w:firstRow="1" w:lastRow="0" w:firstColumn="1" w:lastColumn="0" w:noHBand="0" w:noVBand="1"/>
      </w:tblPr>
      <w:tblGrid>
        <w:gridCol w:w="926"/>
        <w:gridCol w:w="5039"/>
        <w:gridCol w:w="1111"/>
        <w:gridCol w:w="1076"/>
        <w:gridCol w:w="864"/>
      </w:tblGrid>
      <w:tr w:rsidR="00C77676" w:rsidRPr="00C027CA" w14:paraId="017BBC57"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1FD772" w14:textId="77777777" w:rsidR="005C3B0B" w:rsidRPr="00C027CA" w:rsidRDefault="005C3B0B" w:rsidP="00760BDA">
            <w:pPr>
              <w:spacing w:line="360" w:lineRule="auto"/>
              <w:contextualSpacing/>
              <w:jc w:val="both"/>
              <w:rPr>
                <w:sz w:val="22"/>
                <w:szCs w:val="22"/>
              </w:rPr>
            </w:pPr>
            <w:r w:rsidRPr="00C027CA">
              <w:rPr>
                <w:sz w:val="22"/>
                <w:szCs w:val="22"/>
              </w:rPr>
              <w:t>Symbol</w:t>
            </w:r>
          </w:p>
        </w:tc>
        <w:tc>
          <w:tcPr>
            <w:tcW w:w="0" w:type="auto"/>
          </w:tcPr>
          <w:p w14:paraId="2099095B"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Description</w:t>
            </w:r>
          </w:p>
        </w:tc>
        <w:tc>
          <w:tcPr>
            <w:tcW w:w="0" w:type="auto"/>
          </w:tcPr>
          <w:p w14:paraId="2A08B2D7" w14:textId="77777777" w:rsidR="005C3B0B" w:rsidRPr="00C027CA" w:rsidRDefault="005C3B0B" w:rsidP="00760BDA">
            <w:pPr>
              <w:spacing w:line="360" w:lineRule="auto"/>
              <w:contextualSpacing/>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Value</w:t>
            </w:r>
          </w:p>
        </w:tc>
        <w:tc>
          <w:tcPr>
            <w:tcW w:w="0" w:type="auto"/>
          </w:tcPr>
          <w:p w14:paraId="2AC1A039"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Unit</w:t>
            </w:r>
          </w:p>
        </w:tc>
        <w:tc>
          <w:tcPr>
            <w:tcW w:w="0" w:type="auto"/>
          </w:tcPr>
          <w:p w14:paraId="612C746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Source</w:t>
            </w:r>
          </w:p>
        </w:tc>
      </w:tr>
      <w:tr w:rsidR="00C77676" w:rsidRPr="00C027CA" w14:paraId="3323B12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2F50C4F"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α</m:t>
                </m:r>
              </m:oMath>
            </m:oMathPara>
          </w:p>
        </w:tc>
        <w:tc>
          <w:tcPr>
            <w:tcW w:w="0" w:type="auto"/>
          </w:tcPr>
          <w:p w14:paraId="0DE5D6B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Assimilation efficiency </w:t>
            </w:r>
          </w:p>
        </w:tc>
        <w:tc>
          <w:tcPr>
            <w:tcW w:w="0" w:type="auto"/>
          </w:tcPr>
          <w:p w14:paraId="456C042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0.6</m:t>
                </m:r>
              </m:oMath>
            </m:oMathPara>
          </w:p>
        </w:tc>
        <w:tc>
          <w:tcPr>
            <w:tcW w:w="0" w:type="auto"/>
          </w:tcPr>
          <w:p w14:paraId="5BE86EE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EF25E9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7472C8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B5101F5" w14:textId="77777777" w:rsidR="005C3B0B" w:rsidRPr="00C027CA" w:rsidRDefault="00B13CF2"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0</m:t>
                    </m:r>
                  </m:sub>
                </m:sSub>
              </m:oMath>
            </m:oMathPara>
          </w:p>
        </w:tc>
        <w:tc>
          <w:tcPr>
            <w:tcW w:w="0" w:type="auto"/>
          </w:tcPr>
          <w:p w14:paraId="6DC5027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Egg weight </w:t>
            </w:r>
          </w:p>
        </w:tc>
        <w:tc>
          <w:tcPr>
            <w:tcW w:w="0" w:type="auto"/>
          </w:tcPr>
          <w:p w14:paraId="39FBC5B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0.001</m:t>
                </m:r>
              </m:oMath>
            </m:oMathPara>
          </w:p>
        </w:tc>
        <w:tc>
          <w:tcPr>
            <w:tcW w:w="0" w:type="auto"/>
          </w:tcPr>
          <w:p w14:paraId="0ADD433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65687C3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sz w:val="22"/>
                <w:szCs w:val="22"/>
              </w:rPr>
              <w:t>1,2</w:t>
            </w:r>
          </w:p>
        </w:tc>
      </w:tr>
      <w:tr w:rsidR="00C77676" w:rsidRPr="00C027CA" w14:paraId="6FF64C11"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28EA42F" w14:textId="77777777" w:rsidR="005C3B0B" w:rsidRPr="00C027CA" w:rsidRDefault="00B13CF2" w:rsidP="00760BDA">
            <w:pPr>
              <w:spacing w:line="360" w:lineRule="auto"/>
              <w:contextualSpacing/>
              <w:rPr>
                <w:rFonts w:eastAsia="Times New Roman"/>
                <w:b w:val="0"/>
                <w:iCs/>
                <w:sz w:val="22"/>
                <w:szCs w:val="22"/>
              </w:rPr>
            </w:pPr>
            <m:oMath>
              <m:sSub>
                <m:sSubPr>
                  <m:ctrlPr>
                    <w:rPr>
                      <w:rFonts w:ascii="Cambria Math" w:eastAsia="Times New Roman" w:hAnsi="Cambria Math"/>
                      <w:b w:val="0"/>
                      <w:bCs w:val="0"/>
                      <w:i/>
                      <w:iCs/>
                      <w:sz w:val="22"/>
                      <w:szCs w:val="22"/>
                    </w:rPr>
                  </m:ctrlPr>
                </m:sSubPr>
                <m:e>
                  <m:r>
                    <m:rPr>
                      <m:sty m:val="bi"/>
                    </m:rPr>
                    <w:rPr>
                      <w:rFonts w:ascii="Cambria Math" w:eastAsia="Times New Roman" w:hAnsi="Cambria Math"/>
                      <w:sz w:val="22"/>
                      <w:szCs w:val="22"/>
                    </w:rPr>
                    <m:t>f</m:t>
                  </m:r>
                  <m:ctrlPr>
                    <w:rPr>
                      <w:rFonts w:ascii="Cambria Math" w:eastAsia="Times New Roman" w:hAnsi="Cambria Math"/>
                      <w:b w:val="0"/>
                      <w:i/>
                      <w:iCs/>
                      <w:sz w:val="22"/>
                      <w:szCs w:val="22"/>
                    </w:rPr>
                  </m:ctrlPr>
                </m:e>
                <m:sub>
                  <m:r>
                    <m:rPr>
                      <m:sty m:val="bi"/>
                    </m:rPr>
                    <w:rPr>
                      <w:rFonts w:ascii="Cambria Math" w:eastAsia="Times New Roman" w:hAnsi="Cambria Math"/>
                      <w:sz w:val="22"/>
                      <w:szCs w:val="22"/>
                    </w:rPr>
                    <m:t>0</m:t>
                  </m:r>
                </m:sub>
              </m:sSub>
            </m:oMath>
            <w:r w:rsidR="005C3B0B" w:rsidRPr="00C027CA">
              <w:rPr>
                <w:rFonts w:eastAsia="Times New Roman"/>
                <w:b w:val="0"/>
                <w:iCs/>
                <w:sz w:val="22"/>
                <w:szCs w:val="22"/>
              </w:rPr>
              <w:t xml:space="preserve"> </w:t>
            </w:r>
          </w:p>
        </w:tc>
        <w:tc>
          <w:tcPr>
            <w:tcW w:w="0" w:type="auto"/>
          </w:tcPr>
          <w:p w14:paraId="653D89F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Initial feeding level</w:t>
            </w:r>
          </w:p>
        </w:tc>
        <w:tc>
          <w:tcPr>
            <w:tcW w:w="0" w:type="auto"/>
          </w:tcPr>
          <w:p w14:paraId="04E3DD46"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0.6</w:t>
            </w:r>
          </w:p>
        </w:tc>
        <w:tc>
          <w:tcPr>
            <w:tcW w:w="0" w:type="auto"/>
          </w:tcPr>
          <w:p w14:paraId="34AC6D8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w:t>
            </w:r>
          </w:p>
        </w:tc>
        <w:tc>
          <w:tcPr>
            <w:tcW w:w="0" w:type="auto"/>
          </w:tcPr>
          <w:p w14:paraId="55F3404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61C7EA0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6D12BAD"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n</m:t>
                </m:r>
              </m:oMath>
            </m:oMathPara>
          </w:p>
        </w:tc>
        <w:tc>
          <w:tcPr>
            <w:tcW w:w="0" w:type="auto"/>
          </w:tcPr>
          <w:p w14:paraId="31855D4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of max. consumption </w:t>
            </w:r>
          </w:p>
        </w:tc>
        <w:tc>
          <w:tcPr>
            <w:tcW w:w="0" w:type="auto"/>
          </w:tcPr>
          <w:p w14:paraId="6458F11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2/3</m:t>
                </m:r>
              </m:oMath>
            </m:oMathPara>
          </w:p>
        </w:tc>
        <w:tc>
          <w:tcPr>
            <w:tcW w:w="0" w:type="auto"/>
          </w:tcPr>
          <w:p w14:paraId="4326004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23E6A15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55E91F5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D6B136C" w14:textId="77777777" w:rsidR="005C3B0B" w:rsidRPr="00C027CA" w:rsidRDefault="005C3B0B" w:rsidP="00760BDA">
            <w:pPr>
              <w:spacing w:line="360" w:lineRule="auto"/>
              <w:contextualSpacing/>
              <w:jc w:val="both"/>
              <w:rPr>
                <w:rFonts w:eastAsia="Times New Roman"/>
                <w:b w:val="0"/>
                <w:sz w:val="22"/>
                <w:szCs w:val="22"/>
              </w:rPr>
            </w:pPr>
            <m:oMathPara>
              <m:oMathParaPr>
                <m:jc m:val="left"/>
              </m:oMathParaPr>
              <m:oMath>
                <m:r>
                  <m:rPr>
                    <m:sty m:val="bi"/>
                  </m:rPr>
                  <w:rPr>
                    <w:rFonts w:ascii="Cambria Math" w:hAnsi="Cambria Math"/>
                    <w:sz w:val="22"/>
                    <w:szCs w:val="22"/>
                  </w:rPr>
                  <m:t>m</m:t>
                </m:r>
              </m:oMath>
            </m:oMathPara>
          </w:p>
        </w:tc>
        <w:tc>
          <w:tcPr>
            <w:tcW w:w="0" w:type="auto"/>
          </w:tcPr>
          <w:p w14:paraId="1FD4E52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to </w:t>
            </w:r>
            <m:oMath>
              <m:f>
                <m:fPr>
                  <m:ctrlPr>
                    <w:rPr>
                      <w:rFonts w:ascii="Cambria Math" w:hAnsi="Cambria Math"/>
                      <w:i/>
                      <w:sz w:val="22"/>
                      <w:szCs w:val="22"/>
                    </w:rPr>
                  </m:ctrlPr>
                </m:fPr>
                <m:num>
                  <m:r>
                    <w:rPr>
                      <w:rFonts w:ascii="Cambria Math" w:hAnsi="Cambria Math"/>
                      <w:sz w:val="22"/>
                      <w:szCs w:val="22"/>
                    </w:rPr>
                    <m:t>w</m:t>
                  </m:r>
                </m:num>
                <m:den>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mat,i</m:t>
                      </m:r>
                    </m:sub>
                  </m:sSub>
                </m:den>
              </m:f>
            </m:oMath>
            <w:r w:rsidRPr="00C027CA">
              <w:rPr>
                <w:rFonts w:eastAsiaTheme="minorEastAsia"/>
                <w:sz w:val="22"/>
                <w:szCs w:val="22"/>
              </w:rPr>
              <w:t xml:space="preserve"> in smooth maturation function</w:t>
            </w:r>
          </w:p>
        </w:tc>
        <w:tc>
          <w:tcPr>
            <w:tcW w:w="0" w:type="auto"/>
          </w:tcPr>
          <w:p w14:paraId="45672D7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hAnsi="Cambria Math"/>
                    <w:sz w:val="22"/>
                    <w:szCs w:val="22"/>
                  </w:rPr>
                  <m:t>5</m:t>
                </m:r>
              </m:oMath>
            </m:oMathPara>
          </w:p>
        </w:tc>
        <w:tc>
          <w:tcPr>
            <w:tcW w:w="0" w:type="auto"/>
          </w:tcPr>
          <w:p w14:paraId="2247AEC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308065E" w14:textId="1581FD3B" w:rsidR="005C3B0B" w:rsidRPr="00C027CA" w:rsidRDefault="001F04C8"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r w:rsidR="00544BAF">
              <w:rPr>
                <w:sz w:val="22"/>
                <w:szCs w:val="22"/>
              </w:rPr>
              <w:t>,</w:t>
            </w:r>
            <w:r w:rsidR="005C3B0B" w:rsidRPr="00C027CA">
              <w:rPr>
                <w:sz w:val="22"/>
                <w:szCs w:val="22"/>
              </w:rPr>
              <w:t xml:space="preserve"> 4</w:t>
            </w:r>
          </w:p>
        </w:tc>
      </w:tr>
      <w:tr w:rsidR="00C77676" w:rsidRPr="00C027CA" w14:paraId="4170A2C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B640240"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q</m:t>
                </m:r>
              </m:oMath>
            </m:oMathPara>
          </w:p>
        </w:tc>
        <w:tc>
          <w:tcPr>
            <w:tcW w:w="0" w:type="auto"/>
          </w:tcPr>
          <w:p w14:paraId="76B7538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of search volume </w:t>
            </w:r>
          </w:p>
        </w:tc>
        <w:tc>
          <w:tcPr>
            <w:tcW w:w="0" w:type="auto"/>
          </w:tcPr>
          <w:p w14:paraId="720D1D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0.8</m:t>
                </m:r>
              </m:oMath>
            </m:oMathPara>
          </w:p>
        </w:tc>
        <w:tc>
          <w:tcPr>
            <w:tcW w:w="0" w:type="auto"/>
          </w:tcPr>
          <w:p w14:paraId="7C2899D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CA2826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C77676" w:rsidRPr="00C027CA" w14:paraId="25028A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1921501D" w14:textId="77777777" w:rsidR="005C3B0B" w:rsidRPr="00C027CA" w:rsidRDefault="005C3B0B" w:rsidP="00760BDA">
            <w:pPr>
              <w:spacing w:line="360" w:lineRule="auto"/>
              <w:contextualSpacing/>
              <w:rPr>
                <w:b w:val="0"/>
                <w:sz w:val="22"/>
                <w:szCs w:val="22"/>
              </w:rPr>
            </w:pPr>
            <m:oMath>
              <m:r>
                <m:rPr>
                  <m:sty m:val="bi"/>
                </m:rPr>
                <w:rPr>
                  <w:rFonts w:ascii="Cambria Math" w:hAnsi="Cambria Math"/>
                  <w:sz w:val="22"/>
                  <w:szCs w:val="22"/>
                </w:rPr>
                <m:t>p</m:t>
              </m:r>
            </m:oMath>
            <w:r w:rsidRPr="00C027CA">
              <w:rPr>
                <w:b w:val="0"/>
                <w:i/>
                <w:iCs/>
                <w:sz w:val="22"/>
                <w:szCs w:val="22"/>
              </w:rPr>
              <w:t xml:space="preserve"> </w:t>
            </w:r>
          </w:p>
        </w:tc>
        <w:tc>
          <w:tcPr>
            <w:tcW w:w="0" w:type="auto"/>
          </w:tcPr>
          <w:p w14:paraId="2E0B1545" w14:textId="727E9638"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Exponent of metaboli</w:t>
            </w:r>
            <w:r w:rsidR="00207A07">
              <w:rPr>
                <w:sz w:val="22"/>
                <w:szCs w:val="22"/>
              </w:rPr>
              <w:t>c rate</w:t>
            </w:r>
          </w:p>
        </w:tc>
        <w:tc>
          <w:tcPr>
            <w:tcW w:w="0" w:type="auto"/>
          </w:tcPr>
          <w:p w14:paraId="7A3BBC6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0.7</m:t>
                </m:r>
              </m:oMath>
            </m:oMathPara>
          </w:p>
        </w:tc>
        <w:tc>
          <w:tcPr>
            <w:tcW w:w="0" w:type="auto"/>
          </w:tcPr>
          <w:p w14:paraId="60B7881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BEBED7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C77676" w:rsidRPr="00C027CA" w14:paraId="2BF829A8"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D93FC3E" w14:textId="77777777" w:rsidR="005C3B0B" w:rsidRPr="00C027CA" w:rsidRDefault="00B13CF2" w:rsidP="00760BDA">
            <w:pPr>
              <w:spacing w:line="360" w:lineRule="auto"/>
              <w:contextualSpacing/>
              <w:rPr>
                <w:b w:val="0"/>
                <w:sz w:val="22"/>
                <w:szCs w:val="22"/>
              </w:rPr>
            </w:pPr>
            <m:oMath>
              <m:sSub>
                <m:sSubPr>
                  <m:ctrlPr>
                    <w:rPr>
                      <w:rFonts w:ascii="Cambria Math" w:hAnsi="Cambria Math"/>
                      <w:b w:val="0"/>
                      <w:i/>
                      <w:sz w:val="22"/>
                      <w:szCs w:val="22"/>
                    </w:rPr>
                  </m:ctrlPr>
                </m:sSubPr>
                <m:e>
                  <m:r>
                    <m:rPr>
                      <m:sty m:val="bi"/>
                    </m:rPr>
                    <w:rPr>
                      <w:rFonts w:ascii="Cambria Math" w:hAnsi="Cambria Math"/>
                      <w:sz w:val="22"/>
                      <w:szCs w:val="22"/>
                    </w:rPr>
                    <m:t>μ</m:t>
                  </m:r>
                </m:e>
                <m:sub>
                  <m:r>
                    <m:rPr>
                      <m:sty m:val="bi"/>
                    </m:rPr>
                    <w:rPr>
                      <w:rFonts w:ascii="Cambria Math" w:hAnsi="Cambria Math"/>
                      <w:sz w:val="22"/>
                      <w:szCs w:val="22"/>
                    </w:rPr>
                    <m:t>0</m:t>
                  </m:r>
                </m:sub>
              </m:sSub>
            </m:oMath>
            <w:r w:rsidR="005C3B0B" w:rsidRPr="00C027CA">
              <w:rPr>
                <w:b w:val="0"/>
                <w:sz w:val="22"/>
                <w:szCs w:val="22"/>
              </w:rPr>
              <w:t xml:space="preserve"> </w:t>
            </w:r>
          </w:p>
        </w:tc>
        <w:tc>
          <w:tcPr>
            <w:tcW w:w="0" w:type="auto"/>
          </w:tcPr>
          <w:p w14:paraId="6140B69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Pre-factor for background mortality </w:t>
            </w:r>
          </w:p>
        </w:tc>
        <w:tc>
          <w:tcPr>
            <w:tcW w:w="0" w:type="auto"/>
          </w:tcPr>
          <w:p w14:paraId="0AA946E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0.6</m:t>
                </m:r>
              </m:oMath>
            </m:oMathPara>
          </w:p>
        </w:tc>
        <w:tc>
          <w:tcPr>
            <w:tcW w:w="0" w:type="auto"/>
          </w:tcPr>
          <w:p w14:paraId="1B10C390" w14:textId="77777777" w:rsidR="005C3B0B" w:rsidRPr="00C027CA" w:rsidRDefault="00B13CF2"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hAnsi="Cambria Math"/>
                        <w:i/>
                        <w:sz w:val="22"/>
                        <w:szCs w:val="22"/>
                      </w:rPr>
                    </m:ctrlPr>
                  </m:sSupPr>
                  <m:e>
                    <m:r>
                      <m:rPr>
                        <m:sty m:val="p"/>
                      </m:rPr>
                      <w:rPr>
                        <w:rFonts w:ascii="Cambria Math" w:eastAsiaTheme="minorEastAsia" w:hAnsi="Cambria Math"/>
                        <w:sz w:val="22"/>
                        <w:szCs w:val="22"/>
                      </w:rPr>
                      <m:t>yr</m:t>
                    </m:r>
                    <m:ctrlPr>
                      <w:rPr>
                        <w:rFonts w:ascii="Cambria Math" w:eastAsiaTheme="minorEastAsia" w:hAnsi="Cambria Math"/>
                        <w:sz w:val="22"/>
                        <w:szCs w:val="22"/>
                      </w:rPr>
                    </m:ctrlPr>
                  </m:e>
                  <m:sup>
                    <m:r>
                      <w:rPr>
                        <w:rFonts w:ascii="Cambria Math" w:hAnsi="Cambria Math"/>
                        <w:sz w:val="22"/>
                        <w:szCs w:val="22"/>
                      </w:rPr>
                      <m:t>-1</m:t>
                    </m:r>
                  </m:sup>
                </m:sSup>
              </m:oMath>
            </m:oMathPara>
          </w:p>
        </w:tc>
        <w:tc>
          <w:tcPr>
            <w:tcW w:w="0" w:type="auto"/>
          </w:tcPr>
          <w:p w14:paraId="6D2B2A0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1</w:t>
            </w:r>
          </w:p>
        </w:tc>
      </w:tr>
      <w:tr w:rsidR="00C77676" w:rsidRPr="00C027CA" w14:paraId="456FC655"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A62E713"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λ</m:t>
                </m:r>
              </m:oMath>
            </m:oMathPara>
          </w:p>
        </w:tc>
        <w:tc>
          <w:tcPr>
            <w:tcW w:w="0" w:type="auto"/>
          </w:tcPr>
          <w:p w14:paraId="6F47A3F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lang w:val="en-GB"/>
              </w:rPr>
              <w:t xml:space="preserve">Exponent of background resource spectra </w:t>
            </w:r>
          </w:p>
        </w:tc>
        <w:tc>
          <w:tcPr>
            <w:tcW w:w="0" w:type="auto"/>
          </w:tcPr>
          <w:p w14:paraId="2A69E8F6" w14:textId="6183A912" w:rsidR="005C3B0B" w:rsidRPr="00C027CA" w:rsidRDefault="009F0D26"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-2-q+n</m:t>
                </m:r>
              </m:oMath>
            </m:oMathPara>
          </w:p>
        </w:tc>
        <w:tc>
          <w:tcPr>
            <w:tcW w:w="0" w:type="auto"/>
          </w:tcPr>
          <w:p w14:paraId="3C1B020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32AA10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w:t>
            </w:r>
          </w:p>
        </w:tc>
      </w:tr>
      <w:tr w:rsidR="00C77676" w:rsidRPr="00C027CA" w14:paraId="1395BC21"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C18876A" w14:textId="77777777" w:rsidR="005C3B0B" w:rsidRPr="00C027CA" w:rsidRDefault="00B13CF2"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r</m:t>
                    </m:r>
                  </m:e>
                  <m:sub>
                    <m:r>
                      <m:rPr>
                        <m:sty m:val="bi"/>
                      </m:rPr>
                      <w:rPr>
                        <w:rFonts w:ascii="Cambria Math" w:hAnsi="Cambria Math"/>
                        <w:sz w:val="22"/>
                        <w:szCs w:val="22"/>
                      </w:rPr>
                      <m:t>0</m:t>
                    </m:r>
                  </m:sub>
                </m:sSub>
              </m:oMath>
            </m:oMathPara>
          </w:p>
        </w:tc>
        <w:tc>
          <w:tcPr>
            <w:tcW w:w="0" w:type="auto"/>
          </w:tcPr>
          <w:p w14:paraId="040FD3D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Regeneration rate of background resource spectra </w:t>
            </w:r>
          </w:p>
        </w:tc>
        <w:tc>
          <w:tcPr>
            <w:tcW w:w="0" w:type="auto"/>
          </w:tcPr>
          <w:p w14:paraId="6E3F7D8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4</m:t>
                </m:r>
              </m:oMath>
            </m:oMathPara>
          </w:p>
        </w:tc>
        <w:tc>
          <w:tcPr>
            <w:tcW w:w="0" w:type="auto"/>
          </w:tcPr>
          <w:p w14:paraId="14C09A3D" w14:textId="77777777" w:rsidR="005C3B0B" w:rsidRPr="00C027CA" w:rsidRDefault="00B13CF2"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vertAlign w:val="superscript"/>
              </w:rPr>
            </w:pPr>
            <m:oMathPara>
              <m:oMathParaPr>
                <m:jc m:val="left"/>
              </m:oMathParaPr>
              <m:oMath>
                <m:sSup>
                  <m:sSupPr>
                    <m:ctrlPr>
                      <w:rPr>
                        <w:rFonts w:ascii="Cambria Math" w:eastAsiaTheme="minorEastAsia" w:hAnsi="Cambria Math"/>
                        <w:i/>
                        <w:sz w:val="22"/>
                        <w:szCs w:val="22"/>
                      </w:rPr>
                    </m:ctrlPr>
                  </m:sSupPr>
                  <m:e>
                    <m:r>
                      <m:rPr>
                        <m:sty m:val="p"/>
                      </m:rPr>
                      <w:rPr>
                        <w:rFonts w:ascii="Cambria Math" w:hAnsi="Cambria Math"/>
                        <w:sz w:val="22"/>
                        <w:szCs w:val="22"/>
                      </w:rPr>
                      <m:t>g</m:t>
                    </m:r>
                    <m:ctrlPr>
                      <w:rPr>
                        <w:rFonts w:ascii="Cambria Math" w:hAnsi="Cambria Math"/>
                        <w:sz w:val="22"/>
                        <w:szCs w:val="22"/>
                      </w:rPr>
                    </m:ctrlPr>
                  </m:e>
                  <m:sup>
                    <m:r>
                      <m:rPr>
                        <m:sty m:val="p"/>
                      </m:rPr>
                      <w:rPr>
                        <w:rFonts w:ascii="Cambria Math" w:hAnsi="Cambria Math"/>
                        <w:sz w:val="22"/>
                        <w:szCs w:val="22"/>
                        <w:vertAlign w:val="superscript"/>
                      </w:rPr>
                      <m:t>1-n</m:t>
                    </m:r>
                  </m:sup>
                </m:sSup>
                <m:sSup>
                  <m:sSupPr>
                    <m:ctrlPr>
                      <w:rPr>
                        <w:rFonts w:ascii="Cambria Math" w:hAnsi="Cambria Math"/>
                        <w:i/>
                        <w:sz w:val="22"/>
                        <w:szCs w:val="22"/>
                      </w:rPr>
                    </m:ctrlPr>
                  </m:sSupPr>
                  <m:e>
                    <m:r>
                      <m:rPr>
                        <m:sty m:val="p"/>
                      </m:rPr>
                      <w:rPr>
                        <w:rFonts w:ascii="Cambria Math" w:eastAsiaTheme="minorEastAsia" w:hAnsi="Cambria Math"/>
                        <w:sz w:val="22"/>
                        <w:szCs w:val="22"/>
                      </w:rPr>
                      <m:t>yr</m:t>
                    </m:r>
                    <m:ctrlPr>
                      <w:rPr>
                        <w:rFonts w:ascii="Cambria Math" w:eastAsiaTheme="minorEastAsia" w:hAnsi="Cambria Math"/>
                        <w:sz w:val="22"/>
                        <w:szCs w:val="22"/>
                      </w:rPr>
                    </m:ctrlPr>
                  </m:e>
                  <m:sup>
                    <m:r>
                      <w:rPr>
                        <w:rFonts w:ascii="Cambria Math" w:hAnsi="Cambria Math"/>
                        <w:sz w:val="22"/>
                        <w:szCs w:val="22"/>
                      </w:rPr>
                      <m:t>-1</m:t>
                    </m:r>
                  </m:sup>
                </m:sSup>
              </m:oMath>
            </m:oMathPara>
          </w:p>
        </w:tc>
        <w:tc>
          <w:tcPr>
            <w:tcW w:w="0" w:type="auto"/>
          </w:tcPr>
          <w:p w14:paraId="3BE9CE2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r w:rsidR="00C77676" w:rsidRPr="00C027CA" w14:paraId="6D894BFA"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25F064B" w14:textId="77777777" w:rsidR="005C3B0B" w:rsidRPr="00C027CA" w:rsidRDefault="005C3B0B" w:rsidP="00760BDA">
            <w:pPr>
              <w:spacing w:line="360" w:lineRule="auto"/>
              <w:contextualSpacing/>
              <w:rPr>
                <w:rFonts w:eastAsia="Times New Roman"/>
                <w:iCs/>
                <w:sz w:val="22"/>
                <w:szCs w:val="22"/>
              </w:rPr>
            </w:pPr>
            <m:oMathPara>
              <m:oMathParaPr>
                <m:jc m:val="left"/>
              </m:oMathParaPr>
              <m:oMath>
                <m:r>
                  <m:rPr>
                    <m:sty m:val="bi"/>
                  </m:rPr>
                  <w:rPr>
                    <w:rFonts w:ascii="Cambria Math" w:hAnsi="Cambria Math"/>
                    <w:sz w:val="22"/>
                    <w:szCs w:val="22"/>
                  </w:rPr>
                  <m:t>κ</m:t>
                </m:r>
              </m:oMath>
            </m:oMathPara>
          </w:p>
        </w:tc>
        <w:tc>
          <w:tcPr>
            <w:tcW w:w="0" w:type="auto"/>
          </w:tcPr>
          <w:p w14:paraId="42814FF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Carrying capacity of background resource spectra (benthos, plankton)</w:t>
            </w:r>
          </w:p>
        </w:tc>
        <w:tc>
          <w:tcPr>
            <w:tcW w:w="0" w:type="auto"/>
          </w:tcPr>
          <w:p w14:paraId="75E4FBE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m:oMath>
              <m:r>
                <m:rPr>
                  <m:sty m:val="bi"/>
                </m:rPr>
                <w:rPr>
                  <w:rFonts w:ascii="Cambria Math" w:eastAsia="Times New Roman" w:hAnsi="Cambria Math"/>
                  <w:sz w:val="22"/>
                  <w:szCs w:val="22"/>
                </w:rPr>
                <m:t>9</m:t>
              </m:r>
            </m:oMath>
            <w:r w:rsidRPr="00C027CA">
              <w:rPr>
                <w:rFonts w:eastAsia="Times New Roman"/>
                <w:b/>
                <w:sz w:val="22"/>
                <w:szCs w:val="22"/>
              </w:rPr>
              <w:t xml:space="preserve"> (11)</w:t>
            </w:r>
          </w:p>
        </w:tc>
        <w:tc>
          <w:tcPr>
            <w:tcW w:w="0" w:type="auto"/>
          </w:tcPr>
          <w:p w14:paraId="6CA1034B" w14:textId="3F6820A6" w:rsidR="005C3B0B" w:rsidRPr="00467723" w:rsidRDefault="00B13CF2"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iCs/>
                <w:sz w:val="22"/>
                <w:szCs w:val="22"/>
              </w:rPr>
            </w:pPr>
            <m:oMath>
              <m:sSup>
                <m:sSupPr>
                  <m:ctrlPr>
                    <w:rPr>
                      <w:rFonts w:ascii="Cambria Math" w:eastAsiaTheme="minorEastAsia" w:hAnsi="Cambria Math"/>
                      <w:b/>
                      <w:iCs/>
                      <w:sz w:val="22"/>
                      <w:szCs w:val="22"/>
                    </w:rPr>
                  </m:ctrlPr>
                </m:sSupPr>
                <m:e>
                  <m:r>
                    <m:rPr>
                      <m:sty m:val="b"/>
                    </m:rPr>
                    <w:rPr>
                      <w:rFonts w:ascii="Cambria Math" w:hAnsi="Cambria Math"/>
                      <w:sz w:val="22"/>
                      <w:szCs w:val="22"/>
                    </w:rPr>
                    <m:t>g</m:t>
                  </m:r>
                  <m:ctrlPr>
                    <w:rPr>
                      <w:rFonts w:ascii="Cambria Math" w:hAnsi="Cambria Math"/>
                      <w:b/>
                      <w:iCs/>
                      <w:sz w:val="22"/>
                      <w:szCs w:val="22"/>
                    </w:rPr>
                  </m:ctrlPr>
                </m:e>
                <m:sup>
                  <m:r>
                    <m:rPr>
                      <m:sty m:val="b"/>
                    </m:rPr>
                    <w:rPr>
                      <w:rFonts w:ascii="Cambria Math" w:hAnsi="Cambria Math"/>
                      <w:sz w:val="22"/>
                      <w:szCs w:val="22"/>
                      <w:vertAlign w:val="superscript"/>
                    </w:rPr>
                    <m:t>λ-1</m:t>
                  </m:r>
                </m:sup>
              </m:sSup>
              <m:sSup>
                <m:sSupPr>
                  <m:ctrlPr>
                    <w:rPr>
                      <w:rFonts w:ascii="Cambria Math" w:hAnsi="Cambria Math"/>
                      <w:b/>
                      <w:iCs/>
                      <w:sz w:val="22"/>
                      <w:szCs w:val="22"/>
                    </w:rPr>
                  </m:ctrlPr>
                </m:sSupPr>
                <m:e>
                  <m:r>
                    <m:rPr>
                      <m:sty m:val="b"/>
                    </m:rPr>
                    <w:rPr>
                      <w:rFonts w:ascii="Cambria Math" w:hAnsi="Cambria Math"/>
                      <w:sz w:val="22"/>
                      <w:szCs w:val="22"/>
                    </w:rPr>
                    <m:t>m</m:t>
                  </m:r>
                  <m:ctrlPr>
                    <w:rPr>
                      <w:rFonts w:ascii="Cambria Math" w:eastAsiaTheme="minorEastAsia" w:hAnsi="Cambria Math"/>
                      <w:b/>
                      <w:iCs/>
                      <w:sz w:val="22"/>
                      <w:szCs w:val="22"/>
                    </w:rPr>
                  </m:ctrlPr>
                </m:e>
                <m:sup>
                  <m:r>
                    <m:rPr>
                      <m:sty m:val="b"/>
                    </m:rPr>
                    <w:rPr>
                      <w:rFonts w:ascii="Cambria Math" w:eastAsiaTheme="minorEastAsia" w:hAnsi="Cambria Math"/>
                      <w:sz w:val="22"/>
                      <w:szCs w:val="22"/>
                    </w:rPr>
                    <m:t>2</m:t>
                  </m:r>
                </m:sup>
              </m:sSup>
            </m:oMath>
            <w:r w:rsidR="005C3B0B" w:rsidRPr="00467723">
              <w:rPr>
                <w:b/>
                <w:iCs/>
                <w:sz w:val="22"/>
                <w:szCs w:val="22"/>
              </w:rPr>
              <w:t xml:space="preserve"> </w:t>
            </w:r>
          </w:p>
        </w:tc>
        <w:tc>
          <w:tcPr>
            <w:tcW w:w="0" w:type="auto"/>
          </w:tcPr>
          <w:p w14:paraId="7808329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w:r w:rsidRPr="00C027CA">
              <w:rPr>
                <w:rFonts w:eastAsia="Times New Roman"/>
                <w:b/>
                <w:sz w:val="22"/>
                <w:szCs w:val="22"/>
              </w:rPr>
              <w:t>4</w:t>
            </w:r>
          </w:p>
        </w:tc>
      </w:tr>
      <w:tr w:rsidR="00C77676" w:rsidRPr="00C027CA" w14:paraId="2B9D210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734AB88" w14:textId="77777777" w:rsidR="005C3B0B" w:rsidRPr="00C027CA" w:rsidRDefault="00B13CF2"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cut,P</m:t>
                    </m:r>
                  </m:sub>
                </m:sSub>
              </m:oMath>
            </m:oMathPara>
          </w:p>
        </w:tc>
        <w:tc>
          <w:tcPr>
            <w:tcW w:w="0" w:type="auto"/>
          </w:tcPr>
          <w:p w14:paraId="4AA5680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Cut-off size of plankton size spectrum </w:t>
            </w:r>
          </w:p>
        </w:tc>
        <w:tc>
          <w:tcPr>
            <w:tcW w:w="0" w:type="auto"/>
          </w:tcPr>
          <w:p w14:paraId="4694DCC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eastAsiaTheme="minorEastAsia" w:hAnsi="Cambria Math"/>
                    <w:sz w:val="22"/>
                    <w:szCs w:val="22"/>
                  </w:rPr>
                  <m:t>1</m:t>
                </m:r>
              </m:oMath>
            </m:oMathPara>
          </w:p>
        </w:tc>
        <w:tc>
          <w:tcPr>
            <w:tcW w:w="0" w:type="auto"/>
          </w:tcPr>
          <w:p w14:paraId="57E6073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2EAFDC2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r w:rsidR="00C77676" w:rsidRPr="00C027CA" w14:paraId="3A6F14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608DC1D" w14:textId="77777777" w:rsidR="005C3B0B" w:rsidRPr="00C027CA" w:rsidRDefault="00B13CF2" w:rsidP="00760BDA">
            <w:pPr>
              <w:spacing w:line="360" w:lineRule="auto"/>
              <w:contextualSpacing/>
              <w:jc w:val="both"/>
              <w:rPr>
                <w:rFonts w:eastAsia="Times New Roman"/>
                <w:b w:val="0"/>
                <w:iCs/>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cut,B</m:t>
                    </m:r>
                  </m:sub>
                </m:sSub>
              </m:oMath>
            </m:oMathPara>
          </w:p>
        </w:tc>
        <w:tc>
          <w:tcPr>
            <w:tcW w:w="0" w:type="auto"/>
          </w:tcPr>
          <w:p w14:paraId="5CF124D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Cut-off size of benthic size spectrum </w:t>
            </w:r>
          </w:p>
        </w:tc>
        <w:tc>
          <w:tcPr>
            <w:tcW w:w="0" w:type="auto"/>
          </w:tcPr>
          <w:p w14:paraId="2A1E4F6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left"/>
              </m:oMathParaPr>
              <m:oMath>
                <m:r>
                  <w:rPr>
                    <w:rFonts w:ascii="Cambria Math" w:hAnsi="Cambria Math"/>
                    <w:sz w:val="22"/>
                    <w:szCs w:val="22"/>
                  </w:rPr>
                  <m:t>20</m:t>
                </m:r>
              </m:oMath>
            </m:oMathPara>
          </w:p>
        </w:tc>
        <w:tc>
          <w:tcPr>
            <w:tcW w:w="0" w:type="auto"/>
          </w:tcPr>
          <w:p w14:paraId="67D9D8D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left"/>
              </m:oMathParaPr>
              <m:oMath>
                <m:r>
                  <m:rPr>
                    <m:sty m:val="p"/>
                  </m:rPr>
                  <w:rPr>
                    <w:rFonts w:ascii="Cambria Math" w:hAnsi="Cambria Math"/>
                    <w:sz w:val="22"/>
                    <w:szCs w:val="22"/>
                  </w:rPr>
                  <m:t>g</m:t>
                </m:r>
              </m:oMath>
            </m:oMathPara>
          </w:p>
        </w:tc>
        <w:tc>
          <w:tcPr>
            <w:tcW w:w="0" w:type="auto"/>
          </w:tcPr>
          <w:p w14:paraId="2B60C4E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bl>
    <w:p w14:paraId="527E0DD5" w14:textId="77777777" w:rsidR="005C3B0B" w:rsidRPr="00A658A5" w:rsidRDefault="005C3B0B" w:rsidP="00760BDA">
      <w:pPr>
        <w:spacing w:line="360" w:lineRule="auto"/>
        <w:contextualSpacing/>
        <w:jc w:val="both"/>
      </w:pPr>
    </w:p>
    <w:p w14:paraId="48E58CE7" w14:textId="77777777" w:rsidR="005C3B0B" w:rsidRPr="00A658A5" w:rsidRDefault="005C3B0B" w:rsidP="00760BDA">
      <w:pPr>
        <w:spacing w:line="360" w:lineRule="auto"/>
        <w:contextualSpacing/>
        <w:jc w:val="both"/>
      </w:pPr>
    </w:p>
    <w:p w14:paraId="295B62AB" w14:textId="77777777" w:rsidR="005C3B0B" w:rsidRPr="00A658A5" w:rsidRDefault="005C3B0B" w:rsidP="00760BDA">
      <w:pPr>
        <w:spacing w:line="360" w:lineRule="auto"/>
        <w:contextualSpacing/>
        <w:jc w:val="both"/>
      </w:pPr>
    </w:p>
    <w:p w14:paraId="31E5116A" w14:textId="77777777" w:rsidR="005C3B0B" w:rsidRPr="00A658A5" w:rsidRDefault="005C3B0B" w:rsidP="00760BDA">
      <w:pPr>
        <w:spacing w:line="360" w:lineRule="auto"/>
        <w:contextualSpacing/>
        <w:jc w:val="both"/>
      </w:pPr>
    </w:p>
    <w:p w14:paraId="3BD9DA70" w14:textId="77777777" w:rsidR="005C3B0B" w:rsidRPr="00A658A5" w:rsidRDefault="005C3B0B" w:rsidP="00760BDA">
      <w:pPr>
        <w:spacing w:line="360" w:lineRule="auto"/>
        <w:contextualSpacing/>
        <w:jc w:val="both"/>
      </w:pPr>
    </w:p>
    <w:p w14:paraId="2F9DC6BE" w14:textId="77777777" w:rsidR="005C3B0B" w:rsidRPr="00A658A5" w:rsidRDefault="005C3B0B" w:rsidP="00760BDA">
      <w:pPr>
        <w:spacing w:line="360" w:lineRule="auto"/>
        <w:contextualSpacing/>
        <w:jc w:val="both"/>
      </w:pPr>
    </w:p>
    <w:p w14:paraId="52DE2883" w14:textId="4664FE15" w:rsidR="005C3B0B" w:rsidRDefault="005C3B0B" w:rsidP="00760BDA">
      <w:pPr>
        <w:spacing w:line="360" w:lineRule="auto"/>
        <w:contextualSpacing/>
        <w:jc w:val="both"/>
      </w:pPr>
    </w:p>
    <w:p w14:paraId="2B745342" w14:textId="1BAA195F" w:rsidR="00617B45" w:rsidRDefault="00617B45" w:rsidP="00760BDA">
      <w:pPr>
        <w:spacing w:line="360" w:lineRule="auto"/>
        <w:contextualSpacing/>
        <w:jc w:val="both"/>
      </w:pPr>
    </w:p>
    <w:p w14:paraId="679C0C68" w14:textId="319350A0" w:rsidR="00617B45" w:rsidRDefault="00617B45" w:rsidP="00760BDA">
      <w:pPr>
        <w:spacing w:line="360" w:lineRule="auto"/>
        <w:contextualSpacing/>
        <w:jc w:val="both"/>
      </w:pPr>
    </w:p>
    <w:p w14:paraId="7B88C5FD" w14:textId="659DC394" w:rsidR="00617B45" w:rsidRDefault="00617B45" w:rsidP="00760BDA">
      <w:pPr>
        <w:spacing w:line="360" w:lineRule="auto"/>
        <w:contextualSpacing/>
        <w:jc w:val="both"/>
      </w:pPr>
    </w:p>
    <w:p w14:paraId="7064F049" w14:textId="47FF6B41" w:rsidR="00617B45" w:rsidRDefault="00617B45" w:rsidP="00760BDA">
      <w:pPr>
        <w:spacing w:line="360" w:lineRule="auto"/>
        <w:contextualSpacing/>
        <w:jc w:val="both"/>
      </w:pPr>
    </w:p>
    <w:p w14:paraId="2CC279C0" w14:textId="5807B3B4" w:rsidR="00617B45" w:rsidRDefault="00617B45" w:rsidP="00760BDA">
      <w:pPr>
        <w:spacing w:line="360" w:lineRule="auto"/>
        <w:contextualSpacing/>
        <w:jc w:val="both"/>
      </w:pPr>
    </w:p>
    <w:p w14:paraId="3A85E9E4" w14:textId="3EE973F8" w:rsidR="00617B45" w:rsidRDefault="00617B45" w:rsidP="00760BDA">
      <w:pPr>
        <w:spacing w:line="360" w:lineRule="auto"/>
        <w:contextualSpacing/>
        <w:jc w:val="both"/>
      </w:pPr>
    </w:p>
    <w:p w14:paraId="1D12C17F" w14:textId="08B122C1" w:rsidR="00617B45" w:rsidRDefault="00617B45" w:rsidP="00760BDA">
      <w:pPr>
        <w:spacing w:line="360" w:lineRule="auto"/>
        <w:contextualSpacing/>
        <w:jc w:val="both"/>
      </w:pPr>
    </w:p>
    <w:p w14:paraId="0E8F080E" w14:textId="00F5A90B" w:rsidR="00617B45" w:rsidRDefault="00617B45" w:rsidP="00760BDA">
      <w:pPr>
        <w:spacing w:line="360" w:lineRule="auto"/>
        <w:contextualSpacing/>
        <w:jc w:val="both"/>
      </w:pPr>
    </w:p>
    <w:p w14:paraId="0BCEC334"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4" w:name="_Toc75869556"/>
      <w:r w:rsidRPr="00A658A5">
        <w:rPr>
          <w:rFonts w:ascii="Times New Roman" w:hAnsi="Times New Roman" w:cs="Times New Roman"/>
          <w:color w:val="auto"/>
          <w:sz w:val="28"/>
          <w:szCs w:val="28"/>
        </w:rPr>
        <w:lastRenderedPageBreak/>
        <w:t>Temperature dependence</w:t>
      </w:r>
      <w:bookmarkEnd w:id="4"/>
    </w:p>
    <w:p w14:paraId="44C92A87" w14:textId="4529CD5A" w:rsidR="005C3B0B" w:rsidRPr="00A658A5" w:rsidRDefault="005C3B0B" w:rsidP="00760BDA">
      <w:pPr>
        <w:pStyle w:val="Caption"/>
        <w:keepNext/>
        <w:spacing w:line="360" w:lineRule="auto"/>
        <w:contextualSpacing/>
        <w:rPr>
          <w:color w:val="auto"/>
          <w:sz w:val="22"/>
          <w:szCs w:val="22"/>
          <w:lang w:val="en-GB"/>
        </w:rPr>
      </w:pPr>
      <w:r w:rsidRPr="00A658A5">
        <w:rPr>
          <w:color w:val="auto"/>
          <w:sz w:val="22"/>
          <w:szCs w:val="22"/>
          <w:lang w:val="en-GB"/>
        </w:rPr>
        <w:t>Table S</w:t>
      </w:r>
      <w:r w:rsidR="002A0198">
        <w:rPr>
          <w:color w:val="auto"/>
          <w:sz w:val="22"/>
          <w:szCs w:val="22"/>
          <w:lang w:val="en-GB"/>
        </w:rPr>
        <w:t>3</w:t>
      </w:r>
      <w:r w:rsidRPr="00A658A5">
        <w:rPr>
          <w:color w:val="auto"/>
          <w:sz w:val="22"/>
          <w:szCs w:val="22"/>
          <w:lang w:val="en-GB"/>
        </w:rPr>
        <w:t xml:space="preserve"> Parameters of distributions describing activation energies of temperature-dependent rates in the size spectrum model. See Figure S11 for 200 random draws from these normal distributions that were used as input in projections. </w:t>
      </w:r>
    </w:p>
    <w:tbl>
      <w:tblPr>
        <w:tblStyle w:val="GridTable1Light-Accent3"/>
        <w:tblW w:w="9016" w:type="dxa"/>
        <w:tblLayout w:type="fixed"/>
        <w:tblLook w:val="04A0" w:firstRow="1" w:lastRow="0" w:firstColumn="1" w:lastColumn="0" w:noHBand="0" w:noVBand="1"/>
      </w:tblPr>
      <w:tblGrid>
        <w:gridCol w:w="1179"/>
        <w:gridCol w:w="1793"/>
        <w:gridCol w:w="2552"/>
        <w:gridCol w:w="3492"/>
      </w:tblGrid>
      <w:tr w:rsidR="00C77676" w:rsidRPr="00C027CA" w14:paraId="25B3802A"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dxa"/>
          </w:tcPr>
          <w:p w14:paraId="74714B1E" w14:textId="77777777" w:rsidR="005C3B0B" w:rsidRPr="00C027CA" w:rsidRDefault="005C3B0B" w:rsidP="00760BDA">
            <w:pPr>
              <w:spacing w:line="360" w:lineRule="auto"/>
              <w:contextualSpacing/>
              <w:jc w:val="both"/>
              <w:rPr>
                <w:b w:val="0"/>
                <w:sz w:val="22"/>
                <w:szCs w:val="22"/>
              </w:rPr>
            </w:pPr>
            <w:r w:rsidRPr="00C027CA">
              <w:rPr>
                <w:sz w:val="22"/>
                <w:szCs w:val="22"/>
              </w:rPr>
              <w:t>Symbol</w:t>
            </w:r>
          </w:p>
        </w:tc>
        <w:tc>
          <w:tcPr>
            <w:tcW w:w="1793" w:type="dxa"/>
          </w:tcPr>
          <w:p w14:paraId="395BA214"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Rate</w:t>
            </w:r>
          </w:p>
        </w:tc>
        <w:tc>
          <w:tcPr>
            <w:tcW w:w="2552" w:type="dxa"/>
          </w:tcPr>
          <w:p w14:paraId="0B65AD90"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Distribution (mean, s.d)</w:t>
            </w:r>
          </w:p>
        </w:tc>
        <w:tc>
          <w:tcPr>
            <w:tcW w:w="3492" w:type="dxa"/>
          </w:tcPr>
          <w:p w14:paraId="56C02E0D"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Source</w:t>
            </w:r>
          </w:p>
        </w:tc>
      </w:tr>
      <w:tr w:rsidR="00C77676" w:rsidRPr="00C027CA" w14:paraId="47CBA134"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7248A41F" w14:textId="77777777" w:rsidR="005C3B0B" w:rsidRPr="00C027CA" w:rsidRDefault="00B13CF2"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 xml:space="preserve"> met</m:t>
                    </m:r>
                  </m:sub>
                </m:sSub>
              </m:oMath>
            </m:oMathPara>
          </w:p>
        </w:tc>
        <w:tc>
          <w:tcPr>
            <w:tcW w:w="1793" w:type="dxa"/>
          </w:tcPr>
          <w:p w14:paraId="67CD236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Metabolism</w:t>
            </w:r>
          </w:p>
        </w:tc>
        <w:tc>
          <w:tcPr>
            <w:tcW w:w="2552" w:type="dxa"/>
          </w:tcPr>
          <w:p w14:paraId="43D54200" w14:textId="6F0173DB"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Normal(0.62, 0.025)</m:t>
                </m:r>
              </m:oMath>
            </m:oMathPara>
          </w:p>
        </w:tc>
        <w:tc>
          <w:tcPr>
            <w:tcW w:w="3492" w:type="dxa"/>
          </w:tcPr>
          <w:p w14:paraId="6751CA52" w14:textId="1ADFFC7F" w:rsidR="005C3B0B" w:rsidRPr="00C027CA" w:rsidRDefault="005C3B0B"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002E5D14">
              <w:rPr>
                <w:sz w:val="22"/>
                <w:szCs w:val="22"/>
              </w:rPr>
              <w:instrText xml:space="preserve"> ADDIN ZOTERO_ITEM CSL_CITATION {"citationID":"acDRCUVC","properties":{"formattedCitation":"(Lindmark {\\i{}et al.} 2022)","plainCitation":"(Lindmark et al. 2022)","noteIndex":0},"citationItems":[{"id":3306,"uris":["http://zotero.org/users/6116610/items/BPUQHW32"],"itemData":{"id":3306,"type":"article-journal","abstract":"According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Pr="00C027CA">
              <w:rPr>
                <w:sz w:val="22"/>
                <w:szCs w:val="22"/>
              </w:rPr>
              <w:fldChar w:fldCharType="separate"/>
            </w:r>
            <w:r w:rsidR="002E5D14" w:rsidRPr="002E5D14">
              <w:rPr>
                <w:sz w:val="22"/>
                <w:lang w:val="en-GB"/>
              </w:rPr>
              <w:t xml:space="preserve">(Lindmark </w:t>
            </w:r>
            <w:r w:rsidR="002E5D14" w:rsidRPr="002E5D14">
              <w:rPr>
                <w:i/>
                <w:iCs/>
                <w:sz w:val="22"/>
                <w:lang w:val="en-GB"/>
              </w:rPr>
              <w:t>et al.</w:t>
            </w:r>
            <w:r w:rsidR="002E5D14" w:rsidRPr="002E5D14">
              <w:rPr>
                <w:sz w:val="22"/>
                <w:lang w:val="en-GB"/>
              </w:rPr>
              <w:t xml:space="preserve"> 2022)</w:t>
            </w:r>
            <w:r w:rsidRPr="00C027CA">
              <w:rPr>
                <w:sz w:val="22"/>
                <w:szCs w:val="22"/>
              </w:rPr>
              <w:fldChar w:fldCharType="end"/>
            </w:r>
          </w:p>
        </w:tc>
      </w:tr>
      <w:tr w:rsidR="00C77676" w:rsidRPr="00C027CA" w14:paraId="125714A1"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69F41391" w14:textId="77777777" w:rsidR="005C3B0B" w:rsidRPr="00C027CA" w:rsidRDefault="00B13CF2"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mor</m:t>
                    </m:r>
                  </m:sub>
                </m:sSub>
              </m:oMath>
            </m:oMathPara>
          </w:p>
        </w:tc>
        <w:tc>
          <w:tcPr>
            <w:tcW w:w="1793" w:type="dxa"/>
          </w:tcPr>
          <w:p w14:paraId="539F8D0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Background mortality</w:t>
            </w:r>
          </w:p>
        </w:tc>
        <w:tc>
          <w:tcPr>
            <w:tcW w:w="2552" w:type="dxa"/>
          </w:tcPr>
          <w:p w14:paraId="2AF2EA5D" w14:textId="4A393821"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Normal(0.62, 0.025)</m:t>
                </m:r>
              </m:oMath>
            </m:oMathPara>
          </w:p>
        </w:tc>
        <w:tc>
          <w:tcPr>
            <w:tcW w:w="3492" w:type="dxa"/>
          </w:tcPr>
          <w:p w14:paraId="4415C5EE" w14:textId="00065618" w:rsidR="005C3B0B" w:rsidRPr="00C027CA" w:rsidRDefault="005C3B0B"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002E5D14">
              <w:rPr>
                <w:sz w:val="22"/>
                <w:szCs w:val="22"/>
              </w:rPr>
              <w:instrText xml:space="preserve"> ADDIN ZOTERO_ITEM CSL_CITATION {"citationID":"UNa0x1hc","properties":{"formattedCitation":"(Pauly 1980; Brown {\\i{}et al.} 2004; Lindmark {\\i{}et al.} 2022)","plainCitation":"(Pauly 1980; Brown et al. 2004; Lindmark et al. 2022)","noteIndex":0},"citationItems":[{"id":877,"uris":["http://zotero.org/users/6116610/items/77LBQAKL"],"itemData":{"id":877,"type":"article-journal","container-title":"ICES Journal of Marine Science","DOI":"10.1093/icesjms/39.2.175","ISSN":"1054-3139, 1095-9289","issue":"2","language":"en","page":"175-192","source":"Crossref","title":"On the interrelationships between natural mortality, growth parameters, and mean environmental temperature in 175 fish stocks","volume":"39","author":[{"family":"Pauly","given":"D."}],"issued":{"date-parts":[["1980",12,1]]},"citation-key":"paulyInterrelationshipsNaturalMortality1980"}},{"id":914,"uris":["http://zotero.org/users/6116610/items/D84IXDI8"],"itemData":{"id":914,"type":"article-journal","abstract":"Metabolism provides a basis for using ﬁrst principles of physics, chemistry, and biology to link the biology of individual organisms to the ecology of populations, communities, and ecosystems. Metabolic rate, the rate at which organisms take up, transform, and expend energy and materials, is the most fundamental biological rate. We have developed a quantitative theory for how metabolic rate varies with body size and temperature. Metabolic theory predicts how metabolic rate, by setting the rates of resource uptake from the environment and resource allocation to survival, growth, and reproduction, controls ecological processes at all levels of organization from individuals to the biosphere. Examples include: (1) life history attributes, including development rate, mortality rate, age at maturity, life span, and population growth rate; (2) population interactions, including carrying capacity, rates of competition and predation, and patterns of species diversity; and (3) ecosystem processes, including rates of biomass production and respiration and patterns of trophic dynamics.","container-title":"Ecology","DOI":"10.1890/03-9000","ISSN":"0012-9658","issue":"7","journalAbbreviation":"Ecology","language":"en","page":"1771-1789","source":"DOI.org (Crossref)","title":"Toward a metabolic theory of ecology","volume":"85","author":[{"family":"Brown","given":"James H."},{"family":"Gillooly","given":"James F."},{"family":"Allen","given":"Andrew P."},{"family":"Savage","given":"Van M."},{"family":"West","given":"Geoffrey B."}],"issued":{"date-parts":[["2004",7]]},"citation-key":"brownMetabolicTheoryEcology2004"}},{"id":3306,"uris":["http://zotero.org/users/6116610/items/BPUQHW32"],"itemData":{"id":3306,"type":"article-journal","abstract":"According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Pr="00C027CA">
              <w:rPr>
                <w:sz w:val="22"/>
                <w:szCs w:val="22"/>
              </w:rPr>
              <w:fldChar w:fldCharType="separate"/>
            </w:r>
            <w:r w:rsidR="002E5D14" w:rsidRPr="002E5D14">
              <w:rPr>
                <w:sz w:val="22"/>
                <w:lang w:val="en-GB"/>
              </w:rPr>
              <w:t xml:space="preserve">(Pauly 1980; Brown </w:t>
            </w:r>
            <w:r w:rsidR="002E5D14" w:rsidRPr="002E5D14">
              <w:rPr>
                <w:i/>
                <w:iCs/>
                <w:sz w:val="22"/>
                <w:lang w:val="en-GB"/>
              </w:rPr>
              <w:t>et al.</w:t>
            </w:r>
            <w:r w:rsidR="002E5D14" w:rsidRPr="002E5D14">
              <w:rPr>
                <w:sz w:val="22"/>
                <w:lang w:val="en-GB"/>
              </w:rPr>
              <w:t xml:space="preserve"> 2004; Lindmark </w:t>
            </w:r>
            <w:r w:rsidR="002E5D14" w:rsidRPr="002E5D14">
              <w:rPr>
                <w:i/>
                <w:iCs/>
                <w:sz w:val="22"/>
                <w:lang w:val="en-GB"/>
              </w:rPr>
              <w:t>et al.</w:t>
            </w:r>
            <w:r w:rsidR="002E5D14" w:rsidRPr="002E5D14">
              <w:rPr>
                <w:sz w:val="22"/>
                <w:lang w:val="en-GB"/>
              </w:rPr>
              <w:t xml:space="preserve"> 2022)</w:t>
            </w:r>
            <w:r w:rsidRPr="00C027CA">
              <w:rPr>
                <w:sz w:val="22"/>
                <w:szCs w:val="22"/>
              </w:rPr>
              <w:fldChar w:fldCharType="end"/>
            </w:r>
          </w:p>
        </w:tc>
      </w:tr>
      <w:tr w:rsidR="00C77676" w:rsidRPr="00C027CA" w14:paraId="475CDF22"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31BF1DCF" w14:textId="77777777" w:rsidR="005C3B0B" w:rsidRPr="00C027CA" w:rsidRDefault="00B13CF2"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int</m:t>
                    </m:r>
                  </m:sub>
                </m:sSub>
              </m:oMath>
            </m:oMathPara>
          </w:p>
        </w:tc>
        <w:tc>
          <w:tcPr>
            <w:tcW w:w="1793" w:type="dxa"/>
          </w:tcPr>
          <w:p w14:paraId="0BE766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Maximum consumption;  Search volume*</w:t>
            </w:r>
          </w:p>
        </w:tc>
        <w:tc>
          <w:tcPr>
            <w:tcW w:w="2552" w:type="dxa"/>
          </w:tcPr>
          <w:p w14:paraId="474CFC47" w14:textId="102B161E"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Normal(0.69, 0.078)</m:t>
                </m:r>
              </m:oMath>
            </m:oMathPara>
          </w:p>
        </w:tc>
        <w:tc>
          <w:tcPr>
            <w:tcW w:w="3492" w:type="dxa"/>
          </w:tcPr>
          <w:p w14:paraId="6F771B3D" w14:textId="259B22DE" w:rsidR="005C3B0B" w:rsidRPr="00C027CA" w:rsidRDefault="002E5D14"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Pr>
                <w:sz w:val="22"/>
                <w:szCs w:val="22"/>
              </w:rPr>
              <w:instrText xml:space="preserve"> ADDIN ZOTERO_ITEM CSL_CITATION {"citationID":"W1t4sktb","properties":{"formattedCitation":"(Lindmark {\\i{}et al.} 2022)","plainCitation":"(Lindmark et al. 2022)","noteIndex":0},"citationItems":[{"id":3306,"uris":["http://zotero.org/users/6116610/items/BPUQHW32"],"itemData":{"id":3306,"type":"article-journal","abstract":"According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Pr="00C027CA">
              <w:rPr>
                <w:sz w:val="22"/>
                <w:szCs w:val="22"/>
              </w:rPr>
              <w:fldChar w:fldCharType="separate"/>
            </w:r>
            <w:r w:rsidRPr="002E5D14">
              <w:rPr>
                <w:sz w:val="22"/>
                <w:lang w:val="en-GB"/>
              </w:rPr>
              <w:t xml:space="preserve">(Lindmark </w:t>
            </w:r>
            <w:r w:rsidRPr="002E5D14">
              <w:rPr>
                <w:i/>
                <w:iCs/>
                <w:sz w:val="22"/>
                <w:lang w:val="en-GB"/>
              </w:rPr>
              <w:t>et al.</w:t>
            </w:r>
            <w:r w:rsidRPr="002E5D14">
              <w:rPr>
                <w:sz w:val="22"/>
                <w:lang w:val="en-GB"/>
              </w:rPr>
              <w:t xml:space="preserve"> 2022)</w:t>
            </w:r>
            <w:r w:rsidRPr="00C027CA">
              <w:rPr>
                <w:sz w:val="22"/>
                <w:szCs w:val="22"/>
              </w:rPr>
              <w:fldChar w:fldCharType="end"/>
            </w:r>
          </w:p>
        </w:tc>
      </w:tr>
      <w:tr w:rsidR="00C77676" w:rsidRPr="00C027CA" w14:paraId="22B04FCD"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2D76F588" w14:textId="7A6256DD" w:rsidR="005C3B0B" w:rsidRPr="00C027CA" w:rsidRDefault="00B13CF2" w:rsidP="00760BDA">
            <w:pPr>
              <w:pStyle w:val="Default"/>
              <w:spacing w:line="360" w:lineRule="auto"/>
              <w:contextualSpacing/>
              <w:rPr>
                <w:rFonts w:ascii="Times New Roman" w:eastAsia="Times New Roman" w:hAnsi="Times New Roman" w:cs="Times New Roman"/>
                <w:b w:val="0"/>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gro</m:t>
                    </m:r>
                  </m:sub>
                </m:sSub>
              </m:oMath>
            </m:oMathPara>
          </w:p>
        </w:tc>
        <w:tc>
          <w:tcPr>
            <w:tcW w:w="1793" w:type="dxa"/>
          </w:tcPr>
          <w:p w14:paraId="47B635F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Background resources regeneration rate</w:t>
            </w:r>
          </w:p>
        </w:tc>
        <w:tc>
          <w:tcPr>
            <w:tcW w:w="2552" w:type="dxa"/>
          </w:tcPr>
          <w:p w14:paraId="3440996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m:oMathPara>
              <m:oMath>
                <m:r>
                  <w:rPr>
                    <w:rFonts w:ascii="Cambria Math" w:hAnsi="Cambria Math"/>
                    <w:sz w:val="22"/>
                    <w:szCs w:val="22"/>
                  </w:rPr>
                  <m:t>Normal(0.73, 0.1)</m:t>
                </m:r>
              </m:oMath>
            </m:oMathPara>
          </w:p>
        </w:tc>
        <w:tc>
          <w:tcPr>
            <w:tcW w:w="3492" w:type="dxa"/>
          </w:tcPr>
          <w:p w14:paraId="2D4A9E86" w14:textId="26280D12"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Experimental d</w:t>
            </w:r>
            <w:r w:rsidRPr="00C027CA">
              <w:rPr>
                <w:iCs/>
                <w:sz w:val="22"/>
                <w:szCs w:val="22"/>
                <w:lang w:val="en-GB"/>
              </w:rPr>
              <w:t xml:space="preserve">ata from Savage </w:t>
            </w:r>
            <w:r w:rsidRPr="00C027CA">
              <w:rPr>
                <w:i/>
                <w:sz w:val="22"/>
                <w:szCs w:val="22"/>
                <w:lang w:val="en-GB"/>
              </w:rPr>
              <w:t>et al.</w:t>
            </w:r>
            <w:r w:rsidRPr="00C027CA">
              <w:rPr>
                <w:iCs/>
                <w:sz w:val="22"/>
                <w:szCs w:val="22"/>
                <w:lang w:val="en-GB"/>
              </w:rPr>
              <w:t xml:space="preserve"> </w:t>
            </w:r>
            <w:r w:rsidRPr="00C027CA">
              <w:rPr>
                <w:iCs/>
                <w:sz w:val="22"/>
                <w:szCs w:val="22"/>
              </w:rPr>
              <w:fldChar w:fldCharType="begin"/>
            </w:r>
            <w:r w:rsidR="002E5D14">
              <w:rPr>
                <w:iCs/>
                <w:sz w:val="22"/>
                <w:szCs w:val="22"/>
                <w:lang w:val="en-GB"/>
              </w:rPr>
              <w:instrText xml:space="preserve"> ADDIN ZOTERO_ITEM CSL_CITATION {"citationID":"SqemmnTk","properties":{"formattedCitation":"(2004)","plainCitation":"(2004)","noteIndex":0},"citationItems":[{"id":949,"uris":["http://zotero.org/users/6116610/items/KN2UI2L6"],"itemData":{"id":949,"type":"article-journal","abstract":"For at least 200 years, since the time of Malthus, population growth has been recognized as providing a critical link between the performance of individual organisms and the ecology and evolution of species. We present a theory that shows how the intrinsic rate of exponential population growth, rmaxrmaxr_{\\mathrm{max}\\,}, and the carrying capacity, K, depend on individual metabolic rate and resource supply rate. To do this, we construct equations for the metabolic rates of entire populations by summing over individuals, and then we combine these population‐level equations with Malthusian growth. Thus, the theory makes explicit the relationship between rates of resource supply in the environment and rates of production of new biomass and individuals. These individual‐level and population‐level processes are inextricably linked because metabolism sets both the demand for environmental resources and the resource allocation to survival, growth, and reproduction. We use the theory to make explicit how and why rmaxrmaxr_{\\mathrm{max}\\,} exhibits its characteristic dependence on body size and temperature. Data for aerobic eukaryotes, including algae, protists, insects, zooplankton, fishes, and mammals, support these predicted scalings for rmaxrmaxr_{\\mathrm{max}\\,}. The metabolic flux of energy and materials also dictates that the carrying capacity or equilibrium density of populations should decrease with increasing body size and increasing temperature. Finally, we argue that body mass and body temperature, through their effects on metabolic rate, can explain most of the variation in fecundity and mortality rates. Data for marine fishes in the field support these predictions for instantaneous rates of mortality. This theory links the rates of metabolism and resource use of individuals to life‐history attributes and population dynamics for a broad assortment of organisms, from unicellular organisms to mammals.","container-title":"The American Naturalist","DOI":"10.1086/381872","ISSN":"0003-0147","issue":"3","journalAbbreviation":"The American Naturalist","page":"429-441","source":"journals.uchicago.edu (Atypon)","title":"Effects of Body Size and Temperature on Population Growth.","volume":"163","author":[{"family":"Savage","given":"Van M."},{"family":"Gillooly","given":"James F."},{"family":"Brown","given":"James H."},{"family":"West","given":"Geoffrey B."},{"family":"Charnov","given":"Eric L."}],"issued":{"date-parts":[["2004",3,1]]},"citation-key":"savageEffectsBodySize2004"},"suppress-author":true}],"schema":"https://github.com/citation-style-language/schema/raw/master/csl-citation.json"} </w:instrText>
            </w:r>
            <w:r w:rsidRPr="00C027CA">
              <w:rPr>
                <w:iCs/>
                <w:sz w:val="22"/>
                <w:szCs w:val="22"/>
              </w:rPr>
              <w:fldChar w:fldCharType="separate"/>
            </w:r>
            <w:r w:rsidRPr="00C027CA">
              <w:rPr>
                <w:iCs/>
                <w:noProof/>
                <w:sz w:val="22"/>
                <w:szCs w:val="22"/>
              </w:rPr>
              <w:t>(2004)</w:t>
            </w:r>
            <w:r w:rsidRPr="00C027CA">
              <w:rPr>
                <w:iCs/>
                <w:sz w:val="22"/>
                <w:szCs w:val="22"/>
              </w:rPr>
              <w:fldChar w:fldCharType="end"/>
            </w:r>
            <w:r w:rsidRPr="00C027CA">
              <w:rPr>
                <w:iCs/>
                <w:sz w:val="22"/>
                <w:szCs w:val="22"/>
              </w:rPr>
              <w:t xml:space="preserve"> for algae, phyto- and zooplankton. </w:t>
            </w:r>
          </w:p>
        </w:tc>
      </w:tr>
      <w:tr w:rsidR="002A184D" w:rsidRPr="00C027CA" w14:paraId="5EE76907"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60F22C22" w14:textId="7FB2C162" w:rsidR="002A184D" w:rsidRPr="002A184D" w:rsidRDefault="00B13CF2" w:rsidP="00760BDA">
            <w:pPr>
              <w:pStyle w:val="Default"/>
              <w:spacing w:line="360" w:lineRule="auto"/>
              <w:contextualSpacing/>
              <w:rPr>
                <w:rFonts w:ascii="Times New Roman" w:eastAsia="Times New Roman" w:hAnsi="Times New Roman" w:cs="Times New Roman"/>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car</m:t>
                    </m:r>
                  </m:sub>
                </m:sSub>
              </m:oMath>
            </m:oMathPara>
          </w:p>
        </w:tc>
        <w:tc>
          <w:tcPr>
            <w:tcW w:w="1793" w:type="dxa"/>
          </w:tcPr>
          <w:p w14:paraId="45940B30" w14:textId="4C247FE9"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Background resource carrying capacity</w:t>
            </w:r>
          </w:p>
        </w:tc>
        <w:tc>
          <w:tcPr>
            <w:tcW w:w="2552" w:type="dxa"/>
          </w:tcPr>
          <w:p w14:paraId="5B7E0D6C" w14:textId="0BEE4964"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hAnsi="Cambria Math"/>
                    <w:sz w:val="22"/>
                    <w:szCs w:val="22"/>
                  </w:rPr>
                  <m:t>Normal(-0.8, 0.1)</m:t>
                </m:r>
              </m:oMath>
            </m:oMathPara>
          </w:p>
        </w:tc>
        <w:tc>
          <w:tcPr>
            <w:tcW w:w="3492" w:type="dxa"/>
          </w:tcPr>
          <w:p w14:paraId="0DD5D209" w14:textId="0D5F3531"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 xml:space="preserve">Assumed to be </w:t>
            </w:r>
            <m:oMath>
              <m:r>
                <w:rPr>
                  <w:rFonts w:ascii="Cambria Math" w:hAnsi="Cambria Math"/>
                  <w:sz w:val="22"/>
                  <w:szCs w:val="22"/>
                  <w:lang w:val="en-GB"/>
                </w:rPr>
                <m:t>-</m:t>
              </m:r>
              <m:sSub>
                <m:sSubPr>
                  <m:ctrlPr>
                    <w:rPr>
                      <w:rFonts w:ascii="Cambria Math" w:hAnsi="Cambria Math"/>
                      <w:i/>
                      <w:iCs/>
                      <w:sz w:val="22"/>
                      <w:szCs w:val="22"/>
                    </w:rPr>
                  </m:ctrlPr>
                </m:sSubPr>
                <m:e>
                  <m:r>
                    <m:rPr>
                      <m:sty m:val="bi"/>
                    </m:rPr>
                    <w:rPr>
                      <w:rFonts w:ascii="Cambria Math" w:hAnsi="Cambria Math"/>
                      <w:sz w:val="22"/>
                      <w:szCs w:val="22"/>
                    </w:rPr>
                    <m:t>A</m:t>
                  </m:r>
                </m:e>
                <m:sub>
                  <m:r>
                    <m:rPr>
                      <m:sty m:val="bi"/>
                    </m:rPr>
                    <w:rPr>
                      <w:rFonts w:ascii="Cambria Math" w:hAnsi="Cambria Math"/>
                      <w:sz w:val="22"/>
                      <w:szCs w:val="22"/>
                    </w:rPr>
                    <m:t>gro</m:t>
                  </m:r>
                </m:sub>
              </m:sSub>
            </m:oMath>
            <w:r w:rsidRPr="00C027CA">
              <w:rPr>
                <w:rFonts w:eastAsiaTheme="minorEastAsia"/>
                <w:iCs/>
                <w:sz w:val="22"/>
                <w:szCs w:val="22"/>
              </w:rPr>
              <w:t>, based on metabolic arguments and constant resources</w:t>
            </w:r>
            <w:r w:rsidRPr="00C027CA">
              <w:rPr>
                <w:iCs/>
                <w:sz w:val="22"/>
                <w:szCs w:val="22"/>
              </w:rPr>
              <w:t xml:space="preserve"> </w:t>
            </w:r>
            <w:r w:rsidRPr="00C027CA">
              <w:rPr>
                <w:iCs/>
                <w:sz w:val="22"/>
                <w:szCs w:val="22"/>
              </w:rPr>
              <w:fldChar w:fldCharType="begin"/>
            </w:r>
            <w:r w:rsidR="002E5D14">
              <w:rPr>
                <w:iCs/>
                <w:sz w:val="22"/>
                <w:szCs w:val="22"/>
                <w:lang w:val="en-GB"/>
              </w:rPr>
              <w:instrText xml:space="preserve"> ADDIN ZOTERO_ITEM CSL_CITATION {"citationID":"SxPNPD1h","properties":{"formattedCitation":"(Savage {\\i{}et al.} 2004; Gilbert {\\i{}et al.} 2014; Bernhardt {\\i{}et al.} 2018)","plainCitation":"(Savage et al. 2004; Gilbert et al. 2014; Bernhardt et al. 2018)","noteIndex":0},"citationItems":[{"id":949,"uris":["http://zotero.org/users/6116610/items/KN2UI2L6"],"itemData":{"id":949,"type":"article-journal","abstract":"For at least 200 years, since the time of Malthus, population growth has been recognized as providing a critical link between the performance of individual organisms and the ecology and evolution of species. We present a theory that shows how the intrinsic rate of exponential population growth, rmaxrmaxr_{\\mathrm{max}\\,}, and the carrying capacity, K, depend on individual metabolic rate and resource supply rate. To do this, we construct equations for the metabolic rates of entire populations by summing over individuals, and then we combine these population‐level equations with Malthusian growth. Thus, the theory makes explicit the relationship between rates of resource supply in the environment and rates of production of new biomass and individuals. These individual‐level and population‐level processes are inextricably linked because metabolism sets both the demand for environmental resources and the resource allocation to survival, growth, and reproduction. We use the theory to make explicit how and why rmaxrmaxr_{\\mathrm{max}\\,} exhibits its characteristic dependence on body size and temperature. Data for aerobic eukaryotes, including algae, protists, insects, zooplankton, fishes, and mammals, support these predicted scalings for rmaxrmaxr_{\\mathrm{max}\\,}. The metabolic flux of energy and materials also dictates that the carrying capacity or equilibrium density of populations should decrease with increasing body size and increasing temperature. Finally, we argue that body mass and body temperature, through their effects on metabolic rate, can explain most of the variation in fecundity and mortality rates. Data for marine fishes in the field support these predictions for instantaneous rates of mortality. This theory links the rates of metabolism and resource use of individuals to life‐history attributes and population dynamics for a broad assortment of organisms, from unicellular organisms to mammals.","container-title":"The American Naturalist","DOI":"10.1086/381872","ISSN":"0003-0147","issue":"3","journalAbbreviation":"The American Naturalist","page":"429-441","source":"journals.uchicago.edu (Atypon)","title":"Effects of Body Size and Temperature on Population Growth.","volume":"163","author":[{"family":"Savage","given":"Van M."},{"family":"Gillooly","given":"James F."},{"family":"Brown","given":"James H."},{"family":"West","given":"Geoffrey B."},{"family":"Charnov","given":"Eric L."}],"issued":{"date-parts":[["2004",3,1]]},"citation-key":"savageEffectsBodySize2004"}},{"id":433,"uris":["http://zotero.org/users/6116610/items/RLHZ2SYU"],"itemData":{"id":433,"type":"article-journal","abstract":"Changing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I"}],"issued":{"date-parts":[["2014"]]},"citation-key":"gilbertBioenergeticFrameworkTemperature2014"}},{"id":14,"uris":["http://zotero.org/users/6116610/items/X5SB6ILE"],"itemData":{"id":14,"type":"article-journal","abstract":"The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I."}],"issued":{"date-parts":[["2018",10,22]]},"citation-key":"bernhardtMetabolicTheoryTemperatureSize2018"}}],"schema":"https://github.com/citation-style-language/schema/raw/master/csl-citation.json"} </w:instrText>
            </w:r>
            <w:r w:rsidRPr="00C027CA">
              <w:rPr>
                <w:iCs/>
                <w:sz w:val="22"/>
                <w:szCs w:val="22"/>
              </w:rPr>
              <w:fldChar w:fldCharType="separate"/>
            </w:r>
            <w:r w:rsidRPr="00C027CA">
              <w:rPr>
                <w:sz w:val="22"/>
                <w:szCs w:val="22"/>
                <w:lang w:val="en-GB"/>
              </w:rPr>
              <w:t xml:space="preserve">(Savage </w:t>
            </w:r>
            <w:r w:rsidRPr="00C027CA">
              <w:rPr>
                <w:i/>
                <w:iCs/>
                <w:sz w:val="22"/>
                <w:szCs w:val="22"/>
                <w:lang w:val="en-GB"/>
              </w:rPr>
              <w:t>et al.</w:t>
            </w:r>
            <w:r w:rsidRPr="00C027CA">
              <w:rPr>
                <w:sz w:val="22"/>
                <w:szCs w:val="22"/>
                <w:lang w:val="en-GB"/>
              </w:rPr>
              <w:t xml:space="preserve"> 2004; Gilbert </w:t>
            </w:r>
            <w:r w:rsidRPr="00C027CA">
              <w:rPr>
                <w:i/>
                <w:iCs/>
                <w:sz w:val="22"/>
                <w:szCs w:val="22"/>
                <w:lang w:val="en-GB"/>
              </w:rPr>
              <w:t>et al.</w:t>
            </w:r>
            <w:r w:rsidRPr="00C027CA">
              <w:rPr>
                <w:sz w:val="22"/>
                <w:szCs w:val="22"/>
                <w:lang w:val="en-GB"/>
              </w:rPr>
              <w:t xml:space="preserve"> 2014; Bernhardt </w:t>
            </w:r>
            <w:r w:rsidRPr="00C027CA">
              <w:rPr>
                <w:i/>
                <w:iCs/>
                <w:sz w:val="22"/>
                <w:szCs w:val="22"/>
                <w:lang w:val="en-GB"/>
              </w:rPr>
              <w:t>et al.</w:t>
            </w:r>
            <w:r w:rsidRPr="00C027CA">
              <w:rPr>
                <w:sz w:val="22"/>
                <w:szCs w:val="22"/>
                <w:lang w:val="en-GB"/>
              </w:rPr>
              <w:t xml:space="preserve"> 2018)</w:t>
            </w:r>
            <w:r w:rsidRPr="00C027CA">
              <w:rPr>
                <w:iCs/>
                <w:sz w:val="22"/>
                <w:szCs w:val="22"/>
              </w:rPr>
              <w:fldChar w:fldCharType="end"/>
            </w:r>
          </w:p>
        </w:tc>
      </w:tr>
    </w:tbl>
    <w:p w14:paraId="6EB50F80" w14:textId="77777777" w:rsidR="005C3B0B" w:rsidRPr="00A658A5" w:rsidRDefault="005C3B0B" w:rsidP="00760BDA">
      <w:pPr>
        <w:spacing w:line="360" w:lineRule="auto"/>
        <w:contextualSpacing/>
        <w:rPr>
          <w:sz w:val="20"/>
          <w:szCs w:val="20"/>
          <w:lang w:val="en-GB"/>
        </w:rPr>
      </w:pPr>
      <w:r w:rsidRPr="00A658A5">
        <w:rPr>
          <w:iCs/>
          <w:sz w:val="20"/>
          <w:szCs w:val="20"/>
        </w:rPr>
        <w:t>* For simplicity we assume maximum consumption to scale the same way with temperature as search volume, and the parameter estimates come from maximum consumption experiments.</w:t>
      </w:r>
    </w:p>
    <w:p w14:paraId="33209929" w14:textId="0D1043B3" w:rsidR="005C3B0B" w:rsidRDefault="005C3B0B" w:rsidP="00760BDA">
      <w:pPr>
        <w:spacing w:line="360" w:lineRule="auto"/>
        <w:contextualSpacing/>
        <w:rPr>
          <w:noProof/>
          <w:lang w:eastAsia="sv-SE"/>
        </w:rPr>
      </w:pPr>
    </w:p>
    <w:p w14:paraId="4401D99B" w14:textId="2884465D" w:rsidR="00984724" w:rsidRDefault="00984724" w:rsidP="00760BDA">
      <w:pPr>
        <w:spacing w:line="360" w:lineRule="auto"/>
        <w:contextualSpacing/>
        <w:rPr>
          <w:noProof/>
          <w:lang w:eastAsia="sv-SE"/>
        </w:rPr>
      </w:pPr>
    </w:p>
    <w:p w14:paraId="758C37EC" w14:textId="4FF7FA02" w:rsidR="00AD189E" w:rsidRDefault="00AD189E" w:rsidP="00760BDA">
      <w:pPr>
        <w:spacing w:line="360" w:lineRule="auto"/>
        <w:contextualSpacing/>
        <w:rPr>
          <w:noProof/>
          <w:lang w:eastAsia="sv-SE"/>
        </w:rPr>
      </w:pPr>
    </w:p>
    <w:p w14:paraId="773EF770" w14:textId="7AADB374" w:rsidR="00AD189E" w:rsidRDefault="00AD189E" w:rsidP="00760BDA">
      <w:pPr>
        <w:spacing w:line="360" w:lineRule="auto"/>
        <w:contextualSpacing/>
        <w:rPr>
          <w:noProof/>
          <w:lang w:eastAsia="sv-SE"/>
        </w:rPr>
      </w:pPr>
    </w:p>
    <w:p w14:paraId="74CA715B" w14:textId="6D035F6B" w:rsidR="00AD189E" w:rsidRDefault="00AD189E" w:rsidP="00760BDA">
      <w:pPr>
        <w:spacing w:line="360" w:lineRule="auto"/>
        <w:contextualSpacing/>
        <w:rPr>
          <w:noProof/>
          <w:lang w:eastAsia="sv-SE"/>
        </w:rPr>
      </w:pPr>
    </w:p>
    <w:p w14:paraId="33C871D0" w14:textId="3CA3A2FF" w:rsidR="00984724" w:rsidRPr="00A658A5" w:rsidRDefault="00751A94" w:rsidP="00760BDA">
      <w:pPr>
        <w:spacing w:line="360" w:lineRule="auto"/>
        <w:contextualSpacing/>
        <w:jc w:val="center"/>
      </w:pPr>
      <w:r>
        <w:rPr>
          <w:noProof/>
          <w:lang w:val="sv-SE" w:eastAsia="sv-SE"/>
        </w:rPr>
        <w:lastRenderedPageBreak/>
        <w:drawing>
          <wp:inline distT="0" distB="0" distL="0" distR="0" wp14:anchorId="6CB0F018" wp14:editId="4C093B7E">
            <wp:extent cx="5730841" cy="4474723"/>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12" cstate="print">
                      <a:extLst>
                        <a:ext uri="{28A0092B-C50C-407E-A947-70E740481C1C}">
                          <a14:useLocalDpi xmlns:a14="http://schemas.microsoft.com/office/drawing/2010/main" val="0"/>
                        </a:ext>
                      </a:extLst>
                    </a:blip>
                    <a:srcRect t="11201" b="10717"/>
                    <a:stretch/>
                  </pic:blipFill>
                  <pic:spPr bwMode="auto">
                    <a:xfrm>
                      <a:off x="0" y="0"/>
                      <a:ext cx="5731510" cy="4475245"/>
                    </a:xfrm>
                    <a:prstGeom prst="rect">
                      <a:avLst/>
                    </a:prstGeom>
                    <a:ln>
                      <a:noFill/>
                    </a:ln>
                    <a:extLst>
                      <a:ext uri="{53640926-AAD7-44D8-BBD7-CCE9431645EC}">
                        <a14:shadowObscured xmlns:a14="http://schemas.microsoft.com/office/drawing/2010/main"/>
                      </a:ext>
                    </a:extLst>
                  </pic:spPr>
                </pic:pic>
              </a:graphicData>
            </a:graphic>
          </wp:inline>
        </w:drawing>
      </w:r>
    </w:p>
    <w:p w14:paraId="04A096E2" w14:textId="10EFF5A7" w:rsidR="005C3B0B" w:rsidRPr="00A658A5" w:rsidRDefault="005C3B0B" w:rsidP="00760BDA">
      <w:pPr>
        <w:pStyle w:val="Caption"/>
        <w:spacing w:line="360" w:lineRule="auto"/>
        <w:contextualSpacing/>
        <w:jc w:val="both"/>
        <w:rPr>
          <w:color w:val="auto"/>
          <w:sz w:val="24"/>
          <w:szCs w:val="24"/>
        </w:rPr>
      </w:pPr>
      <w:r w:rsidRPr="00057A59">
        <w:rPr>
          <w:color w:val="auto"/>
          <w:sz w:val="24"/>
          <w:szCs w:val="24"/>
        </w:rPr>
        <w:t>Figure S</w:t>
      </w:r>
      <w:r w:rsidR="004D5865" w:rsidRPr="00057A59">
        <w:rPr>
          <w:color w:val="auto"/>
          <w:sz w:val="24"/>
          <w:szCs w:val="24"/>
        </w:rPr>
        <w:t>3</w:t>
      </w:r>
      <w:r w:rsidRPr="00057A59">
        <w:rPr>
          <w:color w:val="auto"/>
          <w:sz w:val="24"/>
          <w:szCs w:val="24"/>
          <w:lang w:val="en-GB"/>
        </w:rPr>
        <w:t>.</w:t>
      </w:r>
      <w:r w:rsidRPr="00057A59">
        <w:rPr>
          <w:color w:val="auto"/>
          <w:sz w:val="24"/>
          <w:szCs w:val="24"/>
        </w:rPr>
        <w:t xml:space="preserve"> 200 random samples from the distributions describing the activation energies of the rates resource carrying capacity and resource growth rates </w:t>
      </w:r>
      <w:r w:rsidR="004D4850">
        <w:rPr>
          <w:color w:val="auto"/>
          <w:sz w:val="24"/>
          <w:szCs w:val="24"/>
        </w:rPr>
        <w:t>(</w:t>
      </w:r>
      <w:r w:rsidRPr="00057A59">
        <w:rPr>
          <w:color w:val="auto"/>
          <w:sz w:val="24"/>
          <w:szCs w:val="24"/>
        </w:rPr>
        <w:t>assumed same for benthic and pelagic background resources</w:t>
      </w:r>
      <w:r w:rsidR="004D4850">
        <w:rPr>
          <w:color w:val="auto"/>
          <w:sz w:val="24"/>
          <w:szCs w:val="24"/>
        </w:rPr>
        <w:t>)</w:t>
      </w:r>
      <w:r w:rsidRPr="00057A59">
        <w:rPr>
          <w:color w:val="auto"/>
          <w:sz w:val="24"/>
          <w:szCs w:val="24"/>
        </w:rPr>
        <w:t>, metabolic rate, background mortality rates and maximum consumption rates. See Table S</w:t>
      </w:r>
      <w:r w:rsidR="005C3E4D" w:rsidRPr="00057A59">
        <w:rPr>
          <w:color w:val="auto"/>
          <w:sz w:val="24"/>
          <w:szCs w:val="24"/>
        </w:rPr>
        <w:t>3</w:t>
      </w:r>
      <w:r w:rsidRPr="00057A59">
        <w:rPr>
          <w:color w:val="auto"/>
          <w:sz w:val="24"/>
          <w:szCs w:val="24"/>
        </w:rPr>
        <w:t>. Combinations of these parameters were used in model projections to understand how uncertainty in these parameters affect individual- and population level metrics.</w:t>
      </w:r>
    </w:p>
    <w:p w14:paraId="1FC91F8A" w14:textId="77777777" w:rsidR="005C3B0B" w:rsidRPr="00A658A5" w:rsidRDefault="005C3B0B" w:rsidP="00760BDA">
      <w:pPr>
        <w:tabs>
          <w:tab w:val="left" w:pos="6131"/>
        </w:tabs>
        <w:spacing w:line="360" w:lineRule="auto"/>
        <w:contextualSpacing/>
        <w:jc w:val="both"/>
      </w:pPr>
    </w:p>
    <w:p w14:paraId="01CBB6E5" w14:textId="49992B70" w:rsidR="005C3B0B" w:rsidRDefault="005C3B0B" w:rsidP="00760BDA">
      <w:pPr>
        <w:tabs>
          <w:tab w:val="left" w:pos="6131"/>
        </w:tabs>
        <w:spacing w:line="360" w:lineRule="auto"/>
        <w:contextualSpacing/>
        <w:jc w:val="both"/>
      </w:pPr>
    </w:p>
    <w:p w14:paraId="142443DA" w14:textId="682DE454" w:rsidR="00424167" w:rsidRDefault="00424167" w:rsidP="00760BDA">
      <w:pPr>
        <w:tabs>
          <w:tab w:val="left" w:pos="6131"/>
        </w:tabs>
        <w:spacing w:line="360" w:lineRule="auto"/>
        <w:contextualSpacing/>
        <w:jc w:val="both"/>
      </w:pPr>
    </w:p>
    <w:p w14:paraId="439D4AA6" w14:textId="24B4474A" w:rsidR="00424167" w:rsidRDefault="00424167" w:rsidP="00760BDA">
      <w:pPr>
        <w:tabs>
          <w:tab w:val="left" w:pos="6131"/>
        </w:tabs>
        <w:spacing w:line="360" w:lineRule="auto"/>
        <w:contextualSpacing/>
        <w:jc w:val="both"/>
      </w:pPr>
    </w:p>
    <w:p w14:paraId="331F9848" w14:textId="6B74AC82" w:rsidR="00424167" w:rsidRDefault="00424167" w:rsidP="00760BDA">
      <w:pPr>
        <w:tabs>
          <w:tab w:val="left" w:pos="6131"/>
        </w:tabs>
        <w:spacing w:line="360" w:lineRule="auto"/>
        <w:contextualSpacing/>
        <w:jc w:val="both"/>
      </w:pPr>
    </w:p>
    <w:p w14:paraId="760AD81B" w14:textId="1C59DBB5" w:rsidR="00424167" w:rsidRDefault="00424167" w:rsidP="00760BDA">
      <w:pPr>
        <w:tabs>
          <w:tab w:val="left" w:pos="6131"/>
        </w:tabs>
        <w:spacing w:line="360" w:lineRule="auto"/>
        <w:contextualSpacing/>
        <w:jc w:val="both"/>
      </w:pPr>
    </w:p>
    <w:p w14:paraId="3E4E6022" w14:textId="4961DF7D" w:rsidR="00424167" w:rsidRDefault="00424167" w:rsidP="00760BDA">
      <w:pPr>
        <w:tabs>
          <w:tab w:val="left" w:pos="6131"/>
        </w:tabs>
        <w:spacing w:line="360" w:lineRule="auto"/>
        <w:contextualSpacing/>
        <w:jc w:val="both"/>
      </w:pPr>
    </w:p>
    <w:p w14:paraId="4AC789DD" w14:textId="252B6A2F" w:rsidR="00424167" w:rsidRDefault="00424167" w:rsidP="00760BDA">
      <w:pPr>
        <w:tabs>
          <w:tab w:val="left" w:pos="6131"/>
        </w:tabs>
        <w:spacing w:line="360" w:lineRule="auto"/>
        <w:contextualSpacing/>
        <w:jc w:val="both"/>
      </w:pPr>
    </w:p>
    <w:p w14:paraId="0D95668B" w14:textId="14F934CA" w:rsidR="00ED3079" w:rsidRDefault="00ED3079" w:rsidP="00760BDA">
      <w:pPr>
        <w:tabs>
          <w:tab w:val="left" w:pos="6131"/>
        </w:tabs>
        <w:spacing w:line="360" w:lineRule="auto"/>
        <w:contextualSpacing/>
        <w:jc w:val="both"/>
      </w:pPr>
    </w:p>
    <w:p w14:paraId="376AF609" w14:textId="1CFE7862" w:rsidR="00ED3079" w:rsidRDefault="00ED3079" w:rsidP="00760BDA">
      <w:pPr>
        <w:tabs>
          <w:tab w:val="left" w:pos="6131"/>
        </w:tabs>
        <w:spacing w:line="360" w:lineRule="auto"/>
        <w:contextualSpacing/>
        <w:jc w:val="both"/>
      </w:pPr>
    </w:p>
    <w:p w14:paraId="7F3426C9"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5" w:name="_Toc30849726"/>
      <w:bookmarkStart w:id="6" w:name="_Toc75869557"/>
      <w:r w:rsidRPr="00A658A5">
        <w:rPr>
          <w:rFonts w:ascii="Times New Roman" w:hAnsi="Times New Roman" w:cs="Times New Roman"/>
          <w:color w:val="auto"/>
        </w:rPr>
        <w:lastRenderedPageBreak/>
        <w:t>Model calibration and validation</w:t>
      </w:r>
      <w:bookmarkEnd w:id="5"/>
      <w:bookmarkEnd w:id="6"/>
    </w:p>
    <w:p w14:paraId="0EC0E4B0"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7" w:name="_Toc30849727"/>
      <w:bookmarkStart w:id="8" w:name="_Toc75869558"/>
      <w:r w:rsidRPr="00A658A5">
        <w:rPr>
          <w:rFonts w:ascii="Times New Roman" w:hAnsi="Times New Roman" w:cs="Times New Roman"/>
          <w:color w:val="auto"/>
          <w:sz w:val="28"/>
          <w:szCs w:val="28"/>
        </w:rPr>
        <w:t>Calibration protocol</w:t>
      </w:r>
      <w:bookmarkEnd w:id="7"/>
      <w:bookmarkEnd w:id="8"/>
    </w:p>
    <w:p w14:paraId="1911DB21" w14:textId="56C86A5F" w:rsidR="005C3B0B" w:rsidRPr="00A658A5" w:rsidRDefault="005C3B0B" w:rsidP="00760BDA">
      <w:pPr>
        <w:spacing w:line="360" w:lineRule="auto"/>
        <w:contextualSpacing/>
        <w:jc w:val="both"/>
        <w:rPr>
          <w:iCs/>
        </w:rPr>
      </w:pPr>
      <w:r w:rsidRPr="00A658A5">
        <w:t>We calibrated to the model using m</w:t>
      </w:r>
      <w:r w:rsidRPr="00A658A5">
        <w:rPr>
          <w:lang w:val="en-GB"/>
        </w:rPr>
        <w:t xml:space="preserve">ean SSB and F </w:t>
      </w:r>
      <w:r w:rsidRPr="00A658A5">
        <w:t xml:space="preserve">between </w:t>
      </w:r>
      <w:r w:rsidRPr="00A658A5">
        <w:rPr>
          <w:lang w:val="en-GB"/>
        </w:rPr>
        <w:t>1992-2002 from stock assessments</w:t>
      </w:r>
      <w:r w:rsidRPr="00A658A5">
        <w:t xml:space="preserve">, which </w:t>
      </w:r>
      <w:r w:rsidRPr="00A658A5">
        <w:rPr>
          <w:lang w:val="en-GB"/>
        </w:rPr>
        <w:t xml:space="preserve">were acquired from ICES Working Group Reports </w:t>
      </w:r>
      <w:r w:rsidRPr="00A658A5">
        <w:fldChar w:fldCharType="begin"/>
      </w:r>
      <w:r w:rsidR="002E5D14">
        <w:rPr>
          <w:lang w:val="en-GB"/>
        </w:rPr>
        <w:instrText xml:space="preserve"> ADDIN ZOTERO_ITEM CSL_CITATION {"citationID":"x5wbJgp6","properties":{"formattedCitation":"(ICES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(WGBFAS)","author":[{"family":"ICES","given":""}],"issued":{"date-parts":[["2013"]]},"citation-key":"icesReportBalticFisheries2013"}},{"id":"UPAMMKgU/9E6TJB0Z","uris":["http://zotero.org/users/local/FTg3Qpza/items/5BPR42FJ"],"itemData":{"id":1578,"type":"report","title":"Report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Pr="00A658A5">
        <w:fldChar w:fldCharType="separate"/>
      </w:r>
      <w:r w:rsidRPr="00A658A5">
        <w:rPr>
          <w:lang w:val="en-GB"/>
        </w:rPr>
        <w:t>(ICES 2013, 2015)</w:t>
      </w:r>
      <w:r w:rsidRPr="00A658A5">
        <w:fldChar w:fldCharType="end"/>
      </w:r>
      <w:r w:rsidRPr="00A658A5">
        <w:rPr>
          <w:lang w:val="en-GB"/>
        </w:rPr>
        <w:t>, and are in unit 10</w:t>
      </w:r>
      <w:r w:rsidRPr="00A658A5">
        <w:rPr>
          <w:vertAlign w:val="superscript"/>
          <w:lang w:val="en-GB"/>
        </w:rPr>
        <w:t>6</w:t>
      </w:r>
      <w:r w:rsidRPr="00A658A5">
        <w:t xml:space="preserve"> </w:t>
      </w:r>
      <w:r w:rsidRPr="00A658A5">
        <w:rPr>
          <w:lang w:val="en-GB"/>
        </w:rPr>
        <w:t>kg/area. This area corresponds to ICES subdivisions 25-29+32, which equals approximately 2.49</w:t>
      </w:r>
      <m:oMath>
        <m:r>
          <w:rPr>
            <w:rFonts w:ascii="Cambria Math" w:hAnsi="Cambria Math"/>
            <w:lang w:val="en-GB"/>
          </w:rPr>
          <m:t>×</m:t>
        </m:r>
      </m:oMath>
      <w:r w:rsidRPr="00A658A5">
        <w:rPr>
          <w:lang w:val="en-GB"/>
        </w:rPr>
        <w:t>10</w:t>
      </w:r>
      <w:r w:rsidRPr="00A658A5">
        <w:rPr>
          <w:vertAlign w:val="superscript"/>
          <w:lang w:val="en-GB"/>
        </w:rPr>
        <w:t>11</w:t>
      </w:r>
      <w:r w:rsidRPr="00A658A5">
        <w:rPr>
          <w:lang w:val="en-GB"/>
        </w:rPr>
        <w:t xml:space="preserve"> m</w:t>
      </w:r>
      <w:r w:rsidRPr="00A658A5">
        <w:rPr>
          <w:vertAlign w:val="superscript"/>
          <w:lang w:val="en-GB"/>
        </w:rPr>
        <w:t>2</w:t>
      </w:r>
      <w:r w:rsidRPr="00A658A5">
        <w:rPr>
          <w:lang w:val="en-GB"/>
        </w:rPr>
        <w:t xml:space="preserve"> (estimated using ICES shapefiles)</w:t>
      </w:r>
      <w:r w:rsidR="003B01C6">
        <w:rPr>
          <w:lang w:val="en-GB"/>
        </w:rPr>
        <w:t xml:space="preserve"> </w:t>
      </w:r>
      <w:r w:rsidR="00FA5782">
        <w:rPr>
          <w:lang w:val="en-GB"/>
        </w:rPr>
        <w:fldChar w:fldCharType="begin"/>
      </w:r>
      <w:r w:rsidR="002E5D14">
        <w:rPr>
          <w:lang w:val="en-GB"/>
        </w:rPr>
        <w:instrText xml:space="preserve"> ADDIN ZOTERO_ITEM CSL_CITATION {"citationID":"knfh0RyH","properties":{"formattedCitation":"(ICES 2021)","plainCitation":"(ICES 2021)","noteIndex":0},"citationItems":[{"id":2779,"uris":["http://zotero.org/users/6116610/items/XSKRLL3J"],"itemData":{"id":2779,"type":"report","title":"ICES Spatial Facility, ICES, Copenhagen","URL":"https://gis.ices.dk/geonetwork/srv/api/records/c784a0a3-752f-4b50-b02f-f225f6c815eb","author":[{"family":"ICES","given":""}],"issued":{"date-parts":[["2021"]]},"citation-key":"icesICESSpatialFacility2021"}}],"schema":"https://github.com/citation-style-language/schema/raw/master/csl-citation.json"} </w:instrText>
      </w:r>
      <w:r w:rsidR="00FA5782">
        <w:rPr>
          <w:lang w:val="en-GB"/>
        </w:rPr>
        <w:fldChar w:fldCharType="separate"/>
      </w:r>
      <w:r w:rsidR="00FA5782">
        <w:rPr>
          <w:noProof/>
          <w:lang w:val="en-GB"/>
        </w:rPr>
        <w:t>(ICES 2021)</w:t>
      </w:r>
      <w:r w:rsidR="00FA5782">
        <w:rPr>
          <w:lang w:val="en-GB"/>
        </w:rPr>
        <w:fldChar w:fldCharType="end"/>
      </w:r>
      <w:r w:rsidRPr="00A658A5">
        <w:rPr>
          <w:lang w:val="en-GB"/>
        </w:rPr>
        <w:t xml:space="preserve">. </w:t>
      </w:r>
      <w:r w:rsidRPr="00A658A5">
        <w:t>W</w:t>
      </w:r>
      <w:r w:rsidRPr="00A658A5">
        <w:rPr>
          <w:lang w:val="en-GB"/>
        </w:rPr>
        <w:t xml:space="preserve">e first defined </w:t>
      </w:r>
      <w:r w:rsidRPr="00A658A5">
        <w:t>the size spectrum model</w:t>
      </w:r>
      <w:r w:rsidRPr="00A658A5">
        <w:rPr>
          <w:lang w:val="en-GB"/>
        </w:rPr>
        <w:t xml:space="preserve"> in units g/m</w:t>
      </w:r>
      <w:r w:rsidRPr="00A658A5">
        <w:rPr>
          <w:vertAlign w:val="superscript"/>
          <w:lang w:val="en-GB"/>
        </w:rPr>
        <w:t>2</w:t>
      </w:r>
      <w:r w:rsidRPr="00A658A5">
        <w:rPr>
          <w:lang w:val="en-GB"/>
        </w:rPr>
        <w:t xml:space="preserve"> and then used the </w:t>
      </w:r>
      <w:r w:rsidRPr="00A658A5">
        <w:t xml:space="preserve">conversion </w:t>
      </w:r>
      <w:r w:rsidRPr="00A658A5">
        <w:rPr>
          <w:lang w:val="en-GB"/>
        </w:rPr>
        <w:t xml:space="preserve">factor </w:t>
      </w:r>
      <w:r w:rsidRPr="00A658A5">
        <w:t>249 to express biomasses in unit 1000 tonnes/area</w:t>
      </w:r>
      <w:r w:rsidRPr="00A658A5">
        <w:rPr>
          <w:lang w:val="en-GB"/>
        </w:rPr>
        <w:t xml:space="preserve">. </w:t>
      </w:r>
      <w:r w:rsidRPr="00A658A5">
        <w:t>B</w:t>
      </w:r>
      <w:r w:rsidRPr="00A658A5">
        <w:rPr>
          <w:iCs/>
        </w:rPr>
        <w:t xml:space="preserve">elow follows a step-by-step description of how the model was calibrated to the assembled Baltic Sea data after being initially parameterized. </w:t>
      </w:r>
    </w:p>
    <w:p w14:paraId="5D103463" w14:textId="6821BB38" w:rsidR="005C3B0B" w:rsidRPr="00A658A5" w:rsidRDefault="005C3B0B" w:rsidP="00760BDA">
      <w:pPr>
        <w:pStyle w:val="ListParagraph"/>
        <w:numPr>
          <w:ilvl w:val="0"/>
          <w:numId w:val="14"/>
        </w:numPr>
        <w:spacing w:line="360" w:lineRule="auto"/>
        <w:jc w:val="both"/>
      </w:pPr>
      <w:r w:rsidRPr="00A658A5">
        <w:t xml:space="preserve">Determine a starting value for plankton and benthos </w:t>
      </w:r>
      <m:oMath>
        <m:r>
          <w:rPr>
            <w:rFonts w:ascii="Cambria Math" w:hAnsi="Cambria Math"/>
          </w:rPr>
          <m:t>κ</m:t>
        </m:r>
      </m:oMath>
      <w:r w:rsidRPr="00A658A5">
        <w:t>. The aim is to find coexistence of the three fish species and for their spawning stock biomasses</w:t>
      </w:r>
      <w:r w:rsidR="005E18C4">
        <w:t xml:space="preserve"> (SSBs)</w:t>
      </w:r>
      <w:r w:rsidRPr="00A658A5">
        <w:t xml:space="preserve"> to be within an order of magnitude of SSBs from stock assessment. Prioritize coexistence over fits of SSBs, as these are calibrated later. As starting values for </w:t>
      </w:r>
      <m:oMath>
        <m:sSub>
          <m:sSubPr>
            <m:ctrlPr>
              <w:rPr>
                <w:rFonts w:ascii="Cambria Math" w:hAnsi="Cambria Math"/>
                <w:i/>
              </w:rPr>
            </m:ctrlPr>
          </m:sSubPr>
          <m:e>
            <m:r>
              <w:rPr>
                <w:rFonts w:ascii="Cambria Math" w:hAnsi="Cambria Math"/>
              </w:rPr>
              <m:t>R</m:t>
            </m:r>
          </m:e>
          <m:sub>
            <m:r>
              <w:rPr>
                <w:rFonts w:ascii="Cambria Math" w:hAnsi="Cambria Math"/>
              </w:rPr>
              <m:t>max, i</m:t>
            </m:r>
          </m:sub>
        </m:sSub>
      </m:oMath>
      <w:r w:rsidRPr="00A658A5">
        <w:t xml:space="preserve">, which ensures coexistence, we used the same ratio between </w:t>
      </w:r>
      <m:oMath>
        <m:sSub>
          <m:sSubPr>
            <m:ctrlPr>
              <w:rPr>
                <w:rFonts w:ascii="Cambria Math" w:hAnsi="Cambria Math"/>
                <w:i/>
              </w:rPr>
            </m:ctrlPr>
          </m:sSubPr>
          <m:e>
            <m:r>
              <w:rPr>
                <w:rFonts w:ascii="Cambria Math" w:hAnsi="Cambria Math"/>
              </w:rPr>
              <m:t>R</m:t>
            </m:r>
          </m:e>
          <m:sub>
            <m:r>
              <w:rPr>
                <w:rFonts w:ascii="Cambria Math" w:hAnsi="Cambria Math"/>
              </w:rPr>
              <m:t>max, i</m:t>
            </m:r>
          </m:sub>
        </m:sSub>
      </m:oMath>
      <w:r w:rsidRPr="00A658A5">
        <w:rPr>
          <w:rFonts w:eastAsiaTheme="minorEastAsia"/>
        </w:rPr>
        <w:t xml:space="preserve"> and </w:t>
      </w:r>
      <m:oMath>
        <m:r>
          <w:rPr>
            <w:rFonts w:ascii="Cambria Math" w:eastAsiaTheme="minorEastAsia" w:hAnsi="Cambria Math"/>
          </w:rPr>
          <m:t>κ</m:t>
        </m:r>
      </m:oMath>
      <w:r w:rsidRPr="00A658A5">
        <w:rPr>
          <w:rFonts w:eastAsiaTheme="minorEastAsia"/>
        </w:rPr>
        <w:t xml:space="preserve"> </w:t>
      </w:r>
      <w:r w:rsidRPr="00A658A5">
        <w:t>as calibrated in (Blanchard et al. 2014), expressed in unit m</w:t>
      </w:r>
      <w:r w:rsidRPr="00A658A5">
        <w:rPr>
          <w:vertAlign w:val="superscript"/>
        </w:rPr>
        <w:t>2</w:t>
      </w:r>
      <w:r w:rsidRPr="00A658A5">
        <w:t xml:space="preserve"> (by dividing with </w:t>
      </w:r>
      <w:r w:rsidRPr="00A658A5">
        <w:rPr>
          <w:lang w:val="en-GB"/>
        </w:rPr>
        <w:t>10</w:t>
      </w:r>
      <w:r w:rsidRPr="00A658A5">
        <w:rPr>
          <w:vertAlign w:val="superscript"/>
          <w:lang w:val="en-GB"/>
        </w:rPr>
        <w:t>11</w:t>
      </w:r>
      <w:r w:rsidRPr="00A658A5">
        <w:t>, which corresponds roughly to the area of the North Sea</w:t>
      </w:r>
      <w:r w:rsidR="005E18C4">
        <w:t>)</w:t>
      </w:r>
      <w:r w:rsidRPr="00A658A5">
        <w:t xml:space="preserve">. This procedure resulted in a starting value for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B</m:t>
            </m:r>
          </m:sub>
        </m:sSub>
      </m:oMath>
      <w:r w:rsidRPr="00A658A5">
        <w:t xml:space="preserve"> and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P</m:t>
            </m:r>
          </m:sub>
        </m:sSub>
      </m:oMath>
      <w:r w:rsidRPr="00A658A5">
        <w:t xml:space="preserve"> of 11, in unit </w:t>
      </w:r>
      <m:oMath>
        <m:sSup>
          <m:sSupPr>
            <m:ctrlPr>
              <w:rPr>
                <w:rFonts w:ascii="Cambria Math" w:eastAsiaTheme="minorEastAsia" w:hAnsi="Cambria Math"/>
                <w:bCs/>
                <w:i/>
              </w:rPr>
            </m:ctrlPr>
          </m:sSupPr>
          <m:e>
            <m:r>
              <m:rPr>
                <m:sty m:val="p"/>
              </m:rPr>
              <w:rPr>
                <w:rFonts w:ascii="Cambria Math" w:hAnsi="Cambria Math"/>
                <w:lang w:val="en-GB"/>
              </w:rPr>
              <m:t>g</m:t>
            </m:r>
            <m:ctrlPr>
              <w:rPr>
                <w:rFonts w:ascii="Cambria Math" w:hAnsi="Cambria Math"/>
                <w:bCs/>
              </w:rPr>
            </m:ctrlPr>
          </m:e>
          <m:sup>
            <m:r>
              <m:rPr>
                <m:sty m:val="p"/>
              </m:rPr>
              <w:rPr>
                <w:rFonts w:ascii="Cambria Math" w:hAnsi="Cambria Math"/>
                <w:vertAlign w:val="superscript"/>
              </w:rPr>
              <m:t>λ</m:t>
            </m:r>
            <m:r>
              <m:rPr>
                <m:sty m:val="p"/>
              </m:rPr>
              <w:rPr>
                <w:rFonts w:ascii="Cambria Math" w:hAnsi="Cambria Math"/>
                <w:vertAlign w:val="superscript"/>
                <w:lang w:val="en-GB"/>
              </w:rPr>
              <m:t>-1</m:t>
            </m:r>
          </m:sup>
        </m:sSup>
        <m:sSup>
          <m:sSupPr>
            <m:ctrlPr>
              <w:rPr>
                <w:rFonts w:ascii="Cambria Math" w:hAnsi="Cambria Math"/>
                <w:bCs/>
                <w:i/>
              </w:rPr>
            </m:ctrlPr>
          </m:sSupPr>
          <m:e>
            <m:r>
              <w:rPr>
                <w:rFonts w:ascii="Cambria Math" w:hAnsi="Cambria Math"/>
              </w:rPr>
              <m:t>m</m:t>
            </m:r>
            <m:ctrlPr>
              <w:rPr>
                <w:rFonts w:ascii="Cambria Math" w:eastAsiaTheme="minorEastAsia" w:hAnsi="Cambria Math"/>
                <w:bCs/>
              </w:rPr>
            </m:ctrlPr>
          </m:e>
          <m:sup>
            <m:r>
              <w:rPr>
                <w:rFonts w:ascii="Cambria Math" w:eastAsiaTheme="minorEastAsia" w:hAnsi="Cambria Math"/>
                <w:lang w:val="en-GB"/>
              </w:rPr>
              <m:t>2</m:t>
            </m:r>
          </m:sup>
        </m:sSup>
      </m:oMath>
      <w:r w:rsidRPr="00A658A5">
        <w:t>.</w:t>
      </w:r>
    </w:p>
    <w:p w14:paraId="51B6AB08" w14:textId="77777777" w:rsidR="005C3B0B" w:rsidRPr="00A658A5" w:rsidRDefault="005C3B0B" w:rsidP="00760BDA">
      <w:pPr>
        <w:pStyle w:val="ListParagraph"/>
        <w:numPr>
          <w:ilvl w:val="0"/>
          <w:numId w:val="14"/>
        </w:numPr>
        <w:spacing w:line="360" w:lineRule="auto"/>
        <w:jc w:val="both"/>
      </w:pPr>
      <w:r w:rsidRPr="00A658A5">
        <w:t>Evaluate body growth rates against empirical data.</w:t>
      </w:r>
    </w:p>
    <w:p w14:paraId="67CC2F6A" w14:textId="57BB7ED9" w:rsidR="005C3B0B" w:rsidRPr="00A658A5" w:rsidRDefault="005C3B0B" w:rsidP="00760BDA">
      <w:pPr>
        <w:pStyle w:val="ListParagraph"/>
        <w:numPr>
          <w:ilvl w:val="1"/>
          <w:numId w:val="14"/>
        </w:numPr>
        <w:spacing w:line="360" w:lineRule="auto"/>
        <w:jc w:val="both"/>
        <w:rPr>
          <w:lang w:val="en-GB"/>
        </w:rPr>
      </w:pPr>
      <w:r w:rsidRPr="00A658A5">
        <w:t xml:space="preserve">If modelled body growth rates are low, check the species-specific feeding levels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Pr="00A658A5">
        <w:t xml:space="preserve">. The feeding level describes the level of satiation, with 0 being unfed and 1 completely satiated. For reference, a feeding level of 0.2 is the minimum to cover basic metabolic costs (by default) and thus does not allow for body growth, whereas a constant feeding level of 0.6 fits a von Bertalanffy curve </w:t>
      </w:r>
      <w:r w:rsidRPr="00A658A5">
        <w:fldChar w:fldCharType="begin"/>
      </w:r>
      <w:r w:rsidR="002E5D14">
        <w:instrText xml:space="preserve"> ADDIN ZOTERO_ITEM CSL_CITATION {"citationID":"dLq5eMPt","properties":{"formattedCitation":"(Andersen {\\i{}et al.} 2009; Scott {\\i{}et al.} 2019)","plainCitation":"(Andersen et al. 2009; Scott et al. 2019)","noteIndex":0},"citationItems":[{"id":66,"uris":["http://zotero.org/users/6116610/items/3PGRXT2H"],"itemData":{"id":66,"type":"article-journal","language":"en","page":"7","source":"Zotero","title":"How community ecology links natural mortality, growth, and production of ﬁsh populations","author":[{"family":"Andersen","given":"K H"},{"family":"Farnsworth","given":"K D"},{"family":"Pedersen","given":"M"},{"family":"Gislason","given":"H"},{"family":"Beyer","given":"J E"}],"issued":{"date-parts":[["2009"]]},"citation-key":"andersenHowCommunityEcology2009"}},{"id":"UPAMMKgU/CwCXDrnU","uris":["http://zotero.org/users/6116610/items/DJUXBZVN"],"itemData":{"id":857,"type":"book","genre":"R","title":"mizer: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(Andersen </w:t>
      </w:r>
      <w:r w:rsidRPr="00A658A5">
        <w:rPr>
          <w:i/>
          <w:iCs/>
          <w:lang w:val="en-GB"/>
        </w:rPr>
        <w:t>et al.</w:t>
      </w:r>
      <w:r w:rsidRPr="00A658A5">
        <w:rPr>
          <w:lang w:val="en-GB"/>
        </w:rPr>
        <w:t xml:space="preserve"> 2009; Scott </w:t>
      </w:r>
      <w:r w:rsidRPr="00A658A5">
        <w:rPr>
          <w:i/>
          <w:iCs/>
          <w:lang w:val="en-GB"/>
        </w:rPr>
        <w:t>et al.</w:t>
      </w:r>
      <w:r w:rsidRPr="00A658A5">
        <w:rPr>
          <w:lang w:val="en-GB"/>
        </w:rPr>
        <w:t xml:space="preserve"> 2019)</w:t>
      </w:r>
      <w:r w:rsidRPr="00A658A5">
        <w:fldChar w:fldCharType="end"/>
      </w:r>
      <w:r w:rsidRPr="00A658A5">
        <w:t>. If low feeding level seem likely as a cause for poor growth in the model, check the search rate (</w:t>
      </w:r>
      <m:oMath>
        <m:r>
          <w:rPr>
            <w:rFonts w:ascii="Cambria Math" w:hAnsi="Cambria Math"/>
          </w:rPr>
          <m:t>γ</m:t>
        </m:r>
      </m:oMath>
      <w:r w:rsidRPr="00A658A5">
        <w:t xml:space="preserve">) or available prey. </w:t>
      </w:r>
      <w:r w:rsidRPr="00A658A5">
        <w:rPr>
          <w:lang w:val="en-GB"/>
        </w:rPr>
        <w:t xml:space="preserve">If not, check the net energy acquisition. </w:t>
      </w:r>
    </w:p>
    <w:p w14:paraId="1F43E9B9" w14:textId="01133F7B" w:rsidR="005C3B0B" w:rsidRPr="00A658A5" w:rsidRDefault="005C3B0B" w:rsidP="00760BDA">
      <w:pPr>
        <w:pStyle w:val="ListParagraph"/>
        <w:numPr>
          <w:ilvl w:val="2"/>
          <w:numId w:val="14"/>
        </w:numPr>
        <w:spacing w:line="360" w:lineRule="auto"/>
        <w:jc w:val="both"/>
      </w:pPr>
      <w:r w:rsidRPr="00A658A5">
        <w:t xml:space="preserve">Net </w:t>
      </w:r>
      <w:r w:rsidRPr="00A658A5">
        <w:rPr>
          <w:lang w:val="en-GB"/>
        </w:rPr>
        <w:t>energy acquisition</w:t>
      </w:r>
      <w:r w:rsidRPr="00A658A5">
        <w:t xml:space="preserve"> is largely determined by maximum consumption and metabolic losses. Earlier explorations suggest modelled growth rates can be lower than observed </w:t>
      </w:r>
      <w:r w:rsidRPr="00A658A5">
        <w:fldChar w:fldCharType="begin"/>
      </w:r>
      <w:r w:rsidR="002E5D14">
        <w:instrText xml:space="preserve"> ADDIN ZOTERO_ITEM CSL_CITATION {"citationID":"b24WzhRK","properties":{"formattedCitation":"(Scott {\\i{}et al.} 2019)","plainCitation":"(Scott et al. 2019)","noteIndex":0},"citationItems":[{"id":"UPAMMKgU/CwCXDrnU","uris":["http://zotero.org/users/6116610/items/DJUXBZVN"],"itemData":{"id":857,"type":"book","genre":"R","title":"mizer: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(Scott </w:t>
      </w:r>
      <w:r w:rsidRPr="00A658A5">
        <w:rPr>
          <w:i/>
          <w:iCs/>
          <w:lang w:val="en-GB"/>
        </w:rPr>
        <w:t>et al.</w:t>
      </w:r>
      <w:r w:rsidRPr="00A658A5">
        <w:rPr>
          <w:lang w:val="en-GB"/>
        </w:rPr>
        <w:t xml:space="preserve"> 2019)</w:t>
      </w:r>
      <w:r w:rsidRPr="00A658A5">
        <w:fldChar w:fldCharType="end"/>
      </w:r>
      <w:r w:rsidRPr="00A658A5">
        <w:t xml:space="preserve"> with default </w:t>
      </w:r>
      <m:oMath>
        <m:sSub>
          <m:sSubPr>
            <m:ctrlPr>
              <w:rPr>
                <w:rFonts w:ascii="Cambria Math" w:hAnsi="Cambria Math"/>
                <w:i/>
              </w:rPr>
            </m:ctrlPr>
          </m:sSubPr>
          <m:e>
            <m:r>
              <w:rPr>
                <w:rFonts w:ascii="Cambria Math" w:hAnsi="Cambria Math"/>
              </w:rPr>
              <m:t>k</m:t>
            </m:r>
          </m:e>
          <m:sub>
            <m:r>
              <w:rPr>
                <w:rFonts w:ascii="Cambria Math" w:hAnsi="Cambria Math"/>
              </w:rPr>
              <m:t>met</m:t>
            </m:r>
          </m:sub>
        </m:sSub>
      </m:oMath>
      <w:r w:rsidRPr="00A658A5">
        <w:t xml:space="preserve"> and </w:t>
      </w:r>
      <m:oMath>
        <m:r>
          <w:rPr>
            <w:rFonts w:ascii="Cambria Math" w:hAnsi="Cambria Math"/>
          </w:rPr>
          <m:t>h</m:t>
        </m:r>
      </m:oMath>
      <w:r w:rsidRPr="00A658A5">
        <w:rPr>
          <w:rFonts w:eastAsiaTheme="minorEastAsia"/>
        </w:rPr>
        <w:t xml:space="preserve"> (constants in allometric metabolism and maximum consumption </w:t>
      </w:r>
      <w:r w:rsidRPr="00A658A5">
        <w:rPr>
          <w:rFonts w:eastAsiaTheme="minorEastAsia"/>
        </w:rPr>
        <w:lastRenderedPageBreak/>
        <w:t>rates, respectively)</w:t>
      </w:r>
      <w:r w:rsidRPr="00A658A5">
        <w:t xml:space="preserve">, so these may need to be modified based on empirical data or other theoretically derived relationships. </w:t>
      </w:r>
    </w:p>
    <w:p w14:paraId="0B6A2D7C" w14:textId="4AD4A43C" w:rsidR="005C3B0B" w:rsidRPr="00A658A5" w:rsidRDefault="005C3B0B" w:rsidP="00760BDA">
      <w:pPr>
        <w:pStyle w:val="ListParagraph"/>
        <w:numPr>
          <w:ilvl w:val="2"/>
          <w:numId w:val="14"/>
        </w:numPr>
        <w:spacing w:line="360" w:lineRule="auto"/>
        <w:jc w:val="both"/>
      </w:pPr>
      <w:r w:rsidRPr="00A658A5">
        <w:t xml:space="preserve">Go back to step 1. With altered </w:t>
      </w:r>
      <m:oMath>
        <m:sSub>
          <m:sSubPr>
            <m:ctrlPr>
              <w:rPr>
                <w:rFonts w:ascii="Cambria Math" w:hAnsi="Cambria Math"/>
                <w:i/>
              </w:rPr>
            </m:ctrlPr>
          </m:sSubPr>
          <m:e>
            <m:r>
              <w:rPr>
                <w:rFonts w:ascii="Cambria Math" w:hAnsi="Cambria Math"/>
              </w:rPr>
              <m:t>k</m:t>
            </m:r>
          </m:e>
          <m:sub>
            <m:r>
              <w:rPr>
                <w:rFonts w:ascii="Cambria Math" w:hAnsi="Cambria Math"/>
              </w:rPr>
              <m:t>met</m:t>
            </m:r>
          </m:sub>
        </m:sSub>
      </m:oMath>
      <w:r w:rsidRPr="00A658A5">
        <w:t xml:space="preserve"> and/or </w:t>
      </w:r>
      <m:oMath>
        <m:r>
          <w:rPr>
            <w:rFonts w:ascii="Cambria Math" w:hAnsi="Cambria Math"/>
          </w:rPr>
          <m:t>h</m:t>
        </m:r>
      </m:oMath>
      <w:r w:rsidRPr="00A658A5">
        <w:t xml:space="preserve">, </w:t>
      </w:r>
      <m:oMath>
        <m:r>
          <w:rPr>
            <w:rFonts w:ascii="Cambria Math" w:hAnsi="Cambria Math"/>
          </w:rPr>
          <m:t xml:space="preserve">κ </m:t>
        </m:r>
      </m:oMath>
      <w:r w:rsidRPr="00A658A5">
        <w:t xml:space="preserve">needed for coexistence and fit to SSB may change. Therefore, a </w:t>
      </w:r>
      <m:oMath>
        <m:r>
          <w:rPr>
            <w:rFonts w:ascii="Cambria Math" w:hAnsi="Cambria Math"/>
          </w:rPr>
          <m:t>κ</m:t>
        </m:r>
      </m:oMath>
      <w:r w:rsidRPr="00A658A5">
        <w:rPr>
          <w:rFonts w:eastAsiaTheme="minorEastAsia"/>
        </w:rPr>
        <w:t xml:space="preserve"> can be chosen that </w:t>
      </w:r>
      <w:r w:rsidRPr="00A658A5">
        <w:t>puts modelled SSBs closer to SSBs from stock assessment, while still allowing for coexistence</w:t>
      </w:r>
      <w:r w:rsidR="005E18C4">
        <w:t xml:space="preserve"> and maintaining modelled growth rates in line with observed</w:t>
      </w:r>
      <w:r w:rsidRPr="00A658A5">
        <w:t>.</w:t>
      </w:r>
    </w:p>
    <w:p w14:paraId="035FA845" w14:textId="2C4640A7" w:rsidR="005C3B0B" w:rsidRPr="00A658A5" w:rsidRDefault="005C3B0B" w:rsidP="00760BDA">
      <w:pPr>
        <w:pStyle w:val="ListParagraph"/>
        <w:numPr>
          <w:ilvl w:val="0"/>
          <w:numId w:val="14"/>
        </w:numPr>
        <w:spacing w:line="360" w:lineRule="auto"/>
        <w:jc w:val="both"/>
      </w:pPr>
      <w:r w:rsidRPr="00A658A5">
        <w:t xml:space="preserve">If </w:t>
      </w:r>
      <m:oMath>
        <m:r>
          <w:rPr>
            <w:rFonts w:ascii="Cambria Math" w:hAnsi="Cambria Math"/>
          </w:rPr>
          <m:t xml:space="preserve">κ </m:t>
        </m:r>
      </m:oMath>
      <w:r w:rsidRPr="00A658A5">
        <w:t xml:space="preserve">allows for coexistence and results in SSBs within an order of magnitude to SSBs obtained from stock assessments and body growth rates are realistic, tune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 xml:space="preserve"> to match SSB</w:t>
      </w:r>
      <w:r w:rsidR="005E18C4">
        <w:rPr>
          <w:rFonts w:eastAsiaTheme="minorEastAsia"/>
        </w:rPr>
        <w:t>s</w:t>
      </w:r>
      <w:r w:rsidRPr="00A658A5">
        <w:rPr>
          <w:rFonts w:eastAsiaTheme="minorEastAsia"/>
        </w:rPr>
        <w:t xml:space="preserve"> from the size spectrum model </w:t>
      </w:r>
      <w:r w:rsidR="005E18C4">
        <w:rPr>
          <w:rFonts w:eastAsiaTheme="minorEastAsia"/>
        </w:rPr>
        <w:t xml:space="preserve">closer </w:t>
      </w:r>
      <w:r w:rsidRPr="00A658A5">
        <w:rPr>
          <w:rFonts w:eastAsiaTheme="minorEastAsia"/>
        </w:rPr>
        <w:t xml:space="preserve">to that from the stock assessment. </w:t>
      </w:r>
      <w:r w:rsidRPr="00A658A5">
        <w:t xml:space="preserve">This is done by finding the vector of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-values that minimizes the residual sum of squares between the two SSBs.</w:t>
      </w:r>
    </w:p>
    <w:p w14:paraId="07C717B7" w14:textId="77777777" w:rsidR="005C3B0B" w:rsidRPr="00A658A5" w:rsidRDefault="005C3B0B" w:rsidP="00760BDA">
      <w:pPr>
        <w:pStyle w:val="ListParagraph"/>
        <w:numPr>
          <w:ilvl w:val="0"/>
          <w:numId w:val="14"/>
        </w:numPr>
        <w:spacing w:line="360" w:lineRule="auto"/>
        <w:jc w:val="both"/>
      </w:pPr>
      <w:r w:rsidRPr="00A658A5">
        <w:t xml:space="preserve">Verify that SSBs and growth rates are still close to empirical data, after optimizing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t>. Then evaluate the ratio of egg production before and after density dependence is added to the Beverton-Holt type stock-recruit curve (RDI/RDD).</w:t>
      </w:r>
    </w:p>
    <w:p w14:paraId="7BE5873E" w14:textId="6CFCCE10" w:rsidR="005C3B0B" w:rsidRPr="00A658A5" w:rsidRDefault="005C3B0B" w:rsidP="00760BDA">
      <w:pPr>
        <w:pStyle w:val="ListParagraph"/>
        <w:numPr>
          <w:ilvl w:val="1"/>
          <w:numId w:val="14"/>
        </w:numPr>
        <w:spacing w:line="360" w:lineRule="auto"/>
        <w:jc w:val="both"/>
      </w:pPr>
      <w:r w:rsidRPr="00A658A5">
        <w:t>If RDI/RDD is high (</w:t>
      </w:r>
      <m:oMath>
        <m:r>
          <w:rPr>
            <w:rFonts w:ascii="Cambria Math" w:hAnsi="Cambria Math"/>
          </w:rPr>
          <m:t>≈100</m:t>
        </m:r>
      </m:oMath>
      <w:r w:rsidRPr="00A658A5">
        <w:t xml:space="preserve">) </w:t>
      </w:r>
      <w:r w:rsidRPr="00A658A5">
        <w:fldChar w:fldCharType="begin"/>
      </w:r>
      <w:r w:rsidR="002E5D14">
        <w:instrText xml:space="preserve"> ADDIN ZOTERO_ITEM CSL_CITATION {"citationID":"sGWfOIpg","properties":{"formattedCitation":"(Jacobsen {\\i{}et al.} 2017)","plainCitation":"(Jacobsen et al. 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Pr="00A658A5">
        <w:fldChar w:fldCharType="separate"/>
      </w:r>
      <w:r w:rsidRPr="00A658A5">
        <w:t xml:space="preserve">(Jacobsen </w:t>
      </w:r>
      <w:r w:rsidRPr="00A658A5">
        <w:rPr>
          <w:i/>
          <w:iCs/>
        </w:rPr>
        <w:t>et al.</w:t>
      </w:r>
      <w:r w:rsidRPr="00A658A5">
        <w:t xml:space="preserve"> 2017)</w:t>
      </w:r>
      <w:r w:rsidRPr="00A658A5">
        <w:fldChar w:fldCharType="end"/>
      </w:r>
      <w:r w:rsidRPr="00A658A5">
        <w:t xml:space="preserve">, and RDD </w:t>
      </w:r>
      <w:r w:rsidR="005E18C4">
        <w:t xml:space="preserve">is </w:t>
      </w:r>
      <w:r w:rsidRPr="00A658A5">
        <w:t xml:space="preserve">close to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t xml:space="preserve">, consider lowering </w:t>
      </w:r>
      <m:oMath>
        <m:r>
          <w:rPr>
            <w:rFonts w:ascii="Cambria Math" w:hAnsi="Cambria Math"/>
          </w:rPr>
          <m:t>erepro</m:t>
        </m:r>
      </m:oMath>
      <w:r w:rsidRPr="00A658A5">
        <w:t>, because the high RDI/RDD indicates that species are resistant to fishing (flat yield~fishing mortality curves).</w:t>
      </w:r>
    </w:p>
    <w:p w14:paraId="2F824578" w14:textId="77777777" w:rsidR="005C3B0B" w:rsidRPr="00A658A5" w:rsidRDefault="005C3B0B" w:rsidP="00760BDA">
      <w:pPr>
        <w:pStyle w:val="ListParagraph"/>
        <w:numPr>
          <w:ilvl w:val="2"/>
          <w:numId w:val="14"/>
        </w:numPr>
        <w:spacing w:line="360" w:lineRule="auto"/>
        <w:jc w:val="both"/>
        <w:rPr>
          <w:lang w:val="en-GB"/>
        </w:rPr>
      </w:pPr>
      <w:r w:rsidRPr="00A658A5">
        <w:t xml:space="preserve">Go back to Step 2 and proceed forward from there. </w:t>
      </w:r>
    </w:p>
    <w:p w14:paraId="33AFCE75" w14:textId="4E1E9A76" w:rsidR="005C3B0B" w:rsidRPr="00A658A5" w:rsidRDefault="005C3B0B" w:rsidP="00760BDA">
      <w:pPr>
        <w:pStyle w:val="ListParagraph"/>
        <w:numPr>
          <w:ilvl w:val="0"/>
          <w:numId w:val="14"/>
        </w:numPr>
        <w:spacing w:line="360" w:lineRule="auto"/>
        <w:jc w:val="both"/>
      </w:pPr>
      <w:r w:rsidRPr="00A658A5">
        <w:t>Verify that SSBs, growth rates and RDI/RDD are realistic. Then assess emergent diets.</w:t>
      </w:r>
    </w:p>
    <w:p w14:paraId="7A902B61" w14:textId="6326F1C3" w:rsidR="005C3B0B" w:rsidRPr="00A658A5" w:rsidRDefault="005C3B0B" w:rsidP="00760BDA">
      <w:pPr>
        <w:pStyle w:val="ListParagraph"/>
        <w:numPr>
          <w:ilvl w:val="1"/>
          <w:numId w:val="14"/>
        </w:numPr>
        <w:spacing w:line="360" w:lineRule="auto"/>
        <w:jc w:val="both"/>
      </w:pPr>
      <w:r w:rsidRPr="00A658A5">
        <w:t xml:space="preserve">If predatory interactions do not match independent stomach data, re-evaluate the predation kernel. We judged this for cod based on </w:t>
      </w:r>
      <w:r w:rsidRPr="00A658A5">
        <w:fldChar w:fldCharType="begin"/>
      </w:r>
      <w:r w:rsidR="002E5D14">
        <w:instrText xml:space="preserve"> ADDIN ZOTERO_ITEM CSL_CITATION {"citationID":"V7Ebd7Zf","properties":{"formattedCitation":"(Niiranen {\\i{}et al.} 2019)","plainCitation":"(Niiranen et al. 2019)","noteIndex":0},"citationItems":[{"id":809,"uris":["http://zotero.org/users/6116610/items/Z33PFRWH"],"itemData":{"id":809,"type":"article-journal","abstract":"How predators select their prey largely defines ecosystem trophic structure, function and dynamics. In aquatic systems, organism body size is an important trait explaining predator− prey interactions. Here, we used a unique Atlantic cod Gadus morhua stomach content dataset with diet information from over 100 000 individuals collected from the Baltic Sea in 1963−2014, to explore prey size distribution and predator−prey mass ratios in the diet of Eastern Baltic cod. Maximum and average prey sizes increased with predator size, as for cod in other systems. However, the prey size spectra found in Eastern Baltic cod stomachs reflect the low species diversity in the Baltic Sea. In general, Eastern Baltic cod feed on smaller prey in relation to their body size than other cod populations. Due to the truncated prey size distribution in the Baltic Sea, cod cannibalism functions as a compensatory mechanism that allows Baltic cod to reach their prey size potential. On the other hand, small- and intermediate-sized cod prey mainly on a few invertebrate prey species, potentially making them vulnerable to changes in these prey populations. Our results encourage further studies disentangling the relative effects of prey preference and prey availability on cod trophodynamics in species-poor systems such as the Baltic Sea.","container-title":"Marine Ecology Progress Series","DOI":"10.3354/meps13098","ISSN":"0171-8630, 1616-1599","journalAbbreviation":"Mar. Ecol. Prog. Ser.","language":"en","page":"201-206","source":"DOI.org (Crossref)","title":"Predator-prey body size relationships of cod in a low-diversity marine system","volume":"627","author":[{"family":"Niiranen","given":"S"},{"family":"Orio","given":"A"},{"family":"Bartolino","given":"V"},{"family":"Bergström","given":"U"},{"family":"Kallasvuo","given":"M"},{"family":"Neuenfeldt","given":"S"},{"family":"Ustups","given":"D"},{"family":"Casini","given":"M"}],"issued":{"date-parts":[["2019",9,26]]},"citation-key":"niiranenPredatorpreyBodySize2019"}}],"schema":"https://github.com/citation-style-language/schema/raw/master/csl-citation.json"} </w:instrText>
      </w:r>
      <w:r w:rsidRPr="00A658A5">
        <w:fldChar w:fldCharType="separate"/>
      </w:r>
      <w:r w:rsidRPr="00A658A5">
        <w:rPr>
          <w:lang w:val="en-GB"/>
        </w:rPr>
        <w:t xml:space="preserve">(Niiranen </w:t>
      </w:r>
      <w:r w:rsidRPr="00A658A5">
        <w:rPr>
          <w:i/>
          <w:iCs/>
          <w:lang w:val="en-GB"/>
        </w:rPr>
        <w:t>et al.</w:t>
      </w:r>
      <w:r w:rsidRPr="00A658A5">
        <w:rPr>
          <w:lang w:val="en-GB"/>
        </w:rPr>
        <w:t xml:space="preserve"> 2019)</w:t>
      </w:r>
      <w:r w:rsidRPr="00A658A5">
        <w:fldChar w:fldCharType="end"/>
      </w:r>
      <w:r w:rsidRPr="00A658A5">
        <w:t>, who show that benthos (</w:t>
      </w:r>
      <w:r w:rsidRPr="00A658A5">
        <w:rPr>
          <w:i/>
          <w:iCs/>
        </w:rPr>
        <w:t>Saduria entomon</w:t>
      </w:r>
      <w:r w:rsidRPr="00A658A5">
        <w:t>) are found in stomachs of small cod whereas sprat and herring start to appear in the size classes of 20-29 cm. We assume sprat and herring feed mostly on background spectra with only limited piscivory and cannibalism.</w:t>
      </w:r>
    </w:p>
    <w:p w14:paraId="07DD1005" w14:textId="77777777" w:rsidR="005C3B0B" w:rsidRPr="00A658A5" w:rsidRDefault="005C3B0B" w:rsidP="00760BDA">
      <w:pPr>
        <w:pStyle w:val="ListParagraph"/>
        <w:numPr>
          <w:ilvl w:val="0"/>
          <w:numId w:val="14"/>
        </w:numPr>
        <w:spacing w:line="360" w:lineRule="auto"/>
        <w:jc w:val="both"/>
      </w:pPr>
      <w:r w:rsidRPr="00A658A5">
        <w:t xml:space="preserve">Project forward and backwards with time-varying fishing mortality from stock assessment output and temperature data. Compare qualitative trends with stock assessment data. Since the stock assessment data for the three fish species are outputs from different models and assumptions, this serves more as a useful comparison rather than validation of the model. </w:t>
      </w:r>
    </w:p>
    <w:p w14:paraId="46BC32F5" w14:textId="77777777" w:rsidR="005C3B0B" w:rsidRPr="00A658A5" w:rsidRDefault="005C3B0B" w:rsidP="00760BDA">
      <w:pPr>
        <w:pStyle w:val="ListParagraph"/>
        <w:spacing w:line="360" w:lineRule="auto"/>
        <w:jc w:val="both"/>
      </w:pPr>
    </w:p>
    <w:p w14:paraId="21529599"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lang w:val="en-GB"/>
        </w:rPr>
      </w:pPr>
      <w:bookmarkStart w:id="9" w:name="_Toc30849728"/>
      <w:bookmarkStart w:id="10" w:name="_Toc75869559"/>
      <w:r w:rsidRPr="00A658A5">
        <w:rPr>
          <w:rFonts w:ascii="Times New Roman" w:hAnsi="Times New Roman" w:cs="Times New Roman"/>
          <w:color w:val="auto"/>
          <w:sz w:val="28"/>
          <w:szCs w:val="28"/>
          <w:lang w:val="en-GB"/>
        </w:rPr>
        <w:lastRenderedPageBreak/>
        <w:t>Results from calibration procedure</w:t>
      </w:r>
      <w:bookmarkEnd w:id="9"/>
      <w:bookmarkEnd w:id="10"/>
    </w:p>
    <w:p w14:paraId="7841D7DC" w14:textId="04E5DF48" w:rsidR="005C3B0B" w:rsidRDefault="005C3B0B" w:rsidP="00760BDA">
      <w:pPr>
        <w:spacing w:before="240" w:line="360" w:lineRule="auto"/>
        <w:contextualSpacing/>
        <w:jc w:val="both"/>
        <w:rPr>
          <w:rFonts w:eastAsiaTheme="minorEastAsia"/>
        </w:rPr>
      </w:pPr>
      <w:r w:rsidRPr="00A658A5">
        <w:t>The following figures show model output from the final set of parameters found through the calibration procedure</w:t>
      </w:r>
      <w:r w:rsidR="005E18C4">
        <w:t xml:space="preserve"> described above</w:t>
      </w:r>
      <w:r w:rsidRPr="00A658A5">
        <w:t xml:space="preserve"> (Table S1-S2). In addition to the bold parameters in Tables S1-S2 (</w:t>
      </w:r>
      <m:oMath>
        <m:r>
          <w:rPr>
            <w:rFonts w:ascii="Cambria Math" w:hAnsi="Cambria Math"/>
          </w:rPr>
          <m:t>ϵ</m:t>
        </m:r>
      </m:oMath>
      <w:r w:rsidRPr="00A658A5">
        <w:t xml:space="preserve"> and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 we also updated the constant in the maximum consumption rate (</w:t>
      </w:r>
      <m:oMath>
        <m:r>
          <w:rPr>
            <w:rFonts w:ascii="Cambria Math" w:eastAsiaTheme="minorEastAsia" w:hAnsi="Cambria Math"/>
          </w:rPr>
          <m:t>h</m:t>
        </m:r>
      </m:oMath>
      <w:r w:rsidRPr="00A658A5">
        <w:rPr>
          <w:rFonts w:eastAsiaTheme="minorEastAsia"/>
        </w:rPr>
        <w:t xml:space="preserve">) with a factor of 1.3 as body growth was otherwise poor despite a normal feeding level (~0.6). </w:t>
      </w:r>
      <w:r w:rsidR="00D040B9">
        <w:rPr>
          <w:rFonts w:ascii="Times" w:hAnsi="Times" w:cstheme="minorHAnsi"/>
          <w:lang w:val="en-GB"/>
        </w:rPr>
        <w:t>T</w:t>
      </w:r>
      <w:r w:rsidR="00D040B9" w:rsidRPr="00F95139">
        <w:rPr>
          <w:rFonts w:ascii="Times" w:hAnsi="Times" w:cstheme="minorHAnsi"/>
          <w:lang w:val="en-GB"/>
        </w:rPr>
        <w:t>he level</w:t>
      </w:r>
      <w:r w:rsidR="00D040B9">
        <w:rPr>
          <w:rFonts w:ascii="Times" w:hAnsi="Times" w:cstheme="minorHAnsi"/>
          <w:lang w:val="en-GB"/>
        </w:rPr>
        <w:t xml:space="preserve"> </w:t>
      </w:r>
      <w:r w:rsidR="00D040B9" w:rsidRPr="00C24E83">
        <w:rPr>
          <w:rFonts w:ascii="Times" w:hAnsi="Times" w:cstheme="minorHAnsi"/>
        </w:rPr>
        <w:t>of</w:t>
      </w:r>
      <w:r w:rsidR="00D040B9">
        <w:rPr>
          <w:rFonts w:ascii="Times" w:hAnsi="Times" w:cstheme="minorHAnsi"/>
        </w:rPr>
        <w:t xml:space="preserve"> </w:t>
      </w:r>
      <w:r w:rsidR="00D040B9" w:rsidRPr="00F95139">
        <w:rPr>
          <w:rFonts w:ascii="Times" w:hAnsi="Times" w:cstheme="minorHAnsi"/>
          <w:lang w:val="en-GB"/>
        </w:rPr>
        <w:t>density dependence</w:t>
      </w:r>
      <w:r w:rsidR="00D040B9">
        <w:rPr>
          <w:rFonts w:ascii="Times" w:hAnsi="Times" w:cstheme="minorHAnsi"/>
          <w:lang w:val="en-GB"/>
        </w:rPr>
        <w:t xml:space="preserve"> imposed by </w:t>
      </w:r>
      <w:r w:rsidR="00D040B9" w:rsidRPr="00F95139">
        <w:rPr>
          <w:rFonts w:ascii="Times" w:hAnsi="Times" w:cstheme="minorHAnsi"/>
          <w:lang w:val="en-GB"/>
        </w:rPr>
        <w:t>the stock-recruit</w:t>
      </w:r>
      <w:r w:rsidR="00D040B9" w:rsidRPr="00C24E83">
        <w:rPr>
          <w:rFonts w:ascii="Times" w:hAnsi="Times" w:cstheme="minorHAnsi"/>
        </w:rPr>
        <w:t xml:space="preserve"> function</w:t>
      </w:r>
      <w:r w:rsidR="00D040B9">
        <w:rPr>
          <w:rFonts w:ascii="Times" w:hAnsi="Times" w:cstheme="minorHAnsi"/>
        </w:rPr>
        <w:t xml:space="preserve"> (see Eq. 14-15) was evaluated by assessing </w:t>
      </w:r>
      <w:r w:rsidR="00D040B9" w:rsidRPr="00F95139">
        <w:rPr>
          <w:rFonts w:ascii="Times" w:hAnsi="Times" w:cstheme="minorHAnsi"/>
          <w:lang w:val="en-GB"/>
        </w:rPr>
        <w:t xml:space="preserve">the ratio of </w:t>
      </w:r>
      <w:r w:rsidR="00D040B9">
        <w:rPr>
          <w:rFonts w:ascii="Times" w:hAnsi="Times" w:cstheme="minorHAnsi"/>
          <w:lang w:val="en-GB"/>
        </w:rPr>
        <w:t xml:space="preserve">the </w:t>
      </w:r>
      <w:r w:rsidR="00D040B9" w:rsidRPr="00F95139">
        <w:rPr>
          <w:rFonts w:ascii="Times" w:hAnsi="Times"/>
          <w:lang w:val="en-GB"/>
        </w:rPr>
        <w:t>physiological recruitment</w:t>
      </w:r>
      <w:r w:rsidR="00D040B9">
        <w:rPr>
          <w:rFonts w:ascii="Times" w:hAnsi="Times"/>
          <w:lang w:val="en-GB"/>
        </w:rPr>
        <w:t xml:space="preserve">, </w:t>
      </w:r>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phy,i</m:t>
            </m:r>
          </m:sub>
        </m:sSub>
      </m:oMath>
      <w:r w:rsidR="00D040B9">
        <w:rPr>
          <w:rFonts w:ascii="Times" w:eastAsiaTheme="minorEastAsia" w:hAnsi="Times"/>
          <w:lang w:val="en-GB"/>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AA5397">
        <w:rPr>
          <w:rFonts w:ascii="Times" w:eastAsiaTheme="minorEastAsia" w:hAnsi="Times"/>
        </w:rPr>
        <w:t xml:space="preserve"> (</w:t>
      </w:r>
      <w:r w:rsidR="00AA5397" w:rsidRPr="00A658A5">
        <w:t>RDI/RDD</w:t>
      </w:r>
      <w:r w:rsidR="00524A3A">
        <w:t xml:space="preserve"> in </w:t>
      </w:r>
      <w:r w:rsidR="004227BD">
        <w:t>t</w:t>
      </w:r>
      <w:r w:rsidR="00524A3A">
        <w:t xml:space="preserve">he </w:t>
      </w:r>
      <w:r w:rsidR="00524A3A" w:rsidRPr="00A725C7">
        <w:rPr>
          <w:i/>
          <w:iCs/>
        </w:rPr>
        <w:t>mizer</w:t>
      </w:r>
      <w:r w:rsidR="00524A3A">
        <w:t xml:space="preserve"> package</w:t>
      </w:r>
      <w:r w:rsidR="00AA5397">
        <w:t>)</w:t>
      </w:r>
      <w:r w:rsidR="00D040B9">
        <w:rPr>
          <w:rFonts w:ascii="Times" w:eastAsiaTheme="minorEastAsia" w:hAnsi="Times"/>
        </w:rPr>
        <w:t xml:space="preserve"> </w:t>
      </w:r>
      <w:r w:rsidR="00D040B9" w:rsidRPr="00C24E83">
        <w:rPr>
          <w:rFonts w:ascii="Times" w:hAnsi="Times" w:cstheme="minorHAnsi"/>
        </w:rPr>
        <w:fldChar w:fldCharType="begin"/>
      </w:r>
      <w:r w:rsidR="002E5D14">
        <w:rPr>
          <w:rFonts w:ascii="Times" w:hAnsi="Times" w:cstheme="minorHAnsi"/>
          <w:lang w:val="en-GB"/>
        </w:rPr>
        <w:instrText xml:space="preserve"> ADDIN ZOTERO_ITEM CSL_CITATION {"citationID":"zwtKCL5w","properties":{"formattedCitation":"(Jacobsen {\\i{}et al.} 2017)","plainCitation":"(Jacobsen et al. 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00D040B9" w:rsidRPr="00C24E83">
        <w:rPr>
          <w:rFonts w:ascii="Times" w:hAnsi="Times" w:cstheme="minorHAnsi"/>
        </w:rPr>
        <w:fldChar w:fldCharType="separate"/>
      </w:r>
      <w:r w:rsidR="00D040B9" w:rsidRPr="00C24E83">
        <w:rPr>
          <w:rFonts w:ascii="Times" w:hAnsi="Times"/>
          <w:lang w:val="en-GB"/>
        </w:rPr>
        <w:t xml:space="preserve">(Jacobsen </w:t>
      </w:r>
      <w:r w:rsidR="00D040B9" w:rsidRPr="00C24E83">
        <w:rPr>
          <w:rFonts w:ascii="Times" w:hAnsi="Times"/>
          <w:i/>
          <w:iCs/>
          <w:lang w:val="en-GB"/>
        </w:rPr>
        <w:t>et al.</w:t>
      </w:r>
      <w:r w:rsidR="00D040B9" w:rsidRPr="00C24E83">
        <w:rPr>
          <w:rFonts w:ascii="Times" w:hAnsi="Times"/>
          <w:lang w:val="en-GB"/>
        </w:rPr>
        <w:t xml:space="preserve"> 2017)</w:t>
      </w:r>
      <w:r w:rsidR="00D040B9" w:rsidRPr="00C24E83">
        <w:rPr>
          <w:rFonts w:ascii="Times" w:hAnsi="Times" w:cstheme="minorHAnsi"/>
        </w:rPr>
        <w:fldChar w:fldCharType="end"/>
      </w:r>
      <w:r w:rsidR="00D040B9" w:rsidRPr="00F95139">
        <w:rPr>
          <w:rFonts w:ascii="Times" w:hAnsi="Times" w:cstheme="minorHAnsi"/>
          <w:lang w:val="en-GB"/>
        </w:rPr>
        <w:t>. If th</w:t>
      </w:r>
      <w:r w:rsidR="00D040B9" w:rsidRPr="00C24E83">
        <w:rPr>
          <w:rFonts w:ascii="Times" w:hAnsi="Times" w:cstheme="minorHAnsi"/>
        </w:rPr>
        <w:t>is</w:t>
      </w:r>
      <w:r w:rsidR="00D040B9" w:rsidRPr="00F95139">
        <w:rPr>
          <w:rFonts w:ascii="Times" w:hAnsi="Times" w:cstheme="minorHAnsi"/>
          <w:lang w:val="en-GB"/>
        </w:rPr>
        <w:t xml:space="preserve"> ratio </w:t>
      </w:r>
      <w:r w:rsidR="00D040B9">
        <w:rPr>
          <w:rFonts w:ascii="Times" w:hAnsi="Times" w:cstheme="minorHAnsi"/>
          <w:lang w:val="en-GB"/>
        </w:rPr>
        <w:t xml:space="preserve">is </w:t>
      </w:r>
      <w:r w:rsidR="00D040B9" w:rsidRPr="00F95139">
        <w:rPr>
          <w:rFonts w:ascii="Times" w:hAnsi="Times" w:cstheme="minorHAnsi"/>
          <w:lang w:val="en-GB"/>
        </w:rPr>
        <w:t xml:space="preserve">1, there is no additional density dependence from the stock-recruitment function </w:t>
      </w:r>
      <w:r w:rsidR="00D040B9">
        <w:rPr>
          <w:rFonts w:ascii="Times" w:hAnsi="Times" w:cstheme="minorHAnsi"/>
          <w:lang w:val="en-GB"/>
        </w:rPr>
        <w:t xml:space="preserve">because the species are at the linear part of the stock-recruit relationship. </w:t>
      </w:r>
      <w:r w:rsidR="00D040B9" w:rsidRPr="00F95139">
        <w:rPr>
          <w:rFonts w:ascii="Times" w:hAnsi="Times" w:cstheme="minorHAnsi"/>
          <w:lang w:val="en-GB"/>
        </w:rPr>
        <w:t>After calibrating the model, we acquired</w:t>
      </w:r>
      <w:r w:rsidR="00D040B9" w:rsidRPr="00C24E83">
        <w:t xml:space="preserve"> </w:t>
      </w:r>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phy,i</m:t>
                </m:r>
              </m:sub>
            </m:sSub>
          </m:num>
          <m:den>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m:t>
                </m:r>
              </m:sub>
            </m:sSub>
          </m:den>
        </m:f>
      </m:oMath>
      <w:r w:rsidR="00D040B9" w:rsidRPr="00C24E83">
        <w:t xml:space="preserve"> ratios of </w:t>
      </w:r>
      <w:r w:rsidR="00D040B9" w:rsidRPr="0004327E">
        <w:t>5</w:t>
      </w:r>
      <w:r w:rsidR="00A2217C">
        <w:t>54</w:t>
      </w:r>
      <w:r w:rsidR="00D040B9">
        <w:t xml:space="preserve">, 79 and </w:t>
      </w:r>
      <w:r w:rsidR="00691FEA">
        <w:t>28</w:t>
      </w:r>
      <w:r w:rsidR="00D040B9">
        <w:t xml:space="preserve"> </w:t>
      </w:r>
      <w:r w:rsidR="00D040B9" w:rsidRPr="00C24E83">
        <w:t xml:space="preserve">for cod, </w:t>
      </w:r>
      <w:r w:rsidR="00D040B9">
        <w:t xml:space="preserve">herring and </w:t>
      </w:r>
      <w:r w:rsidR="00D040B9" w:rsidRPr="00C24E83">
        <w:t>sprat, respectively</w:t>
      </w:r>
      <w:r w:rsidR="00AF245F">
        <w:t xml:space="preserve">. </w:t>
      </w:r>
      <w:r w:rsidR="006466D9">
        <w:t>High values (</w:t>
      </w:r>
      <w:r w:rsidR="00991CD6">
        <w:t>&gt;100</w:t>
      </w:r>
      <w:r w:rsidR="006466D9">
        <w:t xml:space="preserve">) </w:t>
      </w:r>
      <w:r w:rsidR="00AE2092">
        <w:t xml:space="preserve">suggest </w:t>
      </w:r>
      <w:r w:rsidR="00E879E7">
        <w:t xml:space="preserve">recruitment is largely controlled by </w:t>
      </w:r>
      <w:r w:rsidR="00BE08E4">
        <w:t xml:space="preserve">the external parameter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004C5FA4">
        <w:rPr>
          <w:rFonts w:eastAsiaTheme="minorEastAsia"/>
        </w:rPr>
        <w:t xml:space="preserve"> </w:t>
      </w:r>
      <w:r w:rsidR="00F84042">
        <w:rPr>
          <w:rFonts w:eastAsiaTheme="minorEastAsia"/>
        </w:rPr>
        <w:fldChar w:fldCharType="begin"/>
      </w:r>
      <w:r w:rsidR="002E5D14">
        <w:rPr>
          <w:rFonts w:eastAsiaTheme="minorEastAsia"/>
        </w:rPr>
        <w:instrText xml:space="preserve"> ADDIN ZOTERO_ITEM CSL_CITATION {"citationID":"zP75wtiF","properties":{"formattedCitation":"(Jacobsen {\\i{}et al.} 2017)","plainCitation":"(Jacobsen et al. 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00F84042">
        <w:rPr>
          <w:rFonts w:eastAsiaTheme="minorEastAsia"/>
        </w:rPr>
        <w:fldChar w:fldCharType="separate"/>
      </w:r>
      <w:r w:rsidR="00F84042" w:rsidRPr="00F84042">
        <w:rPr>
          <w:lang w:val="en-GB"/>
        </w:rPr>
        <w:t xml:space="preserve">(Jacobsen </w:t>
      </w:r>
      <w:r w:rsidR="00F84042" w:rsidRPr="00F84042">
        <w:rPr>
          <w:i/>
          <w:iCs/>
          <w:lang w:val="en-GB"/>
        </w:rPr>
        <w:t>et al.</w:t>
      </w:r>
      <w:r w:rsidR="00F84042" w:rsidRPr="00F84042">
        <w:rPr>
          <w:lang w:val="en-GB"/>
        </w:rPr>
        <w:t xml:space="preserve"> 2017)</w:t>
      </w:r>
      <w:r w:rsidR="00F84042">
        <w:rPr>
          <w:rFonts w:eastAsiaTheme="minorEastAsia"/>
        </w:rPr>
        <w:fldChar w:fldCharType="end"/>
      </w:r>
      <w:r w:rsidR="00452C81">
        <w:t xml:space="preserve">, which in our case can be said for cod, and to a lesser </w:t>
      </w:r>
      <w:r w:rsidR="00E62765">
        <w:t>extent</w:t>
      </w:r>
      <w:r w:rsidR="00452C81">
        <w:t>, sprat and herring</w:t>
      </w:r>
      <w:r w:rsidR="00C7305E">
        <w:rPr>
          <w:rFonts w:eastAsiaTheme="minorEastAsia"/>
        </w:rPr>
        <w:t>.</w:t>
      </w:r>
    </w:p>
    <w:p w14:paraId="0CE70297" w14:textId="77777777" w:rsidR="00B40A54" w:rsidRPr="00A658A5" w:rsidRDefault="00B40A54" w:rsidP="00760BDA">
      <w:pPr>
        <w:spacing w:before="240" w:line="360" w:lineRule="auto"/>
        <w:contextualSpacing/>
        <w:jc w:val="both"/>
        <w:rPr>
          <w:rFonts w:eastAsiaTheme="minorEastAsia"/>
        </w:rPr>
      </w:pPr>
    </w:p>
    <w:p w14:paraId="3BF65BE9" w14:textId="2FD6C574" w:rsidR="005C3B0B" w:rsidRPr="00A658A5" w:rsidRDefault="000A5D2D" w:rsidP="00760BDA">
      <w:pPr>
        <w:spacing w:before="240" w:line="360" w:lineRule="auto"/>
        <w:contextualSpacing/>
        <w:jc w:val="center"/>
        <w:rPr>
          <w:rFonts w:eastAsiaTheme="minorEastAsia"/>
        </w:rPr>
      </w:pPr>
      <w:r>
        <w:rPr>
          <w:rFonts w:eastAsiaTheme="minorEastAsia"/>
          <w:noProof/>
          <w:lang w:val="sv-SE" w:eastAsia="sv-SE"/>
        </w:rPr>
        <w:drawing>
          <wp:inline distT="0" distB="0" distL="0" distR="0" wp14:anchorId="5D61CB2E" wp14:editId="70A31F31">
            <wp:extent cx="5731171" cy="2033081"/>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13" cstate="print">
                      <a:extLst>
                        <a:ext uri="{28A0092B-C50C-407E-A947-70E740481C1C}">
                          <a14:useLocalDpi xmlns:a14="http://schemas.microsoft.com/office/drawing/2010/main" val="0"/>
                        </a:ext>
                      </a:extLst>
                    </a:blip>
                    <a:srcRect t="32247" b="32279"/>
                    <a:stretch/>
                  </pic:blipFill>
                  <pic:spPr bwMode="auto">
                    <a:xfrm>
                      <a:off x="0" y="0"/>
                      <a:ext cx="5731510" cy="2033201"/>
                    </a:xfrm>
                    <a:prstGeom prst="rect">
                      <a:avLst/>
                    </a:prstGeom>
                    <a:ln>
                      <a:noFill/>
                    </a:ln>
                    <a:extLst>
                      <a:ext uri="{53640926-AAD7-44D8-BBD7-CCE9431645EC}">
                        <a14:shadowObscured xmlns:a14="http://schemas.microsoft.com/office/drawing/2010/main"/>
                      </a:ext>
                    </a:extLst>
                  </pic:spPr>
                </pic:pic>
              </a:graphicData>
            </a:graphic>
          </wp:inline>
        </w:drawing>
      </w:r>
    </w:p>
    <w:p w14:paraId="7530C8C4" w14:textId="4E68DDA4" w:rsidR="005C3B0B" w:rsidRPr="00A658A5" w:rsidRDefault="005C3B0B" w:rsidP="00760BDA">
      <w:pPr>
        <w:spacing w:line="360" w:lineRule="auto"/>
        <w:contextualSpacing/>
        <w:jc w:val="both"/>
        <w:rPr>
          <w:i/>
          <w:iCs/>
        </w:rPr>
      </w:pPr>
      <w:r w:rsidRPr="00A658A5">
        <w:rPr>
          <w:i/>
          <w:iCs/>
        </w:rPr>
        <w:t>Figure S</w:t>
      </w:r>
      <w:r w:rsidR="00466576">
        <w:rPr>
          <w:i/>
          <w:iCs/>
        </w:rPr>
        <w:t>4</w:t>
      </w:r>
      <w:r w:rsidRPr="00A658A5">
        <w:rPr>
          <w:i/>
          <w:iCs/>
        </w:rPr>
        <w:t>. Time-series of spawning stock biomass (SSB) (A) and fishing mortality (B) from stock assessment model estimates</w:t>
      </w:r>
      <w:r w:rsidR="0061678B">
        <w:rPr>
          <w:i/>
          <w:iCs/>
        </w:rPr>
        <w:t xml:space="preserve"> </w:t>
      </w:r>
      <w:r w:rsidR="00600FFE">
        <w:rPr>
          <w:i/>
          <w:iCs/>
        </w:rPr>
        <w:fldChar w:fldCharType="begin"/>
      </w:r>
      <w:r w:rsidR="002E5D14">
        <w:rPr>
          <w:i/>
          <w:iCs/>
        </w:rPr>
        <w:instrText xml:space="preserve"> ADDIN ZOTERO_ITEM CSL_CITATION {"citationID":"jTMOYgs1","properties":{"formattedCitation":"(ICES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UPAMMKgU/9E6TJB0Z","uris":["http://zotero.org/users/local/FTg3Qpza/items/5BPR42FJ"],"itemData":{"id":"9uScQNws/HtlE35yZ","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600FFE">
        <w:rPr>
          <w:i/>
          <w:iCs/>
        </w:rPr>
        <w:fldChar w:fldCharType="separate"/>
      </w:r>
      <w:r w:rsidR="00600FFE">
        <w:rPr>
          <w:i/>
          <w:iCs/>
          <w:noProof/>
        </w:rPr>
        <w:t>(ICES 2013, 2015)</w:t>
      </w:r>
      <w:r w:rsidR="00600FFE">
        <w:rPr>
          <w:i/>
          <w:iCs/>
        </w:rPr>
        <w:fldChar w:fldCharType="end"/>
      </w:r>
      <w:r w:rsidRPr="00A658A5">
        <w:rPr>
          <w:i/>
          <w:iCs/>
        </w:rPr>
        <w:t>. Grey background shows calibration period, dotted horizontal lines show the mean of each time series in the calibration time period.</w:t>
      </w:r>
    </w:p>
    <w:p w14:paraId="6B930036" w14:textId="056C5EDF" w:rsidR="005C3B0B" w:rsidRDefault="005C3B0B" w:rsidP="00760BDA">
      <w:pPr>
        <w:spacing w:before="240" w:line="360" w:lineRule="auto"/>
        <w:contextualSpacing/>
        <w:jc w:val="both"/>
        <w:rPr>
          <w:rFonts w:eastAsiaTheme="minorEastAsia"/>
        </w:rPr>
      </w:pPr>
    </w:p>
    <w:p w14:paraId="29804B3C" w14:textId="43C8AA49" w:rsidR="0041383A" w:rsidRDefault="0041383A" w:rsidP="00760BDA">
      <w:pPr>
        <w:spacing w:before="240" w:line="360" w:lineRule="auto"/>
        <w:contextualSpacing/>
        <w:jc w:val="both"/>
        <w:rPr>
          <w:rFonts w:eastAsiaTheme="minorEastAsia"/>
        </w:rPr>
      </w:pPr>
    </w:p>
    <w:p w14:paraId="017BFEF3" w14:textId="4AD5D565" w:rsidR="005C3B0B" w:rsidRPr="00A658A5" w:rsidRDefault="00862005" w:rsidP="00760BDA">
      <w:pPr>
        <w:spacing w:before="240" w:line="360" w:lineRule="auto"/>
        <w:contextualSpacing/>
        <w:jc w:val="center"/>
        <w:rPr>
          <w:rFonts w:eastAsiaTheme="minorEastAsia"/>
        </w:rPr>
      </w:pPr>
      <w:r>
        <w:rPr>
          <w:rFonts w:eastAsiaTheme="minorEastAsia"/>
          <w:noProof/>
          <w:lang w:val="sv-SE" w:eastAsia="sv-SE"/>
        </w:rPr>
        <w:lastRenderedPageBreak/>
        <w:drawing>
          <wp:inline distT="0" distB="0" distL="0" distR="0" wp14:anchorId="08686062" wp14:editId="6C314237">
            <wp:extent cx="5731164" cy="5496128"/>
            <wp:effectExtent l="0" t="0" r="0" b="3175"/>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rotWithShape="1">
                    <a:blip r:embed="rId14" cstate="print">
                      <a:extLst>
                        <a:ext uri="{28A0092B-C50C-407E-A947-70E740481C1C}">
                          <a14:useLocalDpi xmlns:a14="http://schemas.microsoft.com/office/drawing/2010/main" val="0"/>
                        </a:ext>
                      </a:extLst>
                    </a:blip>
                    <a:srcRect t="2376" b="1724"/>
                    <a:stretch/>
                  </pic:blipFill>
                  <pic:spPr bwMode="auto">
                    <a:xfrm>
                      <a:off x="0" y="0"/>
                      <a:ext cx="5731510" cy="5496460"/>
                    </a:xfrm>
                    <a:prstGeom prst="rect">
                      <a:avLst/>
                    </a:prstGeom>
                    <a:ln>
                      <a:noFill/>
                    </a:ln>
                    <a:extLst>
                      <a:ext uri="{53640926-AAD7-44D8-BBD7-CCE9431645EC}">
                        <a14:shadowObscured xmlns:a14="http://schemas.microsoft.com/office/drawing/2010/main"/>
                      </a:ext>
                    </a:extLst>
                  </pic:spPr>
                </pic:pic>
              </a:graphicData>
            </a:graphic>
          </wp:inline>
        </w:drawing>
      </w:r>
    </w:p>
    <w:p w14:paraId="0CF04FFA" w14:textId="63FAC1F9" w:rsidR="005C3B0B" w:rsidRPr="00A658A5" w:rsidRDefault="005C3B0B" w:rsidP="00760BDA">
      <w:pPr>
        <w:pStyle w:val="Caption"/>
        <w:spacing w:line="360" w:lineRule="auto"/>
        <w:contextualSpacing/>
        <w:jc w:val="both"/>
        <w:rPr>
          <w:color w:val="auto"/>
          <w:sz w:val="24"/>
          <w:szCs w:val="24"/>
        </w:rPr>
      </w:pPr>
      <w:r w:rsidRPr="00A658A5">
        <w:rPr>
          <w:color w:val="auto"/>
          <w:sz w:val="24"/>
          <w:szCs w:val="24"/>
        </w:rPr>
        <w:t>Figure S</w:t>
      </w:r>
      <w:r w:rsidR="00C94018">
        <w:rPr>
          <w:color w:val="auto"/>
          <w:sz w:val="24"/>
          <w:szCs w:val="24"/>
        </w:rPr>
        <w:t>5</w:t>
      </w:r>
      <w:r w:rsidRPr="00A658A5">
        <w:rPr>
          <w:color w:val="auto"/>
          <w:sz w:val="24"/>
          <w:szCs w:val="24"/>
        </w:rPr>
        <w:t>. Biomass spectra of species and background resources (top) and feeding levels as a function of body size (</w:t>
      </w:r>
      <w:r w:rsidRPr="00A658A5">
        <w:rPr>
          <w:i w:val="0"/>
          <w:iCs w:val="0"/>
          <w:color w:val="auto"/>
          <w:sz w:val="24"/>
          <w:szCs w:val="24"/>
        </w:rPr>
        <w:t>g</w:t>
      </w:r>
      <w:r w:rsidRPr="00A658A5">
        <w:rPr>
          <w:color w:val="auto"/>
          <w:sz w:val="24"/>
          <w:szCs w:val="24"/>
        </w:rPr>
        <w:t>) from the size spectrum model simulated to steady state using the calibrated model parameters (Table S1-S2).</w:t>
      </w:r>
    </w:p>
    <w:p w14:paraId="7A38D6ED" w14:textId="77777777" w:rsidR="005C3B0B" w:rsidRPr="00A658A5" w:rsidRDefault="005C3B0B" w:rsidP="00760BDA">
      <w:pPr>
        <w:spacing w:line="360" w:lineRule="auto"/>
        <w:contextualSpacing/>
        <w:jc w:val="center"/>
      </w:pPr>
    </w:p>
    <w:p w14:paraId="719A34C6" w14:textId="77777777" w:rsidR="005C3B0B" w:rsidRPr="00A658A5" w:rsidRDefault="005C3B0B" w:rsidP="00760BDA">
      <w:pPr>
        <w:spacing w:line="360" w:lineRule="auto"/>
        <w:contextualSpacing/>
        <w:jc w:val="center"/>
      </w:pPr>
    </w:p>
    <w:p w14:paraId="43E77D1A" w14:textId="77777777" w:rsidR="005C3B0B" w:rsidRPr="00A658A5" w:rsidRDefault="005C3B0B" w:rsidP="00760BDA">
      <w:pPr>
        <w:spacing w:line="360" w:lineRule="auto"/>
        <w:contextualSpacing/>
        <w:jc w:val="center"/>
      </w:pPr>
    </w:p>
    <w:p w14:paraId="22B71AF3" w14:textId="5BD8EC52" w:rsidR="005C3B0B" w:rsidRDefault="005C3B0B" w:rsidP="00760BDA">
      <w:pPr>
        <w:spacing w:line="360" w:lineRule="auto"/>
        <w:contextualSpacing/>
        <w:jc w:val="center"/>
      </w:pPr>
    </w:p>
    <w:p w14:paraId="2BEEEF1A" w14:textId="1B55C779" w:rsidR="00FB10D0" w:rsidRDefault="00FB10D0" w:rsidP="00760BDA">
      <w:pPr>
        <w:spacing w:line="360" w:lineRule="auto"/>
        <w:contextualSpacing/>
        <w:jc w:val="center"/>
      </w:pPr>
    </w:p>
    <w:p w14:paraId="44D21B90" w14:textId="102819C8" w:rsidR="00FB10D0" w:rsidRDefault="00FB10D0" w:rsidP="00760BDA">
      <w:pPr>
        <w:spacing w:line="360" w:lineRule="auto"/>
        <w:contextualSpacing/>
        <w:jc w:val="center"/>
      </w:pPr>
    </w:p>
    <w:p w14:paraId="6D71D6B5" w14:textId="5F07F0E4" w:rsidR="00FB10D0" w:rsidRDefault="00FB10D0" w:rsidP="00760BDA">
      <w:pPr>
        <w:spacing w:line="360" w:lineRule="auto"/>
        <w:contextualSpacing/>
        <w:jc w:val="center"/>
      </w:pPr>
    </w:p>
    <w:p w14:paraId="6591A136" w14:textId="45307FDE" w:rsidR="005C3B0B" w:rsidRDefault="005C3B0B" w:rsidP="00760BDA">
      <w:pPr>
        <w:spacing w:line="360" w:lineRule="auto"/>
        <w:contextualSpacing/>
        <w:jc w:val="center"/>
      </w:pPr>
    </w:p>
    <w:p w14:paraId="70A63D70" w14:textId="5BB8A758" w:rsidR="00FB10D0" w:rsidRDefault="00FB10D0" w:rsidP="00760BDA">
      <w:pPr>
        <w:spacing w:line="360" w:lineRule="auto"/>
        <w:contextualSpacing/>
        <w:jc w:val="center"/>
      </w:pPr>
    </w:p>
    <w:p w14:paraId="4F1EFDBD" w14:textId="2D9251B9" w:rsidR="00BB3BF8" w:rsidRPr="00A658A5" w:rsidRDefault="0083796A" w:rsidP="00760BDA">
      <w:pPr>
        <w:spacing w:line="360" w:lineRule="auto"/>
        <w:contextualSpacing/>
        <w:jc w:val="center"/>
      </w:pPr>
      <w:r>
        <w:rPr>
          <w:noProof/>
          <w:lang w:val="sv-SE" w:eastAsia="sv-SE"/>
        </w:rPr>
        <w:lastRenderedPageBreak/>
        <w:drawing>
          <wp:inline distT="0" distB="0" distL="0" distR="0" wp14:anchorId="6155F627" wp14:editId="61705076">
            <wp:extent cx="5731510" cy="573151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05548EE" w14:textId="379D1355" w:rsidR="005C3B0B" w:rsidRPr="00A658A5" w:rsidRDefault="005C3B0B" w:rsidP="00760BDA">
      <w:pPr>
        <w:pStyle w:val="Caption"/>
        <w:spacing w:line="360" w:lineRule="auto"/>
        <w:contextualSpacing/>
        <w:jc w:val="both"/>
        <w:rPr>
          <w:color w:val="auto"/>
          <w:sz w:val="24"/>
          <w:szCs w:val="24"/>
          <w:lang w:val="en-GB"/>
        </w:rPr>
      </w:pPr>
      <w:r w:rsidRPr="00A658A5">
        <w:rPr>
          <w:color w:val="auto"/>
          <w:sz w:val="24"/>
          <w:szCs w:val="24"/>
        </w:rPr>
        <w:t>Figure S</w:t>
      </w:r>
      <w:r w:rsidR="004101F9">
        <w:rPr>
          <w:color w:val="auto"/>
          <w:sz w:val="24"/>
          <w:szCs w:val="24"/>
        </w:rPr>
        <w:t>6</w:t>
      </w:r>
      <w:r w:rsidRPr="00A658A5">
        <w:rPr>
          <w:color w:val="auto"/>
          <w:sz w:val="24"/>
          <w:szCs w:val="24"/>
        </w:rPr>
        <w:t xml:space="preserve">. Size-at-age </w:t>
      </w:r>
      <w:r w:rsidR="00AE608B">
        <w:rPr>
          <w:color w:val="auto"/>
          <w:sz w:val="24"/>
          <w:szCs w:val="24"/>
        </w:rPr>
        <w:t>(</w:t>
      </w:r>
      <w:r w:rsidRPr="00A658A5">
        <w:rPr>
          <w:color w:val="auto"/>
          <w:sz w:val="24"/>
          <w:szCs w:val="24"/>
        </w:rPr>
        <w:t>g</w:t>
      </w:r>
      <w:r w:rsidR="00AE608B">
        <w:rPr>
          <w:color w:val="auto"/>
          <w:sz w:val="24"/>
          <w:szCs w:val="24"/>
        </w:rPr>
        <w:t>)</w:t>
      </w:r>
      <w:r w:rsidRPr="00A658A5">
        <w:rPr>
          <w:color w:val="auto"/>
          <w:sz w:val="24"/>
          <w:szCs w:val="24"/>
        </w:rPr>
        <w:t xml:space="preserve"> from size spectrum model (solid </w:t>
      </w:r>
      <w:r w:rsidR="00334E4B">
        <w:rPr>
          <w:color w:val="auto"/>
          <w:sz w:val="24"/>
          <w:szCs w:val="24"/>
        </w:rPr>
        <w:t>purple</w:t>
      </w:r>
      <w:r w:rsidRPr="00A658A5">
        <w:rPr>
          <w:color w:val="auto"/>
          <w:sz w:val="24"/>
          <w:szCs w:val="24"/>
        </w:rPr>
        <w:t xml:space="preserve"> line) run to steady state using the calibrated model parameters, growth curves from </w:t>
      </w:r>
      <w:r w:rsidR="006A40DB">
        <w:rPr>
          <w:color w:val="auto"/>
          <w:sz w:val="24"/>
          <w:szCs w:val="24"/>
        </w:rPr>
        <w:t xml:space="preserve">the </w:t>
      </w:r>
      <w:r w:rsidRPr="00A658A5">
        <w:rPr>
          <w:color w:val="auto"/>
          <w:sz w:val="24"/>
          <w:szCs w:val="24"/>
        </w:rPr>
        <w:t>von Bertalanffy growth equation (</w:t>
      </w:r>
      <w:r w:rsidR="00326A82">
        <w:rPr>
          <w:color w:val="auto"/>
          <w:sz w:val="24"/>
          <w:szCs w:val="24"/>
        </w:rPr>
        <w:t>two-dashed yellow line</w:t>
      </w:r>
      <w:r w:rsidRPr="00A658A5">
        <w:rPr>
          <w:color w:val="auto"/>
          <w:sz w:val="24"/>
          <w:szCs w:val="24"/>
        </w:rPr>
        <w:t>) fitted to length-at-age data from the B</w:t>
      </w:r>
      <w:r w:rsidR="00BE3A07">
        <w:rPr>
          <w:color w:val="auto"/>
          <w:sz w:val="24"/>
          <w:szCs w:val="24"/>
        </w:rPr>
        <w:t xml:space="preserve">altic </w:t>
      </w:r>
      <w:r w:rsidRPr="00A658A5">
        <w:rPr>
          <w:color w:val="auto"/>
          <w:sz w:val="24"/>
          <w:szCs w:val="24"/>
        </w:rPr>
        <w:t>I</w:t>
      </w:r>
      <w:r w:rsidR="00BE3A07">
        <w:rPr>
          <w:color w:val="auto"/>
          <w:sz w:val="24"/>
          <w:szCs w:val="24"/>
        </w:rPr>
        <w:t xml:space="preserve">nternational </w:t>
      </w:r>
      <w:r w:rsidRPr="00A658A5">
        <w:rPr>
          <w:color w:val="auto"/>
          <w:sz w:val="24"/>
          <w:szCs w:val="24"/>
        </w:rPr>
        <w:t>T</w:t>
      </w:r>
      <w:r w:rsidR="00BE3A07">
        <w:rPr>
          <w:color w:val="auto"/>
          <w:sz w:val="24"/>
          <w:szCs w:val="24"/>
        </w:rPr>
        <w:t xml:space="preserve">rawl </w:t>
      </w:r>
      <w:r w:rsidRPr="00A658A5">
        <w:rPr>
          <w:color w:val="auto"/>
          <w:sz w:val="24"/>
          <w:szCs w:val="24"/>
        </w:rPr>
        <w:t>S</w:t>
      </w:r>
      <w:r w:rsidR="00BE3A07">
        <w:rPr>
          <w:color w:val="auto"/>
          <w:sz w:val="24"/>
          <w:szCs w:val="24"/>
        </w:rPr>
        <w:t>urvey</w:t>
      </w:r>
      <w:r w:rsidRPr="00A658A5">
        <w:rPr>
          <w:color w:val="auto"/>
          <w:sz w:val="24"/>
          <w:szCs w:val="24"/>
        </w:rPr>
        <w:t xml:space="preserve"> (semitransparent dark grey points) and then converted to mass using the length-weight relationship estimated in this study.</w:t>
      </w:r>
    </w:p>
    <w:p w14:paraId="12DBD19E" w14:textId="77777777" w:rsidR="005C3B0B" w:rsidRPr="00A658A5" w:rsidRDefault="005C3B0B" w:rsidP="00760BDA">
      <w:pPr>
        <w:spacing w:line="360" w:lineRule="auto"/>
        <w:contextualSpacing/>
      </w:pPr>
    </w:p>
    <w:p w14:paraId="16055751" w14:textId="283F51B1" w:rsidR="005C3B0B" w:rsidRDefault="005C3B0B" w:rsidP="00760BDA">
      <w:pPr>
        <w:spacing w:line="360" w:lineRule="auto"/>
        <w:contextualSpacing/>
      </w:pPr>
    </w:p>
    <w:p w14:paraId="202DADBF" w14:textId="7EB87FBD" w:rsidR="00F64E1F" w:rsidRDefault="00F64E1F" w:rsidP="00760BDA">
      <w:pPr>
        <w:spacing w:line="360" w:lineRule="auto"/>
        <w:contextualSpacing/>
      </w:pPr>
    </w:p>
    <w:p w14:paraId="07097F62" w14:textId="0FFD7454" w:rsidR="00F64E1F" w:rsidRDefault="00F64E1F" w:rsidP="00760BDA">
      <w:pPr>
        <w:spacing w:line="360" w:lineRule="auto"/>
        <w:contextualSpacing/>
      </w:pPr>
    </w:p>
    <w:p w14:paraId="0964781C" w14:textId="1CA19025" w:rsidR="00F64E1F" w:rsidRDefault="00F64E1F" w:rsidP="00760BDA">
      <w:pPr>
        <w:spacing w:line="360" w:lineRule="auto"/>
        <w:contextualSpacing/>
      </w:pPr>
    </w:p>
    <w:p w14:paraId="7D2397D5" w14:textId="0F2CD649" w:rsidR="00F64E1F" w:rsidRDefault="00F64E1F" w:rsidP="00760BDA">
      <w:pPr>
        <w:spacing w:line="360" w:lineRule="auto"/>
        <w:contextualSpacing/>
      </w:pPr>
    </w:p>
    <w:p w14:paraId="384E3A86" w14:textId="649784D3" w:rsidR="005C3B0B" w:rsidRPr="00A658A5" w:rsidRDefault="008540FA" w:rsidP="00760BDA">
      <w:pPr>
        <w:spacing w:line="360" w:lineRule="auto"/>
        <w:contextualSpacing/>
        <w:jc w:val="center"/>
      </w:pPr>
      <w:r>
        <w:rPr>
          <w:noProof/>
          <w:lang w:val="sv-SE" w:eastAsia="sv-SE"/>
        </w:rPr>
        <w:lastRenderedPageBreak/>
        <w:drawing>
          <wp:inline distT="0" distB="0" distL="0" distR="0" wp14:anchorId="23CF7FC0" wp14:editId="480EBF18">
            <wp:extent cx="5731210" cy="2538919"/>
            <wp:effectExtent l="0" t="0" r="0" b="127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rotWithShape="1">
                    <a:blip r:embed="rId16" cstate="print">
                      <a:extLst>
                        <a:ext uri="{28A0092B-C50C-407E-A947-70E740481C1C}">
                          <a14:useLocalDpi xmlns:a14="http://schemas.microsoft.com/office/drawing/2010/main" val="0"/>
                        </a:ext>
                      </a:extLst>
                    </a:blip>
                    <a:srcRect t="28005" b="27696"/>
                    <a:stretch/>
                  </pic:blipFill>
                  <pic:spPr bwMode="auto">
                    <a:xfrm>
                      <a:off x="0" y="0"/>
                      <a:ext cx="5731510" cy="2539052"/>
                    </a:xfrm>
                    <a:prstGeom prst="rect">
                      <a:avLst/>
                    </a:prstGeom>
                    <a:ln>
                      <a:noFill/>
                    </a:ln>
                    <a:extLst>
                      <a:ext uri="{53640926-AAD7-44D8-BBD7-CCE9431645EC}">
                        <a14:shadowObscured xmlns:a14="http://schemas.microsoft.com/office/drawing/2010/main"/>
                      </a:ext>
                    </a:extLst>
                  </pic:spPr>
                </pic:pic>
              </a:graphicData>
            </a:graphic>
          </wp:inline>
        </w:drawing>
      </w:r>
    </w:p>
    <w:p w14:paraId="2C280311" w14:textId="69081022" w:rsidR="005C3B0B" w:rsidRDefault="005C3B0B" w:rsidP="00760BDA">
      <w:pPr>
        <w:pStyle w:val="Caption"/>
        <w:spacing w:line="360" w:lineRule="auto"/>
        <w:contextualSpacing/>
        <w:jc w:val="both"/>
        <w:rPr>
          <w:color w:val="auto"/>
          <w:sz w:val="24"/>
          <w:szCs w:val="24"/>
        </w:rPr>
      </w:pPr>
      <w:r w:rsidRPr="00A658A5">
        <w:rPr>
          <w:color w:val="auto"/>
          <w:sz w:val="24"/>
          <w:szCs w:val="24"/>
        </w:rPr>
        <w:t>Figure S</w:t>
      </w:r>
      <w:r w:rsidR="009665E9">
        <w:rPr>
          <w:color w:val="auto"/>
          <w:sz w:val="24"/>
          <w:szCs w:val="24"/>
        </w:rPr>
        <w:t>7</w:t>
      </w:r>
      <w:r w:rsidRPr="00A658A5">
        <w:rPr>
          <w:color w:val="auto"/>
          <w:sz w:val="24"/>
          <w:szCs w:val="24"/>
        </w:rPr>
        <w:t>. Predicted (size-spectrum model) vs ‘observed’ (stock assessment) spawning stock biomass (SSB) per species. A) Mean predicted SSB (</w:t>
      </w:r>
      <w:r w:rsidR="00BE3A07">
        <w:rPr>
          <w:color w:val="auto"/>
          <w:sz w:val="24"/>
          <w:szCs w:val="24"/>
        </w:rPr>
        <w:t>final</w:t>
      </w:r>
      <w:r w:rsidR="00BE3A07" w:rsidRPr="00A658A5">
        <w:rPr>
          <w:color w:val="auto"/>
          <w:sz w:val="24"/>
          <w:szCs w:val="24"/>
        </w:rPr>
        <w:t xml:space="preserve"> </w:t>
      </w:r>
      <w:r w:rsidRPr="00A658A5">
        <w:rPr>
          <w:color w:val="auto"/>
          <w:sz w:val="24"/>
          <w:szCs w:val="24"/>
        </w:rPr>
        <w:t xml:space="preserve">20 time steps of projection) for each species and observed SSB in the calibration </w:t>
      </w:r>
      <w:r w:rsidR="00BE3A07">
        <w:rPr>
          <w:color w:val="auto"/>
          <w:sz w:val="24"/>
          <w:szCs w:val="24"/>
        </w:rPr>
        <w:t>period</w:t>
      </w:r>
      <w:r w:rsidRPr="00A658A5">
        <w:rPr>
          <w:color w:val="auto"/>
          <w:sz w:val="24"/>
          <w:szCs w:val="24"/>
        </w:rPr>
        <w:t>. B) Same data on log10 scale plotted against each other with a 1:1 line (red dashed).</w:t>
      </w:r>
    </w:p>
    <w:p w14:paraId="107A86CE" w14:textId="212B19F0" w:rsidR="00C35D2B" w:rsidRDefault="00C35D2B" w:rsidP="00760BDA">
      <w:pPr>
        <w:spacing w:line="360" w:lineRule="auto"/>
        <w:contextualSpacing/>
      </w:pPr>
    </w:p>
    <w:p w14:paraId="0D8ED279" w14:textId="1AE346AA" w:rsidR="00C35D2B" w:rsidRDefault="00C35D2B" w:rsidP="00760BDA">
      <w:pPr>
        <w:spacing w:line="360" w:lineRule="auto"/>
        <w:contextualSpacing/>
      </w:pPr>
    </w:p>
    <w:p w14:paraId="1C1AA67A" w14:textId="6FE50710" w:rsidR="00C35D2B" w:rsidRDefault="00C35D2B" w:rsidP="00760BDA">
      <w:pPr>
        <w:spacing w:line="360" w:lineRule="auto"/>
        <w:contextualSpacing/>
      </w:pPr>
    </w:p>
    <w:p w14:paraId="77388006" w14:textId="3B2CC776" w:rsidR="00C35D2B" w:rsidRDefault="00C35D2B" w:rsidP="00760BDA">
      <w:pPr>
        <w:spacing w:line="360" w:lineRule="auto"/>
        <w:contextualSpacing/>
      </w:pPr>
    </w:p>
    <w:p w14:paraId="0725A8E3" w14:textId="5EE7F0D1" w:rsidR="00C35D2B" w:rsidRDefault="00C35D2B" w:rsidP="00760BDA">
      <w:pPr>
        <w:spacing w:line="360" w:lineRule="auto"/>
        <w:contextualSpacing/>
      </w:pPr>
    </w:p>
    <w:p w14:paraId="2B343695" w14:textId="2E481850" w:rsidR="005C3B0B" w:rsidRPr="00A658A5" w:rsidRDefault="00CC4DCF" w:rsidP="00760BDA">
      <w:pPr>
        <w:spacing w:line="360" w:lineRule="auto"/>
        <w:contextualSpacing/>
        <w:jc w:val="center"/>
      </w:pPr>
      <w:r>
        <w:rPr>
          <w:noProof/>
          <w:lang w:val="sv-SE" w:eastAsia="sv-SE"/>
        </w:rPr>
        <w:drawing>
          <wp:inline distT="0" distB="0" distL="0" distR="0" wp14:anchorId="1ED97295" wp14:editId="676E23A3">
            <wp:extent cx="5730918" cy="2033081"/>
            <wp:effectExtent l="0" t="0" r="0" b="0"/>
            <wp:docPr id="6" name="Picture 6"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waterfall chart&#10;&#10;Description automatically generated"/>
                    <pic:cNvPicPr/>
                  </pic:nvPicPr>
                  <pic:blipFill rotWithShape="1">
                    <a:blip r:embed="rId17" cstate="print">
                      <a:extLst>
                        <a:ext uri="{28A0092B-C50C-407E-A947-70E740481C1C}">
                          <a14:useLocalDpi xmlns:a14="http://schemas.microsoft.com/office/drawing/2010/main" val="0"/>
                        </a:ext>
                      </a:extLst>
                    </a:blip>
                    <a:srcRect t="31569" b="32956"/>
                    <a:stretch/>
                  </pic:blipFill>
                  <pic:spPr bwMode="auto">
                    <a:xfrm>
                      <a:off x="0" y="0"/>
                      <a:ext cx="5731510" cy="2033291"/>
                    </a:xfrm>
                    <a:prstGeom prst="rect">
                      <a:avLst/>
                    </a:prstGeom>
                    <a:ln>
                      <a:noFill/>
                    </a:ln>
                    <a:extLst>
                      <a:ext uri="{53640926-AAD7-44D8-BBD7-CCE9431645EC}">
                        <a14:shadowObscured xmlns:a14="http://schemas.microsoft.com/office/drawing/2010/main"/>
                      </a:ext>
                    </a:extLst>
                  </pic:spPr>
                </pic:pic>
              </a:graphicData>
            </a:graphic>
          </wp:inline>
        </w:drawing>
      </w:r>
    </w:p>
    <w:p w14:paraId="0D1ECD18" w14:textId="0A779238" w:rsidR="005C3B0B" w:rsidRPr="00A658A5" w:rsidRDefault="005C3B0B" w:rsidP="00760BDA">
      <w:pPr>
        <w:pStyle w:val="Caption"/>
        <w:spacing w:line="360" w:lineRule="auto"/>
        <w:contextualSpacing/>
        <w:jc w:val="both"/>
        <w:rPr>
          <w:color w:val="auto"/>
          <w:sz w:val="24"/>
          <w:szCs w:val="24"/>
        </w:rPr>
      </w:pPr>
      <w:r w:rsidRPr="00A658A5">
        <w:rPr>
          <w:color w:val="auto"/>
          <w:sz w:val="24"/>
          <w:szCs w:val="24"/>
        </w:rPr>
        <w:t>Figure S</w:t>
      </w:r>
      <w:r w:rsidR="009F0490">
        <w:rPr>
          <w:color w:val="auto"/>
          <w:sz w:val="24"/>
          <w:szCs w:val="24"/>
        </w:rPr>
        <w:t>8</w:t>
      </w:r>
      <w:r w:rsidRPr="00A658A5">
        <w:rPr>
          <w:color w:val="auto"/>
          <w:sz w:val="24"/>
          <w:szCs w:val="24"/>
        </w:rPr>
        <w:t xml:space="preserve">. Proportion of diet by mass as a function of predator body mass at steady state. Cod becomes piscivorous when approximately 25cm </w:t>
      </w:r>
      <w:r w:rsidRPr="00A658A5">
        <w:rPr>
          <w:color w:val="auto"/>
          <w:sz w:val="24"/>
          <w:szCs w:val="24"/>
        </w:rPr>
        <w:fldChar w:fldCharType="begin"/>
      </w:r>
      <w:r w:rsidR="002E5D14">
        <w:rPr>
          <w:color w:val="auto"/>
          <w:sz w:val="24"/>
          <w:szCs w:val="24"/>
        </w:rPr>
        <w:instrText xml:space="preserve"> ADDIN ZOTERO_ITEM CSL_CITATION {"citationID":"dda0VQPO","properties":{"formattedCitation":"(Niiranen {\\i{}et al.} 2019)","plainCitation":"(Niiranen et al. 2019)","noteIndex":0},"citationItems":[{"id":809,"uris":["http://zotero.org/users/6116610/items/Z33PFRWH"],"itemData":{"id":809,"type":"article-journal","abstract":"How predators select their prey largely defines ecosystem trophic structure, function and dynamics. In aquatic systems, organism body size is an important trait explaining predator− prey interactions. Here, we used a unique Atlantic cod Gadus morhua stomach content dataset with diet information from over 100 000 individuals collected from the Baltic Sea in 1963−2014, to explore prey size distribution and predator−prey mass ratios in the diet of Eastern Baltic cod. Maximum and average prey sizes increased with predator size, as for cod in other systems. However, the prey size spectra found in Eastern Baltic cod stomachs reflect the low species diversity in the Baltic Sea. In general, Eastern Baltic cod feed on smaller prey in relation to their body size than other cod populations. Due to the truncated prey size distribution in the Baltic Sea, cod cannibalism functions as a compensatory mechanism that allows Baltic cod to reach their prey size potential. On the other hand, small- and intermediate-sized cod prey mainly on a few invertebrate prey species, potentially making them vulnerable to changes in these prey populations. Our results encourage further studies disentangling the relative effects of prey preference and prey availability on cod trophodynamics in species-poor systems such as the Baltic Sea.","container-title":"Marine Ecology Progress Series","DOI":"10.3354/meps13098","ISSN":"0171-8630, 1616-1599","journalAbbreviation":"Mar. Ecol. Prog. Ser.","language":"en","page":"201-206","source":"DOI.org (Crossref)","title":"Predator-prey body size relationships of cod in a low-diversity marine system","volume":"627","author":[{"family":"Niiranen","given":"S"},{"family":"Orio","given":"A"},{"family":"Bartolino","given":"V"},{"family":"Bergström","given":"U"},{"family":"Kallasvuo","given":"M"},{"family":"Neuenfeldt","given":"S"},{"family":"Ustups","given":"D"},{"family":"Casini","given":"M"}],"issued":{"date-parts":[["2019",9,26]]},"citation-key":"niiranenPredatorpreyBodySize2019"}}],"schema":"https://github.com/citation-style-language/schema/raw/master/csl-citation.json"} </w:instrText>
      </w:r>
      <w:r w:rsidRPr="00A658A5">
        <w:rPr>
          <w:color w:val="auto"/>
          <w:sz w:val="24"/>
          <w:szCs w:val="24"/>
        </w:rPr>
        <w:fldChar w:fldCharType="separate"/>
      </w:r>
      <w:r w:rsidRPr="00A658A5">
        <w:rPr>
          <w:color w:val="auto"/>
          <w:sz w:val="24"/>
          <w:szCs w:val="24"/>
          <w:lang w:val="en-GB"/>
        </w:rPr>
        <w:t xml:space="preserve">(Niiranen </w:t>
      </w:r>
      <w:r w:rsidRPr="00A658A5">
        <w:rPr>
          <w:i w:val="0"/>
          <w:iCs w:val="0"/>
          <w:color w:val="auto"/>
          <w:sz w:val="24"/>
          <w:szCs w:val="24"/>
          <w:lang w:val="en-GB"/>
        </w:rPr>
        <w:t>et al.</w:t>
      </w:r>
      <w:r w:rsidRPr="00A658A5">
        <w:rPr>
          <w:color w:val="auto"/>
          <w:sz w:val="24"/>
          <w:szCs w:val="24"/>
          <w:lang w:val="en-GB"/>
        </w:rPr>
        <w:t xml:space="preserve"> 2019)</w:t>
      </w:r>
      <w:r w:rsidRPr="00A658A5">
        <w:rPr>
          <w:color w:val="auto"/>
          <w:sz w:val="24"/>
          <w:szCs w:val="24"/>
        </w:rPr>
        <w:fldChar w:fldCharType="end"/>
      </w:r>
      <w:r w:rsidRPr="00A658A5">
        <w:rPr>
          <w:color w:val="auto"/>
          <w:sz w:val="24"/>
          <w:szCs w:val="24"/>
        </w:rPr>
        <w:t>. This roughly corresponds to a mass of about 150g, which is slightly smaller than what emerges from the model (~300 g).</w:t>
      </w:r>
    </w:p>
    <w:p w14:paraId="5BC0FEF3" w14:textId="5C445436" w:rsidR="005C3B0B" w:rsidRPr="00A658A5" w:rsidRDefault="00253CEF" w:rsidP="00760BDA">
      <w:pPr>
        <w:spacing w:line="360" w:lineRule="auto"/>
        <w:contextualSpacing/>
        <w:jc w:val="center"/>
      </w:pPr>
      <w:r>
        <w:rPr>
          <w:noProof/>
          <w:lang w:val="sv-SE" w:eastAsia="sv-SE"/>
        </w:rPr>
        <w:lastRenderedPageBreak/>
        <w:drawing>
          <wp:inline distT="0" distB="0" distL="0" distR="0" wp14:anchorId="445F7741" wp14:editId="5A6473C0">
            <wp:extent cx="5731510" cy="5731510"/>
            <wp:effectExtent l="0" t="0" r="0" b="0"/>
            <wp:docPr id="20" name="Picture 2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601AA7D" w14:textId="169DB583" w:rsidR="005C3B0B" w:rsidRDefault="005C3B0B" w:rsidP="007B3715">
      <w:pPr>
        <w:pStyle w:val="Caption"/>
        <w:spacing w:line="360" w:lineRule="auto"/>
        <w:contextualSpacing/>
        <w:jc w:val="both"/>
        <w:rPr>
          <w:color w:val="auto"/>
          <w:sz w:val="24"/>
          <w:szCs w:val="24"/>
        </w:rPr>
      </w:pPr>
      <w:r w:rsidRPr="00A658A5">
        <w:rPr>
          <w:color w:val="auto"/>
          <w:sz w:val="24"/>
          <w:szCs w:val="24"/>
        </w:rPr>
        <w:t>Figure S</w:t>
      </w:r>
      <w:r w:rsidR="00F1170C">
        <w:rPr>
          <w:color w:val="auto"/>
          <w:sz w:val="24"/>
          <w:szCs w:val="24"/>
        </w:rPr>
        <w:t>9</w:t>
      </w:r>
      <w:r w:rsidRPr="00A658A5">
        <w:rPr>
          <w:color w:val="auto"/>
          <w:sz w:val="24"/>
          <w:szCs w:val="24"/>
          <w:lang w:val="en-GB"/>
        </w:rPr>
        <w:t>.</w:t>
      </w:r>
      <w:r w:rsidRPr="00A658A5">
        <w:rPr>
          <w:color w:val="auto"/>
          <w:sz w:val="24"/>
          <w:szCs w:val="24"/>
        </w:rPr>
        <w:t xml:space="preserve"> </w:t>
      </w:r>
      <w:r w:rsidR="009F6D17">
        <w:rPr>
          <w:color w:val="auto"/>
          <w:sz w:val="24"/>
          <w:szCs w:val="24"/>
        </w:rPr>
        <w:t>(A)</w:t>
      </w:r>
      <w:r w:rsidR="00600FFE">
        <w:rPr>
          <w:color w:val="auto"/>
          <w:sz w:val="24"/>
          <w:szCs w:val="24"/>
        </w:rPr>
        <w:t xml:space="preserve"> </w:t>
      </w:r>
      <w:r w:rsidR="00BE3A07">
        <w:rPr>
          <w:color w:val="auto"/>
          <w:sz w:val="24"/>
          <w:szCs w:val="24"/>
        </w:rPr>
        <w:t>Y</w:t>
      </w:r>
      <w:r w:rsidRPr="00A658A5">
        <w:rPr>
          <w:color w:val="auto"/>
          <w:sz w:val="24"/>
          <w:szCs w:val="24"/>
        </w:rPr>
        <w:t>ield in the size spectrum model (</w:t>
      </w:r>
      <w:r w:rsidRPr="00A658A5">
        <w:rPr>
          <w:rFonts w:eastAsiaTheme="minorEastAsia"/>
          <w:color w:val="auto"/>
          <w:sz w:val="24"/>
          <w:szCs w:val="24"/>
        </w:rPr>
        <w:t xml:space="preserve">estimated by keeping each species at their mean assessment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F</m:t>
            </m:r>
          </m:e>
          <m:sub>
            <m:r>
              <w:rPr>
                <w:rFonts w:ascii="Cambria Math" w:eastAsiaTheme="minorEastAsia" w:hAnsi="Cambria Math"/>
                <w:color w:val="auto"/>
                <w:sz w:val="24"/>
                <w:szCs w:val="24"/>
              </w:rPr>
              <m:t>MSY</m:t>
            </m:r>
          </m:sub>
        </m:sSub>
      </m:oMath>
      <w:r w:rsidRPr="00A658A5">
        <w:rPr>
          <w:rFonts w:eastAsiaTheme="minorEastAsia"/>
          <w:color w:val="auto"/>
          <w:sz w:val="24"/>
          <w:szCs w:val="24"/>
        </w:rPr>
        <w:t>) at the reference temperature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T</m:t>
            </m:r>
          </m:e>
          <m:sub>
            <m:r>
              <w:rPr>
                <w:rFonts w:ascii="Cambria Math" w:eastAsiaTheme="minorEastAsia" w:hAnsi="Cambria Math"/>
                <w:color w:val="auto"/>
                <w:sz w:val="24"/>
                <w:szCs w:val="24"/>
              </w:rPr>
              <m:t>ref</m:t>
            </m:r>
          </m:sub>
        </m:sSub>
      </m:oMath>
      <w:r w:rsidRPr="00A658A5">
        <w:rPr>
          <w:rFonts w:eastAsiaTheme="minorEastAsia"/>
          <w:color w:val="auto"/>
          <w:sz w:val="24"/>
          <w:szCs w:val="24"/>
        </w:rPr>
        <w:t>)</w:t>
      </w:r>
      <w:r w:rsidRPr="00A658A5">
        <w:rPr>
          <w:color w:val="auto"/>
          <w:sz w:val="24"/>
          <w:szCs w:val="24"/>
        </w:rPr>
        <w:t xml:space="preserve"> </w:t>
      </w:r>
      <w:r w:rsidR="00BE3A07">
        <w:rPr>
          <w:color w:val="auto"/>
          <w:sz w:val="24"/>
          <w:szCs w:val="24"/>
        </w:rPr>
        <w:t>and (B)</w:t>
      </w:r>
      <w:r w:rsidR="0020644F">
        <w:rPr>
          <w:color w:val="auto"/>
          <w:sz w:val="24"/>
          <w:szCs w:val="24"/>
        </w:rPr>
        <w:t xml:space="preserve"> corresponding</w:t>
      </w:r>
      <w:r w:rsidR="00BE3A07">
        <w:rPr>
          <w:color w:val="auto"/>
          <w:sz w:val="24"/>
          <w:szCs w:val="24"/>
        </w:rPr>
        <w:t xml:space="preserv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F</m:t>
            </m:r>
          </m:e>
          <m:sub>
            <m:r>
              <w:rPr>
                <w:rFonts w:ascii="Cambria Math" w:eastAsiaTheme="minorEastAsia" w:hAnsi="Cambria Math"/>
                <w:color w:val="auto"/>
                <w:sz w:val="24"/>
                <w:szCs w:val="24"/>
              </w:rPr>
              <m:t>MSY</m:t>
            </m:r>
          </m:sub>
        </m:sSub>
      </m:oMath>
      <w:r w:rsidR="00BE3A07" w:rsidRPr="00A658A5">
        <w:rPr>
          <w:color w:val="auto"/>
          <w:sz w:val="24"/>
          <w:szCs w:val="24"/>
        </w:rPr>
        <w:t xml:space="preserve"> (fishing mortality </w:t>
      </w:r>
      <w:r w:rsidR="0020644F">
        <w:rPr>
          <w:color w:val="auto"/>
          <w:sz w:val="24"/>
          <w:szCs w:val="24"/>
        </w:rPr>
        <w:t>resulting in</w:t>
      </w:r>
      <w:r w:rsidR="00BE3A07" w:rsidRPr="00A658A5">
        <w:rPr>
          <w:color w:val="auto"/>
          <w:sz w:val="24"/>
          <w:szCs w:val="24"/>
        </w:rPr>
        <w:t xml:space="preserve"> the highest long-term yield) for each species </w:t>
      </w:r>
      <w:r w:rsidR="0020644F">
        <w:rPr>
          <w:color w:val="auto"/>
          <w:sz w:val="24"/>
          <w:szCs w:val="24"/>
        </w:rPr>
        <w:t xml:space="preserve">in the size spectrum model </w:t>
      </w:r>
      <w:r w:rsidRPr="00A658A5">
        <w:rPr>
          <w:color w:val="auto"/>
          <w:sz w:val="24"/>
          <w:szCs w:val="24"/>
        </w:rPr>
        <w:t>compared to th</w:t>
      </w:r>
      <w:r w:rsidR="0020644F">
        <w:rPr>
          <w:color w:val="auto"/>
          <w:sz w:val="24"/>
          <w:szCs w:val="24"/>
        </w:rPr>
        <w:t>ose</w:t>
      </w:r>
      <w:r w:rsidRPr="00A658A5">
        <w:rPr>
          <w:color w:val="auto"/>
          <w:sz w:val="24"/>
          <w:szCs w:val="24"/>
        </w:rPr>
        <w:t xml:space="preserve"> obtained in multi</w:t>
      </w:r>
      <w:r w:rsidR="00BE3A07">
        <w:rPr>
          <w:color w:val="auto"/>
          <w:sz w:val="24"/>
          <w:szCs w:val="24"/>
        </w:rPr>
        <w:t>- and single-</w:t>
      </w:r>
      <w:r w:rsidRPr="00A658A5">
        <w:rPr>
          <w:color w:val="auto"/>
          <w:sz w:val="24"/>
          <w:szCs w:val="24"/>
        </w:rPr>
        <w:t>species stock assessment model</w:t>
      </w:r>
      <w:r w:rsidR="00BE3A07">
        <w:rPr>
          <w:color w:val="auto"/>
          <w:sz w:val="24"/>
          <w:szCs w:val="24"/>
        </w:rPr>
        <w:t>s</w:t>
      </w:r>
      <w:r w:rsidR="00600FFE">
        <w:rPr>
          <w:color w:val="auto"/>
          <w:sz w:val="24"/>
          <w:szCs w:val="24"/>
        </w:rPr>
        <w:t xml:space="preserve"> </w:t>
      </w:r>
      <w:r w:rsidR="00122874">
        <w:rPr>
          <w:color w:val="auto"/>
          <w:sz w:val="24"/>
          <w:szCs w:val="24"/>
        </w:rPr>
        <w:fldChar w:fldCharType="begin"/>
      </w:r>
      <w:r w:rsidR="002E5D14">
        <w:rPr>
          <w:color w:val="auto"/>
          <w:sz w:val="24"/>
          <w:szCs w:val="24"/>
        </w:rPr>
        <w:instrText xml:space="preserve"> ADDIN ZOTERO_ITEM CSL_CITATION {"citationID":"cq0Jhfgr","properties":{"formattedCitation":"(ICES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UPAMMKgU/9E6TJB0Z","uris":["http://zotero.org/users/local/FTg3Qpza/items/5BPR42FJ"],"itemData":{"id":"9uScQNws/HtlE35yZ","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122874">
        <w:rPr>
          <w:color w:val="auto"/>
          <w:sz w:val="24"/>
          <w:szCs w:val="24"/>
        </w:rPr>
        <w:fldChar w:fldCharType="separate"/>
      </w:r>
      <w:r w:rsidR="00122874">
        <w:rPr>
          <w:noProof/>
          <w:color w:val="auto"/>
          <w:sz w:val="24"/>
          <w:szCs w:val="24"/>
        </w:rPr>
        <w:t>(ICES 2013, 2015)</w:t>
      </w:r>
      <w:r w:rsidR="00122874">
        <w:rPr>
          <w:color w:val="auto"/>
          <w:sz w:val="24"/>
          <w:szCs w:val="24"/>
        </w:rPr>
        <w:fldChar w:fldCharType="end"/>
      </w:r>
      <w:r w:rsidRPr="00A658A5">
        <w:rPr>
          <w:color w:val="auto"/>
          <w:sz w:val="24"/>
          <w:szCs w:val="24"/>
        </w:rPr>
        <w:t xml:space="preserve">, using default parameters. </w:t>
      </w:r>
    </w:p>
    <w:p w14:paraId="48B8F69C" w14:textId="59AB1BB6" w:rsidR="0014794D" w:rsidRDefault="0014794D" w:rsidP="007B3715">
      <w:pPr>
        <w:spacing w:line="360" w:lineRule="auto"/>
      </w:pPr>
    </w:p>
    <w:p w14:paraId="1452F5C7" w14:textId="2BBCBC3A" w:rsidR="007B3715" w:rsidRDefault="007B3715" w:rsidP="007B3715">
      <w:pPr>
        <w:spacing w:line="360" w:lineRule="auto"/>
      </w:pPr>
    </w:p>
    <w:p w14:paraId="028DDA83" w14:textId="05BF8AAB" w:rsidR="007B3715" w:rsidRDefault="007B3715" w:rsidP="007B3715">
      <w:pPr>
        <w:spacing w:line="360" w:lineRule="auto"/>
      </w:pPr>
    </w:p>
    <w:p w14:paraId="2037681D" w14:textId="5AAFB889" w:rsidR="007B3715" w:rsidRDefault="007B3715" w:rsidP="007B3715">
      <w:pPr>
        <w:spacing w:line="360" w:lineRule="auto"/>
      </w:pPr>
    </w:p>
    <w:p w14:paraId="2247338B" w14:textId="1E5805DD" w:rsidR="007B3715" w:rsidRDefault="007B3715" w:rsidP="007B3715">
      <w:pPr>
        <w:spacing w:line="360" w:lineRule="auto"/>
      </w:pPr>
    </w:p>
    <w:p w14:paraId="31E5A4A3" w14:textId="17D42127" w:rsidR="007B3715" w:rsidRDefault="007B3715" w:rsidP="007B3715">
      <w:pPr>
        <w:spacing w:line="360" w:lineRule="auto"/>
      </w:pPr>
    </w:p>
    <w:p w14:paraId="479DB5C8" w14:textId="49E5FFEB" w:rsidR="005C3B0B" w:rsidRPr="00A658A5" w:rsidRDefault="00414B39" w:rsidP="007B3715">
      <w:pPr>
        <w:spacing w:line="360" w:lineRule="auto"/>
        <w:contextualSpacing/>
        <w:jc w:val="center"/>
      </w:pPr>
      <w:r>
        <w:rPr>
          <w:noProof/>
          <w:lang w:val="sv-SE" w:eastAsia="sv-SE"/>
        </w:rPr>
        <w:lastRenderedPageBreak/>
        <w:drawing>
          <wp:inline distT="0" distB="0" distL="0" distR="0" wp14:anchorId="51B80BE3" wp14:editId="2C0C3152">
            <wp:extent cx="4814745" cy="5592604"/>
            <wp:effectExtent l="0" t="0" r="0" b="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pic:nvPicPr>
                  <pic:blipFill rotWithShape="1">
                    <a:blip r:embed="rId19" cstate="print">
                      <a:extLst>
                        <a:ext uri="{28A0092B-C50C-407E-A947-70E740481C1C}">
                          <a14:useLocalDpi xmlns:a14="http://schemas.microsoft.com/office/drawing/2010/main" val="0"/>
                        </a:ext>
                      </a:extLst>
                    </a:blip>
                    <a:srcRect l="7300" t="1188" r="8676" b="1213"/>
                    <a:stretch/>
                  </pic:blipFill>
                  <pic:spPr bwMode="auto">
                    <a:xfrm>
                      <a:off x="0" y="0"/>
                      <a:ext cx="4815847" cy="5593884"/>
                    </a:xfrm>
                    <a:prstGeom prst="rect">
                      <a:avLst/>
                    </a:prstGeom>
                    <a:ln>
                      <a:noFill/>
                    </a:ln>
                    <a:extLst>
                      <a:ext uri="{53640926-AAD7-44D8-BBD7-CCE9431645EC}">
                        <a14:shadowObscured xmlns:a14="http://schemas.microsoft.com/office/drawing/2010/main"/>
                      </a:ext>
                    </a:extLst>
                  </pic:spPr>
                </pic:pic>
              </a:graphicData>
            </a:graphic>
          </wp:inline>
        </w:drawing>
      </w:r>
    </w:p>
    <w:p w14:paraId="0853929A" w14:textId="531E98E5" w:rsidR="005C3B0B" w:rsidRDefault="005C3B0B" w:rsidP="008A69A8">
      <w:pPr>
        <w:pStyle w:val="Caption"/>
        <w:spacing w:line="360" w:lineRule="auto"/>
        <w:contextualSpacing/>
        <w:jc w:val="both"/>
        <w:rPr>
          <w:color w:val="auto"/>
          <w:sz w:val="24"/>
          <w:szCs w:val="24"/>
        </w:rPr>
      </w:pPr>
      <w:r w:rsidRPr="00A658A5">
        <w:rPr>
          <w:color w:val="auto"/>
          <w:sz w:val="24"/>
          <w:szCs w:val="24"/>
        </w:rPr>
        <w:t>Figure S</w:t>
      </w:r>
      <w:r w:rsidR="00215E57">
        <w:rPr>
          <w:color w:val="auto"/>
          <w:sz w:val="24"/>
          <w:szCs w:val="24"/>
        </w:rPr>
        <w:t>10</w:t>
      </w:r>
      <w:r w:rsidRPr="00A658A5">
        <w:rPr>
          <w:color w:val="auto"/>
          <w:sz w:val="24"/>
          <w:szCs w:val="24"/>
          <w:lang w:val="en-GB"/>
        </w:rPr>
        <w:t>.</w:t>
      </w:r>
      <w:r w:rsidRPr="00A658A5">
        <w:rPr>
          <w:color w:val="auto"/>
          <w:sz w:val="24"/>
          <w:szCs w:val="24"/>
        </w:rPr>
        <w:t xml:space="preserve"> Temporal development of spawning stock biomass (SSB). Temperature varies in the time series according to the RCA4-NEMO model using the RCP 8.5 scenario. The projections start in 1874 (not shown) to allow a 100-year burn-in period. This is </w:t>
      </w:r>
      <w:r w:rsidR="00AF6C8F">
        <w:rPr>
          <w:color w:val="auto"/>
          <w:sz w:val="24"/>
          <w:szCs w:val="24"/>
        </w:rPr>
        <w:t>sufficient</w:t>
      </w:r>
      <w:r w:rsidRPr="00A658A5">
        <w:rPr>
          <w:color w:val="auto"/>
          <w:sz w:val="24"/>
          <w:szCs w:val="24"/>
        </w:rPr>
        <w:t xml:space="preserve"> to reach steady state before historical fishing efforts are introduced (in 1974-2012). F-values by species in the burn-in period are equal to the values in 1974 (first year of effort-time series). The solid</w:t>
      </w:r>
      <w:r w:rsidR="00F42A9D">
        <w:rPr>
          <w:color w:val="auto"/>
          <w:sz w:val="24"/>
          <w:szCs w:val="24"/>
        </w:rPr>
        <w:t xml:space="preserve"> grey</w:t>
      </w:r>
      <w:r w:rsidRPr="00A658A5">
        <w:rPr>
          <w:color w:val="auto"/>
          <w:sz w:val="24"/>
          <w:szCs w:val="24"/>
        </w:rPr>
        <w:t xml:space="preserve"> lines are SSB from stock assessments, </w:t>
      </w:r>
      <w:r w:rsidR="003C67AD">
        <w:rPr>
          <w:color w:val="auto"/>
          <w:sz w:val="24"/>
          <w:szCs w:val="24"/>
        </w:rPr>
        <w:t xml:space="preserve">the </w:t>
      </w:r>
      <w:r w:rsidR="00712E81">
        <w:rPr>
          <w:color w:val="auto"/>
          <w:sz w:val="24"/>
          <w:szCs w:val="24"/>
        </w:rPr>
        <w:t>two</w:t>
      </w:r>
      <w:r w:rsidR="00F146DD" w:rsidRPr="00A658A5">
        <w:rPr>
          <w:color w:val="auto"/>
          <w:sz w:val="24"/>
          <w:szCs w:val="24"/>
        </w:rPr>
        <w:t xml:space="preserve">-dashed </w:t>
      </w:r>
      <w:r w:rsidR="00F146DD">
        <w:rPr>
          <w:color w:val="auto"/>
          <w:sz w:val="24"/>
          <w:szCs w:val="24"/>
        </w:rPr>
        <w:t xml:space="preserve">blue </w:t>
      </w:r>
      <w:r w:rsidR="00F146DD" w:rsidRPr="00A658A5">
        <w:rPr>
          <w:color w:val="auto"/>
          <w:sz w:val="24"/>
          <w:szCs w:val="24"/>
        </w:rPr>
        <w:t xml:space="preserve">lines </w:t>
      </w:r>
      <w:r w:rsidRPr="00A658A5">
        <w:rPr>
          <w:color w:val="auto"/>
          <w:sz w:val="24"/>
          <w:szCs w:val="24"/>
        </w:rPr>
        <w:t>are SSBs from the size-spectrum model projections assuming constant temperatures (equivalent to no temperature effects)</w:t>
      </w:r>
      <w:r w:rsidR="00030CC3">
        <w:rPr>
          <w:color w:val="auto"/>
          <w:sz w:val="24"/>
          <w:szCs w:val="24"/>
        </w:rPr>
        <w:t xml:space="preserve">. </w:t>
      </w:r>
      <w:r w:rsidR="0024178A">
        <w:rPr>
          <w:color w:val="auto"/>
          <w:sz w:val="24"/>
          <w:szCs w:val="24"/>
        </w:rPr>
        <w:t>T</w:t>
      </w:r>
      <w:r w:rsidR="00F42A9D">
        <w:rPr>
          <w:color w:val="auto"/>
          <w:sz w:val="24"/>
          <w:szCs w:val="24"/>
        </w:rPr>
        <w:t xml:space="preserve">he </w:t>
      </w:r>
      <w:r w:rsidR="00030CC3">
        <w:rPr>
          <w:color w:val="auto"/>
          <w:sz w:val="24"/>
          <w:szCs w:val="24"/>
        </w:rPr>
        <w:t xml:space="preserve">purple </w:t>
      </w:r>
      <w:r w:rsidR="00F42A9D">
        <w:rPr>
          <w:color w:val="auto"/>
          <w:sz w:val="24"/>
          <w:szCs w:val="24"/>
        </w:rPr>
        <w:t>dashed</w:t>
      </w:r>
      <w:r w:rsidR="00030CC3">
        <w:rPr>
          <w:color w:val="auto"/>
          <w:sz w:val="24"/>
          <w:szCs w:val="24"/>
        </w:rPr>
        <w:t xml:space="preserve"> line is the model where only physiological processes are temperature dependent, </w:t>
      </w:r>
      <w:r w:rsidR="00D57088">
        <w:rPr>
          <w:color w:val="auto"/>
          <w:sz w:val="24"/>
          <w:szCs w:val="24"/>
        </w:rPr>
        <w:t xml:space="preserve">the dotted teal line is where physiological processes and resources are temperature dependent. </w:t>
      </w:r>
      <w:r w:rsidRPr="00A658A5">
        <w:rPr>
          <w:color w:val="auto"/>
          <w:sz w:val="24"/>
          <w:szCs w:val="24"/>
        </w:rPr>
        <w:t>Mean activation energies are used (Table S</w:t>
      </w:r>
      <w:r w:rsidR="00056D44">
        <w:rPr>
          <w:color w:val="auto"/>
          <w:sz w:val="24"/>
          <w:szCs w:val="24"/>
        </w:rPr>
        <w:t>3</w:t>
      </w:r>
      <w:r w:rsidRPr="00A658A5">
        <w:rPr>
          <w:color w:val="auto"/>
          <w:sz w:val="24"/>
          <w:szCs w:val="24"/>
        </w:rPr>
        <w:t xml:space="preserve">). </w:t>
      </w:r>
    </w:p>
    <w:p w14:paraId="79F25DAA" w14:textId="2F89E285" w:rsidR="00B042CC" w:rsidRDefault="00B042CC" w:rsidP="008A69A8">
      <w:pPr>
        <w:spacing w:line="360" w:lineRule="auto"/>
      </w:pPr>
    </w:p>
    <w:p w14:paraId="57C3D4D1" w14:textId="300F02A9" w:rsidR="00B042CC" w:rsidRDefault="00B042CC" w:rsidP="008A69A8">
      <w:pPr>
        <w:spacing w:line="360" w:lineRule="auto"/>
      </w:pPr>
    </w:p>
    <w:p w14:paraId="7F4B80CF" w14:textId="68A61736" w:rsidR="005013B3" w:rsidRDefault="00D93E92" w:rsidP="008A69A8">
      <w:pPr>
        <w:spacing w:line="360" w:lineRule="auto"/>
        <w:contextualSpacing/>
      </w:pPr>
      <w:r>
        <w:rPr>
          <w:noProof/>
          <w:lang w:val="sv-SE" w:eastAsia="sv-SE"/>
        </w:rPr>
        <w:lastRenderedPageBreak/>
        <w:drawing>
          <wp:inline distT="0" distB="0" distL="0" distR="0" wp14:anchorId="46D568C7" wp14:editId="4BFC2225">
            <wp:extent cx="5730958" cy="5447489"/>
            <wp:effectExtent l="0" t="0" r="0" b="1270"/>
            <wp:docPr id="29" name="Picture 2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pic:nvPicPr>
                  <pic:blipFill rotWithShape="1">
                    <a:blip r:embed="rId20" cstate="print">
                      <a:extLst>
                        <a:ext uri="{28A0092B-C50C-407E-A947-70E740481C1C}">
                          <a14:useLocalDpi xmlns:a14="http://schemas.microsoft.com/office/drawing/2010/main" val="0"/>
                        </a:ext>
                      </a:extLst>
                    </a:blip>
                    <a:srcRect t="2206" b="2740"/>
                    <a:stretch/>
                  </pic:blipFill>
                  <pic:spPr bwMode="auto">
                    <a:xfrm>
                      <a:off x="0" y="0"/>
                      <a:ext cx="5731510" cy="5448014"/>
                    </a:xfrm>
                    <a:prstGeom prst="rect">
                      <a:avLst/>
                    </a:prstGeom>
                    <a:ln>
                      <a:noFill/>
                    </a:ln>
                    <a:extLst>
                      <a:ext uri="{53640926-AAD7-44D8-BBD7-CCE9431645EC}">
                        <a14:shadowObscured xmlns:a14="http://schemas.microsoft.com/office/drawing/2010/main"/>
                      </a:ext>
                    </a:extLst>
                  </pic:spPr>
                </pic:pic>
              </a:graphicData>
            </a:graphic>
          </wp:inline>
        </w:drawing>
      </w:r>
    </w:p>
    <w:p w14:paraId="31D9468E" w14:textId="77777777" w:rsidR="005013B3" w:rsidRPr="005013B3" w:rsidRDefault="005013B3" w:rsidP="008A69A8">
      <w:pPr>
        <w:spacing w:line="360" w:lineRule="auto"/>
        <w:contextualSpacing/>
      </w:pPr>
    </w:p>
    <w:p w14:paraId="6ECC27E6" w14:textId="4D2E5F7C" w:rsidR="005C3B0B" w:rsidRPr="00A658A5" w:rsidRDefault="005C3B0B" w:rsidP="008A69A8">
      <w:pPr>
        <w:pStyle w:val="Caption"/>
        <w:spacing w:line="360" w:lineRule="auto"/>
        <w:contextualSpacing/>
        <w:jc w:val="both"/>
        <w:rPr>
          <w:color w:val="auto"/>
          <w:sz w:val="24"/>
          <w:szCs w:val="24"/>
        </w:rPr>
      </w:pPr>
      <w:r w:rsidRPr="00A658A5">
        <w:rPr>
          <w:color w:val="auto"/>
          <w:sz w:val="24"/>
          <w:szCs w:val="24"/>
        </w:rPr>
        <w:t>Figure S1</w:t>
      </w:r>
      <w:r w:rsidR="0092232B">
        <w:rPr>
          <w:color w:val="auto"/>
          <w:sz w:val="24"/>
          <w:szCs w:val="24"/>
        </w:rPr>
        <w:t>1</w:t>
      </w:r>
      <w:r w:rsidRPr="00A658A5">
        <w:rPr>
          <w:color w:val="auto"/>
          <w:sz w:val="24"/>
          <w:szCs w:val="24"/>
          <w:lang w:val="en-GB"/>
        </w:rPr>
        <w:t>.</w:t>
      </w:r>
      <w:r w:rsidRPr="00A658A5">
        <w:rPr>
          <w:color w:val="auto"/>
          <w:sz w:val="24"/>
          <w:szCs w:val="24"/>
        </w:rPr>
        <w:t xml:space="preserve"> Correlation </w:t>
      </w:r>
      <w:r w:rsidRPr="00E95B22">
        <w:rPr>
          <w:color w:val="auto"/>
          <w:sz w:val="24"/>
          <w:szCs w:val="24"/>
        </w:rPr>
        <w:t xml:space="preserve">between SSB from size-spectrum model (“predicted”) and stock assessment models (“observed”) between </w:t>
      </w:r>
      <w:r w:rsidR="003858D7" w:rsidRPr="00E95B22">
        <w:rPr>
          <w:color w:val="auto"/>
          <w:sz w:val="24"/>
          <w:szCs w:val="24"/>
        </w:rPr>
        <w:t>1992-201</w:t>
      </w:r>
      <w:r w:rsidR="00922181" w:rsidRPr="00C41065">
        <w:rPr>
          <w:color w:val="auto"/>
          <w:sz w:val="24"/>
          <w:szCs w:val="24"/>
        </w:rPr>
        <w:t>2</w:t>
      </w:r>
      <w:r w:rsidR="00D060DB" w:rsidRPr="00E95B22">
        <w:rPr>
          <w:color w:val="auto"/>
          <w:sz w:val="24"/>
          <w:szCs w:val="24"/>
        </w:rPr>
        <w:t>, i.e.</w:t>
      </w:r>
      <w:r w:rsidR="00B674BE" w:rsidRPr="00E95B22">
        <w:rPr>
          <w:color w:val="auto"/>
          <w:sz w:val="24"/>
          <w:szCs w:val="24"/>
        </w:rPr>
        <w:t>,</w:t>
      </w:r>
      <w:r w:rsidR="00D060DB" w:rsidRPr="00E95B22">
        <w:rPr>
          <w:color w:val="auto"/>
          <w:sz w:val="24"/>
          <w:szCs w:val="24"/>
        </w:rPr>
        <w:t xml:space="preserve"> from the start of the calibration to the last year</w:t>
      </w:r>
      <w:r w:rsidR="003858D7" w:rsidRPr="00E95B22">
        <w:rPr>
          <w:color w:val="auto"/>
          <w:sz w:val="24"/>
          <w:szCs w:val="24"/>
        </w:rPr>
        <w:t xml:space="preserve"> (top row)</w:t>
      </w:r>
      <w:r w:rsidR="002E37BC" w:rsidRPr="00E95B22">
        <w:rPr>
          <w:color w:val="auto"/>
          <w:sz w:val="24"/>
          <w:szCs w:val="24"/>
        </w:rPr>
        <w:t xml:space="preserve"> and </w:t>
      </w:r>
      <w:r w:rsidRPr="00E95B22">
        <w:rPr>
          <w:color w:val="auto"/>
          <w:sz w:val="24"/>
          <w:szCs w:val="24"/>
        </w:rPr>
        <w:t>1974</w:t>
      </w:r>
      <w:r w:rsidR="002E37BC" w:rsidRPr="00E95B22">
        <w:rPr>
          <w:color w:val="auto"/>
          <w:sz w:val="24"/>
          <w:szCs w:val="24"/>
        </w:rPr>
        <w:t>-</w:t>
      </w:r>
      <w:r w:rsidR="00922181" w:rsidRPr="00E95B22">
        <w:rPr>
          <w:color w:val="auto"/>
          <w:sz w:val="24"/>
          <w:szCs w:val="24"/>
        </w:rPr>
        <w:t>201</w:t>
      </w:r>
      <w:r w:rsidR="00922181" w:rsidRPr="00C41065">
        <w:rPr>
          <w:color w:val="auto"/>
          <w:sz w:val="24"/>
          <w:szCs w:val="24"/>
        </w:rPr>
        <w:t>2</w:t>
      </w:r>
      <w:r w:rsidR="00C5504D" w:rsidRPr="00E95B22">
        <w:rPr>
          <w:color w:val="auto"/>
          <w:sz w:val="24"/>
          <w:szCs w:val="24"/>
        </w:rPr>
        <w:t>, i.e.</w:t>
      </w:r>
      <w:r w:rsidR="009B5F91" w:rsidRPr="00E95B22">
        <w:rPr>
          <w:color w:val="auto"/>
          <w:sz w:val="24"/>
          <w:szCs w:val="24"/>
        </w:rPr>
        <w:t>,</w:t>
      </w:r>
      <w:r w:rsidR="00C5504D" w:rsidRPr="00E95B22">
        <w:rPr>
          <w:color w:val="auto"/>
          <w:sz w:val="24"/>
          <w:szCs w:val="24"/>
        </w:rPr>
        <w:t xml:space="preserve"> from the start of the time series</w:t>
      </w:r>
      <w:r w:rsidRPr="00E95B22">
        <w:rPr>
          <w:color w:val="auto"/>
          <w:sz w:val="24"/>
          <w:szCs w:val="24"/>
        </w:rPr>
        <w:t xml:space="preserve"> </w:t>
      </w:r>
      <w:r w:rsidR="007079BA" w:rsidRPr="00E95B22">
        <w:rPr>
          <w:color w:val="auto"/>
          <w:sz w:val="24"/>
          <w:szCs w:val="24"/>
        </w:rPr>
        <w:t>(bottom row)</w:t>
      </w:r>
      <w:r w:rsidR="003A27F3" w:rsidRPr="00E95B22">
        <w:rPr>
          <w:color w:val="auto"/>
          <w:sz w:val="24"/>
          <w:szCs w:val="24"/>
        </w:rPr>
        <w:t>.</w:t>
      </w:r>
      <w:r w:rsidR="000E4A7F" w:rsidRPr="00E95B22">
        <w:rPr>
          <w:color w:val="auto"/>
          <w:sz w:val="24"/>
          <w:szCs w:val="24"/>
        </w:rPr>
        <w:t xml:space="preserve"> </w:t>
      </w:r>
      <w:r w:rsidR="007D215D" w:rsidRPr="00E95B22">
        <w:rPr>
          <w:color w:val="auto"/>
          <w:sz w:val="24"/>
          <w:szCs w:val="24"/>
        </w:rPr>
        <w:t xml:space="preserve">The </w:t>
      </w:r>
      <w:r w:rsidRPr="00E95B22">
        <w:rPr>
          <w:color w:val="auto"/>
          <w:sz w:val="24"/>
          <w:szCs w:val="24"/>
        </w:rPr>
        <w:t xml:space="preserve">Pearson correlation coefficients </w:t>
      </w:r>
      <w:r w:rsidR="00C27D9D" w:rsidRPr="00E95B22">
        <w:rPr>
          <w:color w:val="auto"/>
          <w:sz w:val="24"/>
          <w:szCs w:val="24"/>
        </w:rPr>
        <w:t xml:space="preserve">are </w:t>
      </w:r>
      <w:r w:rsidRPr="00E95B22">
        <w:rPr>
          <w:color w:val="auto"/>
          <w:sz w:val="24"/>
          <w:szCs w:val="24"/>
        </w:rPr>
        <w:t xml:space="preserve">indicated </w:t>
      </w:r>
      <w:r w:rsidRPr="00A658A5">
        <w:rPr>
          <w:color w:val="auto"/>
          <w:sz w:val="24"/>
          <w:szCs w:val="24"/>
        </w:rPr>
        <w:t>in the bottom right corner. Colors depict year.</w:t>
      </w:r>
    </w:p>
    <w:p w14:paraId="292392A6" w14:textId="77777777" w:rsidR="005C3B0B" w:rsidRPr="00A658A5" w:rsidRDefault="005C3B0B" w:rsidP="00760BDA">
      <w:pPr>
        <w:spacing w:line="360" w:lineRule="auto"/>
        <w:contextualSpacing/>
      </w:pPr>
    </w:p>
    <w:p w14:paraId="54BDB9F4" w14:textId="77777777" w:rsidR="005C3B0B" w:rsidRPr="00A658A5" w:rsidRDefault="005C3B0B" w:rsidP="00760BDA">
      <w:pPr>
        <w:spacing w:line="360" w:lineRule="auto"/>
        <w:contextualSpacing/>
      </w:pPr>
    </w:p>
    <w:p w14:paraId="0D93A2B4" w14:textId="77777777" w:rsidR="005C3B0B" w:rsidRPr="00A658A5" w:rsidRDefault="005C3B0B" w:rsidP="00760BDA">
      <w:pPr>
        <w:spacing w:line="360" w:lineRule="auto"/>
        <w:contextualSpacing/>
      </w:pPr>
    </w:p>
    <w:p w14:paraId="73D59DCB" w14:textId="471BA482" w:rsidR="005C3B0B" w:rsidRDefault="005C3B0B" w:rsidP="00760BDA">
      <w:pPr>
        <w:spacing w:line="360" w:lineRule="auto"/>
        <w:contextualSpacing/>
      </w:pPr>
    </w:p>
    <w:p w14:paraId="0A82F9C7" w14:textId="40C12CA7" w:rsidR="007F468F" w:rsidRDefault="007F468F" w:rsidP="00760BDA">
      <w:pPr>
        <w:spacing w:line="360" w:lineRule="auto"/>
        <w:contextualSpacing/>
      </w:pPr>
    </w:p>
    <w:p w14:paraId="4DDADD08" w14:textId="704E17AE" w:rsidR="007F468F" w:rsidRDefault="007F468F" w:rsidP="00760BDA">
      <w:pPr>
        <w:spacing w:line="360" w:lineRule="auto"/>
        <w:contextualSpacing/>
      </w:pPr>
    </w:p>
    <w:p w14:paraId="77D2FCAD" w14:textId="77777777" w:rsidR="005C3B0B" w:rsidRPr="00A658A5" w:rsidRDefault="005C3B0B" w:rsidP="00760BDA">
      <w:pPr>
        <w:pStyle w:val="Heading1"/>
        <w:spacing w:line="360" w:lineRule="auto"/>
        <w:contextualSpacing/>
        <w:rPr>
          <w:rFonts w:ascii="Times New Roman" w:hAnsi="Times New Roman" w:cs="Times New Roman"/>
          <w:color w:val="auto"/>
          <w:lang w:val="en-GB"/>
        </w:rPr>
      </w:pPr>
      <w:bookmarkStart w:id="11" w:name="_Toc30849729"/>
      <w:bookmarkStart w:id="12" w:name="_Toc75869560"/>
      <w:r w:rsidRPr="00A658A5">
        <w:rPr>
          <w:rFonts w:ascii="Times New Roman" w:hAnsi="Times New Roman" w:cs="Times New Roman"/>
          <w:color w:val="auto"/>
        </w:rPr>
        <w:lastRenderedPageBreak/>
        <w:t>Analysis</w:t>
      </w:r>
      <w:bookmarkEnd w:id="11"/>
      <w:bookmarkEnd w:id="12"/>
    </w:p>
    <w:p w14:paraId="74345EAC" w14:textId="7B6E90C3" w:rsidR="005C3B0B" w:rsidRPr="00A658A5" w:rsidRDefault="00070914" w:rsidP="00760BDA">
      <w:pPr>
        <w:spacing w:line="360" w:lineRule="auto"/>
        <w:contextualSpacing/>
        <w:jc w:val="center"/>
        <w:rPr>
          <w:lang w:val="en-GB"/>
        </w:rPr>
      </w:pPr>
      <w:r>
        <w:rPr>
          <w:noProof/>
          <w:lang w:val="sv-SE" w:eastAsia="sv-SE"/>
        </w:rPr>
        <w:drawing>
          <wp:inline distT="0" distB="0" distL="0" distR="0" wp14:anchorId="5BB47449" wp14:editId="24DBD741">
            <wp:extent cx="3715574" cy="5495179"/>
            <wp:effectExtent l="0" t="0" r="5715" b="4445"/>
            <wp:docPr id="12" name="Picture 1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histogram&#10;&#10;Description automatically generated"/>
                    <pic:cNvPicPr/>
                  </pic:nvPicPr>
                  <pic:blipFill rotWithShape="1">
                    <a:blip r:embed="rId21" cstate="print">
                      <a:extLst>
                        <a:ext uri="{28A0092B-C50C-407E-A947-70E740481C1C}">
                          <a14:useLocalDpi xmlns:a14="http://schemas.microsoft.com/office/drawing/2010/main" val="0"/>
                        </a:ext>
                      </a:extLst>
                    </a:blip>
                    <a:srcRect l="19522" t="2037" r="15639" b="2068"/>
                    <a:stretch/>
                  </pic:blipFill>
                  <pic:spPr bwMode="auto">
                    <a:xfrm>
                      <a:off x="0" y="0"/>
                      <a:ext cx="3716287" cy="5496234"/>
                    </a:xfrm>
                    <a:prstGeom prst="rect">
                      <a:avLst/>
                    </a:prstGeom>
                    <a:ln>
                      <a:noFill/>
                    </a:ln>
                    <a:extLst>
                      <a:ext uri="{53640926-AAD7-44D8-BBD7-CCE9431645EC}">
                        <a14:shadowObscured xmlns:a14="http://schemas.microsoft.com/office/drawing/2010/main"/>
                      </a:ext>
                    </a:extLst>
                  </pic:spPr>
                </pic:pic>
              </a:graphicData>
            </a:graphic>
          </wp:inline>
        </w:drawing>
      </w:r>
    </w:p>
    <w:p w14:paraId="1820E6FF" w14:textId="2FB5032C" w:rsidR="005C3B0B" w:rsidRPr="00A658A5" w:rsidRDefault="005C3B0B" w:rsidP="00760BDA">
      <w:pPr>
        <w:pStyle w:val="Caption"/>
        <w:spacing w:line="360" w:lineRule="auto"/>
        <w:contextualSpacing/>
        <w:jc w:val="both"/>
        <w:rPr>
          <w:color w:val="auto"/>
          <w:sz w:val="24"/>
          <w:szCs w:val="24"/>
          <w:lang w:val="en-GB"/>
        </w:rPr>
      </w:pPr>
      <w:r w:rsidRPr="00A658A5">
        <w:rPr>
          <w:color w:val="auto"/>
          <w:sz w:val="24"/>
          <w:szCs w:val="24"/>
          <w:lang w:val="en-GB"/>
        </w:rPr>
        <w:t xml:space="preserve">Figure </w:t>
      </w:r>
      <w:r w:rsidRPr="00A658A5">
        <w:rPr>
          <w:color w:val="auto"/>
          <w:sz w:val="24"/>
          <w:szCs w:val="24"/>
        </w:rPr>
        <w:t>S</w:t>
      </w:r>
      <w:r w:rsidRPr="00A658A5">
        <w:rPr>
          <w:color w:val="auto"/>
          <w:sz w:val="24"/>
          <w:szCs w:val="24"/>
          <w:lang w:val="en-GB"/>
        </w:rPr>
        <w:t>1</w:t>
      </w:r>
      <w:r w:rsidRPr="00A658A5">
        <w:rPr>
          <w:color w:val="auto"/>
          <w:sz w:val="24"/>
          <w:szCs w:val="24"/>
        </w:rPr>
        <w:t>2</w:t>
      </w:r>
      <w:r w:rsidRPr="00A658A5">
        <w:rPr>
          <w:color w:val="auto"/>
          <w:sz w:val="24"/>
          <w:szCs w:val="24"/>
          <w:lang w:val="en-GB"/>
        </w:rPr>
        <w:t xml:space="preserve">. Time series of (A) fishing mortality by species and (B) </w:t>
      </w:r>
      <w:r w:rsidR="00D972AC">
        <w:rPr>
          <w:color w:val="auto"/>
          <w:sz w:val="24"/>
          <w:szCs w:val="24"/>
          <w:lang w:val="en-GB"/>
        </w:rPr>
        <w:t xml:space="preserve">relative </w:t>
      </w:r>
      <w:r w:rsidRPr="00A658A5">
        <w:rPr>
          <w:color w:val="auto"/>
          <w:sz w:val="24"/>
          <w:szCs w:val="24"/>
          <w:lang w:val="en-GB"/>
        </w:rPr>
        <w:t xml:space="preserve">temperature. For fishing mortality (A) the light grey area corresponds to years where mortality values are estimated from stock assessments. The dark grey area is the model calibration time period. We treated the </w:t>
      </w:r>
      <w:r w:rsidRPr="00A658A5">
        <w:rPr>
          <w:color w:val="auto"/>
          <w:sz w:val="24"/>
          <w:szCs w:val="24"/>
        </w:rPr>
        <w:t>100</w:t>
      </w:r>
      <w:r w:rsidRPr="00A658A5">
        <w:rPr>
          <w:color w:val="auto"/>
          <w:sz w:val="24"/>
          <w:szCs w:val="24"/>
          <w:lang w:val="en-GB"/>
        </w:rPr>
        <w:t xml:space="preserve"> years prior to the start of the F-time series as burn-in and kept the </w:t>
      </w:r>
      <w:r w:rsidRPr="00A658A5">
        <w:rPr>
          <w:rFonts w:eastAsiaTheme="minorEastAsia"/>
          <w:color w:val="auto"/>
          <w:sz w:val="24"/>
          <w:szCs w:val="24"/>
          <w:lang w:val="en-GB"/>
        </w:rPr>
        <w:t>F</w:t>
      </w:r>
      <w:r w:rsidRPr="00A658A5">
        <w:rPr>
          <w:color w:val="auto"/>
          <w:sz w:val="24"/>
          <w:szCs w:val="24"/>
          <w:lang w:val="en-GB"/>
        </w:rPr>
        <w:t xml:space="preserve"> constant and equal to the first </w:t>
      </w:r>
      <w:r w:rsidRPr="00A658A5">
        <w:rPr>
          <w:rFonts w:eastAsiaTheme="minorEastAsia"/>
          <w:color w:val="auto"/>
          <w:sz w:val="24"/>
          <w:szCs w:val="24"/>
          <w:lang w:val="en-GB"/>
        </w:rPr>
        <w:t>F</w:t>
      </w:r>
      <w:r w:rsidRPr="00A658A5">
        <w:rPr>
          <w:color w:val="auto"/>
          <w:sz w:val="24"/>
          <w:szCs w:val="24"/>
          <w:lang w:val="en-GB"/>
        </w:rPr>
        <w:t xml:space="preserve"> time series (in year 1974). The future projections correspond to the </w:t>
      </w:r>
      <m:oMath>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MSY</m:t>
            </m:r>
          </m:sub>
        </m:sSub>
      </m:oMath>
      <w:r w:rsidRPr="00A658A5">
        <w:rPr>
          <w:color w:val="auto"/>
          <w:sz w:val="24"/>
          <w:szCs w:val="24"/>
          <w:lang w:val="en-GB"/>
        </w:rPr>
        <w:t xml:space="preserve"> </w:t>
      </w:r>
      <w:r w:rsidRPr="00A658A5">
        <w:rPr>
          <w:color w:val="auto"/>
          <w:sz w:val="24"/>
          <w:szCs w:val="24"/>
        </w:rPr>
        <w:t xml:space="preserve">estimated in the size spectrum model </w:t>
      </w:r>
      <w:r w:rsidRPr="00A658A5">
        <w:rPr>
          <w:color w:val="auto"/>
          <w:sz w:val="24"/>
          <w:szCs w:val="24"/>
          <w:lang w:val="en-GB"/>
        </w:rPr>
        <w:t xml:space="preserve">(estimated by keeping each species at their mean assessment </w:t>
      </w:r>
      <m:oMath>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MSY</m:t>
            </m:r>
          </m:sub>
        </m:sSub>
      </m:oMath>
      <w:r w:rsidRPr="00A658A5">
        <w:rPr>
          <w:color w:val="auto"/>
          <w:sz w:val="24"/>
          <w:szCs w:val="24"/>
          <w:lang w:val="en-GB"/>
        </w:rPr>
        <w:t xml:space="preserve">). </w:t>
      </w:r>
      <w:r w:rsidRPr="00A658A5">
        <w:rPr>
          <w:color w:val="auto"/>
          <w:sz w:val="24"/>
          <w:szCs w:val="24"/>
        </w:rPr>
        <w:t xml:space="preserve">The relative temperature is </w:t>
      </w:r>
      <w:r w:rsidR="00A513DB">
        <w:rPr>
          <w:color w:val="auto"/>
          <w:sz w:val="24"/>
          <w:szCs w:val="24"/>
        </w:rPr>
        <w:t xml:space="preserve">scaled </w:t>
      </w:r>
      <w:r w:rsidRPr="00A658A5">
        <w:rPr>
          <w:color w:val="auto"/>
          <w:sz w:val="24"/>
          <w:szCs w:val="24"/>
        </w:rPr>
        <w:t>by adding a constant of 10.11562 to the relative change in sea surface temperature from the regional coupled model system RCA4-NEMO using the RCP 8.5</w:t>
      </w:r>
      <w:r w:rsidR="00A513DB">
        <w:rPr>
          <w:color w:val="auto"/>
          <w:sz w:val="24"/>
          <w:szCs w:val="24"/>
        </w:rPr>
        <w:t>. This constant makes</w:t>
      </w:r>
      <w:r w:rsidRPr="00A658A5">
        <w:rPr>
          <w:color w:val="auto"/>
          <w:sz w:val="24"/>
          <w:szCs w:val="24"/>
        </w:rPr>
        <w:t xml:space="preserve"> the mean temperature in the calibration period </w:t>
      </w:r>
      <w:r w:rsidR="00A513DB">
        <w:rPr>
          <w:color w:val="auto"/>
          <w:sz w:val="24"/>
          <w:szCs w:val="24"/>
        </w:rPr>
        <w:t xml:space="preserve">the same as </w:t>
      </w:r>
      <w:r w:rsidRPr="00A658A5">
        <w:rPr>
          <w:color w:val="auto"/>
          <w:sz w:val="24"/>
          <w:szCs w:val="24"/>
        </w:rPr>
        <w:t xml:space="preserve">the reference </w:t>
      </w:r>
      <w:r w:rsidRPr="00A658A5">
        <w:rPr>
          <w:rFonts w:eastAsiaTheme="minorEastAsia"/>
          <w:color w:val="auto"/>
          <w:sz w:val="24"/>
          <w:szCs w:val="24"/>
        </w:rPr>
        <w:t xml:space="preserve">temperature,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T</m:t>
            </m:r>
          </m:e>
          <m:sub>
            <m:r>
              <w:rPr>
                <w:rFonts w:ascii="Cambria Math" w:eastAsiaTheme="minorEastAsia" w:hAnsi="Cambria Math"/>
                <w:color w:val="auto"/>
                <w:sz w:val="24"/>
                <w:szCs w:val="24"/>
              </w:rPr>
              <m:t>ref</m:t>
            </m:r>
          </m:sub>
        </m:sSub>
      </m:oMath>
      <w:r w:rsidR="005351C9">
        <w:rPr>
          <w:rFonts w:eastAsiaTheme="minorEastAsia"/>
          <w:color w:val="auto"/>
          <w:sz w:val="24"/>
          <w:szCs w:val="24"/>
        </w:rPr>
        <w:t xml:space="preserve"> (</w:t>
      </w:r>
      <w:r w:rsidR="002E5D14">
        <w:rPr>
          <w:rFonts w:eastAsiaTheme="minorEastAsia"/>
          <w:color w:val="auto"/>
          <w:sz w:val="24"/>
          <w:szCs w:val="24"/>
        </w:rPr>
        <w:t>i.e.,</w:t>
      </w:r>
      <w:r w:rsidR="005351C9">
        <w:rPr>
          <w:rFonts w:eastAsiaTheme="minorEastAsia"/>
          <w:color w:val="auto"/>
          <w:sz w:val="24"/>
          <w:szCs w:val="24"/>
        </w:rPr>
        <w:t xml:space="preserve"> no temperature effect</w:t>
      </w:r>
      <w:r w:rsidR="001E757F">
        <w:rPr>
          <w:rFonts w:eastAsiaTheme="minorEastAsia"/>
          <w:color w:val="auto"/>
          <w:sz w:val="24"/>
          <w:szCs w:val="24"/>
        </w:rPr>
        <w:t>s</w:t>
      </w:r>
      <w:r w:rsidR="005351C9">
        <w:rPr>
          <w:rFonts w:eastAsiaTheme="minorEastAsia"/>
          <w:color w:val="auto"/>
          <w:sz w:val="24"/>
          <w:szCs w:val="24"/>
        </w:rPr>
        <w:t>)</w:t>
      </w:r>
      <w:r w:rsidRPr="00A658A5">
        <w:rPr>
          <w:color w:val="auto"/>
          <w:sz w:val="24"/>
          <w:szCs w:val="24"/>
        </w:rPr>
        <w:t xml:space="preserve">. Years prior to the temperature model are assigned the first value in the temperature record. In all time-varying </w:t>
      </w:r>
      <w:r w:rsidRPr="00A658A5">
        <w:rPr>
          <w:color w:val="auto"/>
          <w:sz w:val="24"/>
          <w:szCs w:val="24"/>
        </w:rPr>
        <w:lastRenderedPageBreak/>
        <w:t>temperature projections, the initial temperature is the same. The no-warming scenario gets a constant temperature equal to the mean temperature in the calibration time-period in 1997 (blue solid line, mid-year in calibration time window) while the warming scenario continuous along the temperature projection from the regional coupled model system RCA4-NEMO using the RCP 8.5 scenario (red dashed line).</w:t>
      </w:r>
      <w:r w:rsidRPr="00A658A5">
        <w:rPr>
          <w:color w:val="auto"/>
          <w:sz w:val="24"/>
          <w:szCs w:val="24"/>
          <w:lang w:val="en-GB"/>
        </w:rPr>
        <w:t xml:space="preserve"> </w:t>
      </w:r>
    </w:p>
    <w:p w14:paraId="414A7783" w14:textId="77777777" w:rsidR="005C3B0B" w:rsidRPr="00A658A5" w:rsidRDefault="005C3B0B" w:rsidP="00760BDA">
      <w:pPr>
        <w:spacing w:line="360" w:lineRule="auto"/>
        <w:contextualSpacing/>
        <w:rPr>
          <w:lang w:val="en-GB"/>
        </w:rPr>
      </w:pPr>
    </w:p>
    <w:p w14:paraId="60D7C33D" w14:textId="77777777" w:rsidR="005C3B0B" w:rsidRPr="00A658A5" w:rsidRDefault="005C3B0B" w:rsidP="00760BDA">
      <w:pPr>
        <w:spacing w:line="360" w:lineRule="auto"/>
        <w:contextualSpacing/>
        <w:rPr>
          <w:lang w:val="en-GB"/>
        </w:rPr>
      </w:pPr>
    </w:p>
    <w:p w14:paraId="5069F584" w14:textId="77777777" w:rsidR="005C3B0B" w:rsidRPr="00A658A5" w:rsidRDefault="005C3B0B" w:rsidP="00760BDA">
      <w:pPr>
        <w:spacing w:line="360" w:lineRule="auto"/>
        <w:contextualSpacing/>
        <w:rPr>
          <w:lang w:val="en-GB"/>
        </w:rPr>
      </w:pPr>
    </w:p>
    <w:p w14:paraId="3D065C9A" w14:textId="3415E26D" w:rsidR="005C3B0B" w:rsidRDefault="005C3B0B" w:rsidP="00760BDA">
      <w:pPr>
        <w:spacing w:line="360" w:lineRule="auto"/>
        <w:contextualSpacing/>
        <w:rPr>
          <w:lang w:val="en-GB"/>
        </w:rPr>
      </w:pPr>
    </w:p>
    <w:p w14:paraId="469C3FD9" w14:textId="734A2FE9" w:rsidR="009153C7" w:rsidRDefault="009153C7" w:rsidP="00760BDA">
      <w:pPr>
        <w:spacing w:line="360" w:lineRule="auto"/>
        <w:contextualSpacing/>
        <w:rPr>
          <w:lang w:val="en-GB"/>
        </w:rPr>
      </w:pPr>
    </w:p>
    <w:p w14:paraId="001CF3D0" w14:textId="71C210E8" w:rsidR="009153C7" w:rsidRDefault="009153C7" w:rsidP="00760BDA">
      <w:pPr>
        <w:spacing w:line="360" w:lineRule="auto"/>
        <w:contextualSpacing/>
        <w:rPr>
          <w:lang w:val="en-GB"/>
        </w:rPr>
      </w:pPr>
    </w:p>
    <w:p w14:paraId="3D0F83C7" w14:textId="173F35F3" w:rsidR="009153C7" w:rsidRDefault="009153C7" w:rsidP="00760BDA">
      <w:pPr>
        <w:spacing w:line="360" w:lineRule="auto"/>
        <w:contextualSpacing/>
        <w:rPr>
          <w:lang w:val="en-GB"/>
        </w:rPr>
      </w:pPr>
    </w:p>
    <w:p w14:paraId="6F0557C8" w14:textId="3B058FD0" w:rsidR="009153C7" w:rsidRDefault="009153C7" w:rsidP="00760BDA">
      <w:pPr>
        <w:spacing w:line="360" w:lineRule="auto"/>
        <w:contextualSpacing/>
        <w:rPr>
          <w:lang w:val="en-GB"/>
        </w:rPr>
      </w:pPr>
    </w:p>
    <w:p w14:paraId="5F6AF7A7" w14:textId="25AB9A63" w:rsidR="009153C7" w:rsidRDefault="009153C7" w:rsidP="00760BDA">
      <w:pPr>
        <w:spacing w:line="360" w:lineRule="auto"/>
        <w:contextualSpacing/>
        <w:rPr>
          <w:lang w:val="en-GB"/>
        </w:rPr>
      </w:pPr>
    </w:p>
    <w:p w14:paraId="434E7DD7" w14:textId="353E6B96" w:rsidR="009153C7" w:rsidRDefault="009153C7" w:rsidP="00760BDA">
      <w:pPr>
        <w:spacing w:line="360" w:lineRule="auto"/>
        <w:contextualSpacing/>
        <w:rPr>
          <w:lang w:val="en-GB"/>
        </w:rPr>
      </w:pPr>
    </w:p>
    <w:p w14:paraId="36B22219" w14:textId="6AD2F34B" w:rsidR="009153C7" w:rsidRDefault="009153C7" w:rsidP="00760BDA">
      <w:pPr>
        <w:spacing w:line="360" w:lineRule="auto"/>
        <w:contextualSpacing/>
        <w:rPr>
          <w:lang w:val="en-GB"/>
        </w:rPr>
      </w:pPr>
    </w:p>
    <w:p w14:paraId="39CC78C3" w14:textId="744195B2" w:rsidR="009153C7" w:rsidRDefault="009153C7" w:rsidP="00760BDA">
      <w:pPr>
        <w:spacing w:line="360" w:lineRule="auto"/>
        <w:contextualSpacing/>
        <w:rPr>
          <w:lang w:val="en-GB"/>
        </w:rPr>
      </w:pPr>
    </w:p>
    <w:p w14:paraId="1318CB19" w14:textId="39343442" w:rsidR="009153C7" w:rsidRDefault="009153C7" w:rsidP="00760BDA">
      <w:pPr>
        <w:spacing w:line="360" w:lineRule="auto"/>
        <w:contextualSpacing/>
        <w:rPr>
          <w:lang w:val="en-GB"/>
        </w:rPr>
      </w:pPr>
    </w:p>
    <w:p w14:paraId="22C587F8" w14:textId="0EFDED38" w:rsidR="009153C7" w:rsidRDefault="009153C7" w:rsidP="00760BDA">
      <w:pPr>
        <w:spacing w:line="360" w:lineRule="auto"/>
        <w:contextualSpacing/>
        <w:rPr>
          <w:lang w:val="en-GB"/>
        </w:rPr>
      </w:pPr>
    </w:p>
    <w:p w14:paraId="3E8232B1" w14:textId="23DF96BB" w:rsidR="009153C7" w:rsidRDefault="009153C7" w:rsidP="00760BDA">
      <w:pPr>
        <w:spacing w:line="360" w:lineRule="auto"/>
        <w:contextualSpacing/>
        <w:rPr>
          <w:lang w:val="en-GB"/>
        </w:rPr>
      </w:pPr>
    </w:p>
    <w:p w14:paraId="53A64306" w14:textId="2C6614C6" w:rsidR="009153C7" w:rsidRDefault="009153C7" w:rsidP="00760BDA">
      <w:pPr>
        <w:spacing w:line="360" w:lineRule="auto"/>
        <w:contextualSpacing/>
        <w:rPr>
          <w:lang w:val="en-GB"/>
        </w:rPr>
      </w:pPr>
    </w:p>
    <w:p w14:paraId="6337B05E" w14:textId="6A75E814" w:rsidR="009153C7" w:rsidRDefault="009153C7" w:rsidP="00760BDA">
      <w:pPr>
        <w:spacing w:line="360" w:lineRule="auto"/>
        <w:contextualSpacing/>
        <w:rPr>
          <w:lang w:val="en-GB"/>
        </w:rPr>
      </w:pPr>
    </w:p>
    <w:p w14:paraId="4855309D" w14:textId="0736DFB7" w:rsidR="009153C7" w:rsidRDefault="009153C7" w:rsidP="00760BDA">
      <w:pPr>
        <w:spacing w:line="360" w:lineRule="auto"/>
        <w:contextualSpacing/>
        <w:rPr>
          <w:lang w:val="en-GB"/>
        </w:rPr>
      </w:pPr>
    </w:p>
    <w:p w14:paraId="5F311970" w14:textId="79A9D319" w:rsidR="009153C7" w:rsidRDefault="009153C7" w:rsidP="00760BDA">
      <w:pPr>
        <w:spacing w:line="360" w:lineRule="auto"/>
        <w:contextualSpacing/>
        <w:rPr>
          <w:lang w:val="en-GB"/>
        </w:rPr>
      </w:pPr>
    </w:p>
    <w:p w14:paraId="03145820" w14:textId="3E8588C9" w:rsidR="009153C7" w:rsidRDefault="009153C7" w:rsidP="00760BDA">
      <w:pPr>
        <w:spacing w:line="360" w:lineRule="auto"/>
        <w:contextualSpacing/>
        <w:rPr>
          <w:lang w:val="en-GB"/>
        </w:rPr>
      </w:pPr>
    </w:p>
    <w:p w14:paraId="23DD539A" w14:textId="7CDCF77C" w:rsidR="009153C7" w:rsidRDefault="009153C7" w:rsidP="00760BDA">
      <w:pPr>
        <w:spacing w:line="360" w:lineRule="auto"/>
        <w:contextualSpacing/>
        <w:rPr>
          <w:lang w:val="en-GB"/>
        </w:rPr>
      </w:pPr>
    </w:p>
    <w:p w14:paraId="440F4742" w14:textId="192D8885" w:rsidR="009153C7" w:rsidRDefault="009153C7" w:rsidP="00760BDA">
      <w:pPr>
        <w:spacing w:line="360" w:lineRule="auto"/>
        <w:contextualSpacing/>
        <w:rPr>
          <w:lang w:val="en-GB"/>
        </w:rPr>
      </w:pPr>
    </w:p>
    <w:p w14:paraId="02DB0C1E" w14:textId="286C9E69" w:rsidR="009153C7" w:rsidRDefault="009153C7" w:rsidP="00760BDA">
      <w:pPr>
        <w:spacing w:line="360" w:lineRule="auto"/>
        <w:contextualSpacing/>
        <w:rPr>
          <w:lang w:val="en-GB"/>
        </w:rPr>
      </w:pPr>
    </w:p>
    <w:p w14:paraId="6A05EEDF" w14:textId="00A9D1DC" w:rsidR="009153C7" w:rsidRDefault="009153C7" w:rsidP="00760BDA">
      <w:pPr>
        <w:spacing w:line="360" w:lineRule="auto"/>
        <w:contextualSpacing/>
        <w:rPr>
          <w:lang w:val="en-GB"/>
        </w:rPr>
      </w:pPr>
    </w:p>
    <w:p w14:paraId="0DE4872B" w14:textId="1322307A" w:rsidR="009153C7" w:rsidRDefault="009153C7" w:rsidP="00760BDA">
      <w:pPr>
        <w:spacing w:line="360" w:lineRule="auto"/>
        <w:contextualSpacing/>
        <w:rPr>
          <w:lang w:val="en-GB"/>
        </w:rPr>
      </w:pPr>
    </w:p>
    <w:p w14:paraId="21AA6B9C" w14:textId="21EF131B" w:rsidR="009153C7" w:rsidRDefault="009153C7" w:rsidP="00760BDA">
      <w:pPr>
        <w:spacing w:line="360" w:lineRule="auto"/>
        <w:contextualSpacing/>
        <w:rPr>
          <w:lang w:val="en-GB"/>
        </w:rPr>
      </w:pPr>
    </w:p>
    <w:p w14:paraId="6BBCC351" w14:textId="439DEE14" w:rsidR="009153C7" w:rsidRDefault="009153C7" w:rsidP="00760BDA">
      <w:pPr>
        <w:spacing w:line="360" w:lineRule="auto"/>
        <w:contextualSpacing/>
        <w:rPr>
          <w:lang w:val="en-GB"/>
        </w:rPr>
      </w:pPr>
    </w:p>
    <w:p w14:paraId="1CC349DD" w14:textId="0AF55989" w:rsidR="009153C7" w:rsidRDefault="009153C7" w:rsidP="00760BDA">
      <w:pPr>
        <w:spacing w:line="360" w:lineRule="auto"/>
        <w:contextualSpacing/>
        <w:rPr>
          <w:lang w:val="en-GB"/>
        </w:rPr>
      </w:pPr>
    </w:p>
    <w:p w14:paraId="0178A3BB" w14:textId="0C2DF0F0" w:rsidR="009153C7" w:rsidRDefault="009153C7" w:rsidP="00760BDA">
      <w:pPr>
        <w:spacing w:line="360" w:lineRule="auto"/>
        <w:contextualSpacing/>
        <w:rPr>
          <w:lang w:val="en-GB"/>
        </w:rPr>
      </w:pPr>
    </w:p>
    <w:p w14:paraId="5980DCE9" w14:textId="3FA7C50D" w:rsidR="009153C7" w:rsidRDefault="009153C7" w:rsidP="00760BDA">
      <w:pPr>
        <w:spacing w:line="360" w:lineRule="auto"/>
        <w:contextualSpacing/>
        <w:rPr>
          <w:lang w:val="en-GB"/>
        </w:rPr>
      </w:pPr>
    </w:p>
    <w:p w14:paraId="62856F70" w14:textId="640E6BFD" w:rsidR="005C3B0B" w:rsidRPr="00A658A5" w:rsidRDefault="003F3D9F" w:rsidP="00760BDA">
      <w:pPr>
        <w:spacing w:line="360" w:lineRule="auto"/>
        <w:contextualSpacing/>
        <w:jc w:val="center"/>
        <w:rPr>
          <w:lang w:val="en-GB"/>
        </w:rPr>
      </w:pPr>
      <w:r>
        <w:rPr>
          <w:noProof/>
          <w:lang w:val="sv-SE" w:eastAsia="sv-SE"/>
        </w:rPr>
        <w:drawing>
          <wp:inline distT="0" distB="0" distL="0" distR="0" wp14:anchorId="1851BE2D" wp14:editId="3CC751AC">
            <wp:extent cx="5731232" cy="3740046"/>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rotWithShape="1">
                    <a:blip r:embed="rId22" cstate="print">
                      <a:extLst>
                        <a:ext uri="{28A0092B-C50C-407E-A947-70E740481C1C}">
                          <a14:useLocalDpi xmlns:a14="http://schemas.microsoft.com/office/drawing/2010/main" val="0"/>
                        </a:ext>
                      </a:extLst>
                    </a:blip>
                    <a:srcRect t="17523" b="17219"/>
                    <a:stretch/>
                  </pic:blipFill>
                  <pic:spPr bwMode="auto">
                    <a:xfrm>
                      <a:off x="0" y="0"/>
                      <a:ext cx="5731510" cy="3740227"/>
                    </a:xfrm>
                    <a:prstGeom prst="rect">
                      <a:avLst/>
                    </a:prstGeom>
                    <a:ln>
                      <a:noFill/>
                    </a:ln>
                    <a:extLst>
                      <a:ext uri="{53640926-AAD7-44D8-BBD7-CCE9431645EC}">
                        <a14:shadowObscured xmlns:a14="http://schemas.microsoft.com/office/drawing/2010/main"/>
                      </a:ext>
                    </a:extLst>
                  </pic:spPr>
                </pic:pic>
              </a:graphicData>
            </a:graphic>
          </wp:inline>
        </w:drawing>
      </w:r>
    </w:p>
    <w:p w14:paraId="0AB081D2" w14:textId="0BE203B5" w:rsidR="005C3B0B" w:rsidRPr="00A658A5" w:rsidRDefault="005C3B0B" w:rsidP="00760BDA">
      <w:pPr>
        <w:spacing w:line="360" w:lineRule="auto"/>
        <w:contextualSpacing/>
        <w:jc w:val="both"/>
        <w:rPr>
          <w:i/>
          <w:iCs/>
        </w:rPr>
      </w:pPr>
      <w:bookmarkStart w:id="13" w:name="_Toc2601248"/>
      <w:r w:rsidRPr="00A658A5">
        <w:rPr>
          <w:i/>
          <w:iCs/>
        </w:rPr>
        <w:t>Figure S13. Feeding level</w:t>
      </w:r>
      <w:r w:rsidR="00697AAB">
        <w:rPr>
          <w:i/>
          <w:iCs/>
        </w:rPr>
        <w:t>s</w:t>
      </w:r>
      <w:r w:rsidRPr="00A658A5">
        <w:rPr>
          <w:i/>
          <w:iCs/>
        </w:rPr>
        <w:t xml:space="preserve"> from model projections to 2050 assuming warming according to RCP 8.5 while keeping fishing mortality at average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rsidRPr="00A658A5">
        <w:rPr>
          <w:i/>
          <w:iCs/>
        </w:rPr>
        <w:t xml:space="preserve"> levels (as estimated at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Pr="00A658A5">
        <w:rPr>
          <w:rFonts w:eastAsiaTheme="minorEastAsia"/>
          <w:i/>
          <w:iCs/>
        </w:rPr>
        <w:t>)</w:t>
      </w:r>
      <w:r w:rsidRPr="00A658A5">
        <w:rPr>
          <w:i/>
          <w:iCs/>
        </w:rPr>
        <w:t>.</w:t>
      </w:r>
      <w:r w:rsidR="006227A1">
        <w:rPr>
          <w:i/>
          <w:iCs/>
        </w:rPr>
        <w:t xml:space="preserve"> Left column shows feeding level</w:t>
      </w:r>
      <w:r w:rsidR="007D0137">
        <w:rPr>
          <w:i/>
          <w:iCs/>
        </w:rPr>
        <w:t>s</w:t>
      </w:r>
      <w:r w:rsidR="006227A1">
        <w:rPr>
          <w:i/>
          <w:iCs/>
        </w:rPr>
        <w:t xml:space="preserve"> </w:t>
      </w:r>
      <w:r w:rsidR="007D0137">
        <w:rPr>
          <w:i/>
          <w:iCs/>
        </w:rPr>
        <w:t xml:space="preserve">relative </w:t>
      </w:r>
      <w:r w:rsidR="006227A1">
        <w:rPr>
          <w:i/>
          <w:iCs/>
        </w:rPr>
        <w:t>to a non-warming simulation</w:t>
      </w:r>
      <w:r w:rsidR="00F43995">
        <w:rPr>
          <w:i/>
          <w:iCs/>
        </w:rPr>
        <w:t xml:space="preserve"> </w:t>
      </w:r>
      <w:r w:rsidR="006D1F18">
        <w:rPr>
          <w:i/>
          <w:iCs/>
        </w:rPr>
        <w:t xml:space="preserve">(i.e., </w:t>
      </w:r>
      <w:r w:rsidR="00F43995">
        <w:rPr>
          <w:i/>
          <w:iCs/>
        </w:rPr>
        <w:t xml:space="preserve">dashed </w:t>
      </w:r>
      <w:r w:rsidR="00D640A0">
        <w:rPr>
          <w:i/>
          <w:iCs/>
        </w:rPr>
        <w:t xml:space="preserve">horizontal </w:t>
      </w:r>
      <w:r w:rsidR="00F43995">
        <w:rPr>
          <w:i/>
          <w:iCs/>
        </w:rPr>
        <w:t>grey line</w:t>
      </w:r>
      <w:r w:rsidR="006227A1">
        <w:rPr>
          <w:i/>
          <w:iCs/>
        </w:rPr>
        <w:t>) and right column shows absolute feeding level.</w:t>
      </w:r>
      <w:r w:rsidRPr="00A658A5">
        <w:rPr>
          <w:i/>
          <w:iCs/>
        </w:rPr>
        <w:t xml:space="preserve"> Activation energies are the means of their respective distributions (no uncertainty).</w:t>
      </w:r>
    </w:p>
    <w:p w14:paraId="30710CD0" w14:textId="77777777" w:rsidR="005C3B0B" w:rsidRPr="00A658A5" w:rsidRDefault="005C3B0B" w:rsidP="00760BDA">
      <w:pPr>
        <w:spacing w:line="360" w:lineRule="auto"/>
        <w:contextualSpacing/>
        <w:jc w:val="both"/>
      </w:pPr>
    </w:p>
    <w:p w14:paraId="7C0551E3" w14:textId="77777777" w:rsidR="005C3B0B" w:rsidRPr="00A658A5" w:rsidRDefault="005C3B0B" w:rsidP="00760BDA">
      <w:pPr>
        <w:tabs>
          <w:tab w:val="left" w:pos="7621"/>
        </w:tabs>
        <w:spacing w:line="360" w:lineRule="auto"/>
        <w:contextualSpacing/>
        <w:rPr>
          <w:sz w:val="28"/>
        </w:rPr>
      </w:pPr>
    </w:p>
    <w:p w14:paraId="732378DC" w14:textId="0FD178CA" w:rsidR="005C3B0B" w:rsidRDefault="005C3B0B" w:rsidP="00760BDA">
      <w:pPr>
        <w:spacing w:line="360" w:lineRule="auto"/>
        <w:contextualSpacing/>
        <w:jc w:val="both"/>
      </w:pPr>
    </w:p>
    <w:p w14:paraId="72138A43" w14:textId="250A2F01" w:rsidR="00903097" w:rsidRDefault="00903097" w:rsidP="00760BDA">
      <w:pPr>
        <w:spacing w:line="360" w:lineRule="auto"/>
        <w:contextualSpacing/>
        <w:jc w:val="both"/>
      </w:pPr>
    </w:p>
    <w:p w14:paraId="12B9EEDD" w14:textId="7CF25F4A" w:rsidR="00903097" w:rsidRDefault="00903097" w:rsidP="00760BDA">
      <w:pPr>
        <w:spacing w:line="360" w:lineRule="auto"/>
        <w:contextualSpacing/>
        <w:jc w:val="both"/>
      </w:pPr>
    </w:p>
    <w:p w14:paraId="793E8254" w14:textId="5DF3E8F3" w:rsidR="00903097" w:rsidRDefault="00903097" w:rsidP="00760BDA">
      <w:pPr>
        <w:spacing w:line="360" w:lineRule="auto"/>
        <w:contextualSpacing/>
        <w:jc w:val="both"/>
      </w:pPr>
    </w:p>
    <w:p w14:paraId="713CABA9" w14:textId="6FEB31CD" w:rsidR="00903097" w:rsidRDefault="00903097" w:rsidP="00760BDA">
      <w:pPr>
        <w:spacing w:line="360" w:lineRule="auto"/>
        <w:contextualSpacing/>
        <w:jc w:val="both"/>
      </w:pPr>
    </w:p>
    <w:p w14:paraId="2CE28B12" w14:textId="160F3A7F" w:rsidR="00903097" w:rsidRDefault="00903097" w:rsidP="00760BDA">
      <w:pPr>
        <w:spacing w:line="360" w:lineRule="auto"/>
        <w:contextualSpacing/>
        <w:jc w:val="both"/>
      </w:pPr>
    </w:p>
    <w:p w14:paraId="6143D3D4" w14:textId="7F0CBD26" w:rsidR="00903097" w:rsidRDefault="00903097" w:rsidP="00760BDA">
      <w:pPr>
        <w:spacing w:line="360" w:lineRule="auto"/>
        <w:contextualSpacing/>
        <w:jc w:val="both"/>
      </w:pPr>
    </w:p>
    <w:p w14:paraId="26C153AA" w14:textId="2183A40B" w:rsidR="00903097" w:rsidRDefault="00903097" w:rsidP="00760BDA">
      <w:pPr>
        <w:spacing w:line="360" w:lineRule="auto"/>
        <w:contextualSpacing/>
        <w:jc w:val="both"/>
      </w:pPr>
    </w:p>
    <w:p w14:paraId="523905D3" w14:textId="2490527F" w:rsidR="00903097" w:rsidRDefault="00903097" w:rsidP="00760BDA">
      <w:pPr>
        <w:spacing w:line="360" w:lineRule="auto"/>
        <w:contextualSpacing/>
        <w:jc w:val="both"/>
      </w:pPr>
    </w:p>
    <w:p w14:paraId="4FB99858" w14:textId="6532750F" w:rsidR="00903097" w:rsidRDefault="00903097" w:rsidP="00760BDA">
      <w:pPr>
        <w:spacing w:line="360" w:lineRule="auto"/>
        <w:contextualSpacing/>
        <w:jc w:val="both"/>
      </w:pPr>
    </w:p>
    <w:p w14:paraId="5BC1AD9E" w14:textId="02AECDF2" w:rsidR="00903097" w:rsidRDefault="00903097" w:rsidP="00760BDA">
      <w:pPr>
        <w:spacing w:line="360" w:lineRule="auto"/>
        <w:contextualSpacing/>
        <w:jc w:val="both"/>
      </w:pPr>
    </w:p>
    <w:p w14:paraId="2584692B" w14:textId="6ACDCEAB" w:rsidR="005C3B0B" w:rsidRPr="00A658A5" w:rsidRDefault="003F3D9F" w:rsidP="00760BDA">
      <w:pPr>
        <w:spacing w:line="360" w:lineRule="auto"/>
        <w:contextualSpacing/>
        <w:jc w:val="center"/>
      </w:pPr>
      <w:r>
        <w:rPr>
          <w:noProof/>
          <w:lang w:val="sv-SE" w:eastAsia="sv-SE"/>
        </w:rPr>
        <w:lastRenderedPageBreak/>
        <w:drawing>
          <wp:inline distT="0" distB="0" distL="0" distR="0" wp14:anchorId="747E6CCE" wp14:editId="1748F81B">
            <wp:extent cx="5731372" cy="3814997"/>
            <wp:effectExtent l="0" t="0" r="0" b="0"/>
            <wp:docPr id="17" name="Picture 1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with medium confidence"/>
                    <pic:cNvPicPr/>
                  </pic:nvPicPr>
                  <pic:blipFill rotWithShape="1">
                    <a:blip r:embed="rId23" cstate="print">
                      <a:extLst>
                        <a:ext uri="{28A0092B-C50C-407E-A947-70E740481C1C}">
                          <a14:useLocalDpi xmlns:a14="http://schemas.microsoft.com/office/drawing/2010/main" val="0"/>
                        </a:ext>
                      </a:extLst>
                    </a:blip>
                    <a:srcRect t="16739" b="16698"/>
                    <a:stretch/>
                  </pic:blipFill>
                  <pic:spPr bwMode="auto">
                    <a:xfrm>
                      <a:off x="0" y="0"/>
                      <a:ext cx="5731510" cy="3815089"/>
                    </a:xfrm>
                    <a:prstGeom prst="rect">
                      <a:avLst/>
                    </a:prstGeom>
                    <a:ln>
                      <a:noFill/>
                    </a:ln>
                    <a:extLst>
                      <a:ext uri="{53640926-AAD7-44D8-BBD7-CCE9431645EC}">
                        <a14:shadowObscured xmlns:a14="http://schemas.microsoft.com/office/drawing/2010/main"/>
                      </a:ext>
                    </a:extLst>
                  </pic:spPr>
                </pic:pic>
              </a:graphicData>
            </a:graphic>
          </wp:inline>
        </w:drawing>
      </w:r>
    </w:p>
    <w:p w14:paraId="2517C8C8" w14:textId="44567DE9" w:rsidR="00227355" w:rsidRPr="00A658A5" w:rsidRDefault="00227355" w:rsidP="00227355">
      <w:pPr>
        <w:spacing w:line="360" w:lineRule="auto"/>
        <w:contextualSpacing/>
        <w:jc w:val="both"/>
        <w:rPr>
          <w:i/>
          <w:iCs/>
        </w:rPr>
      </w:pPr>
      <w:r w:rsidRPr="00A658A5">
        <w:rPr>
          <w:i/>
          <w:iCs/>
        </w:rPr>
        <w:t>Figure S1</w:t>
      </w:r>
      <w:r>
        <w:rPr>
          <w:i/>
          <w:iCs/>
        </w:rPr>
        <w:t>4</w:t>
      </w:r>
      <w:r w:rsidRPr="00A658A5">
        <w:rPr>
          <w:i/>
          <w:iCs/>
        </w:rPr>
        <w:t>. Feeding level</w:t>
      </w:r>
      <w:r>
        <w:rPr>
          <w:i/>
          <w:iCs/>
        </w:rPr>
        <w:t>s</w:t>
      </w:r>
      <w:r w:rsidRPr="00A658A5">
        <w:rPr>
          <w:i/>
          <w:iCs/>
        </w:rPr>
        <w:t xml:space="preserve"> from model projections to 2050 assuming warming according to RCP 8.5 while keeping fishing mortality at average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rsidRPr="00A658A5">
        <w:rPr>
          <w:i/>
          <w:iCs/>
        </w:rPr>
        <w:t xml:space="preserve"> levels (as estimated at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Pr="00A658A5">
        <w:rPr>
          <w:rFonts w:eastAsiaTheme="minorEastAsia"/>
          <w:i/>
          <w:iCs/>
        </w:rPr>
        <w:t>)</w:t>
      </w:r>
      <w:r w:rsidRPr="00A658A5">
        <w:rPr>
          <w:i/>
          <w:iCs/>
        </w:rPr>
        <w:t>.</w:t>
      </w:r>
      <w:r>
        <w:rPr>
          <w:i/>
          <w:iCs/>
        </w:rPr>
        <w:t xml:space="preserve"> Left column shows </w:t>
      </w:r>
      <w:r w:rsidR="007C2935">
        <w:rPr>
          <w:i/>
          <w:iCs/>
        </w:rPr>
        <w:t>predation mortality</w:t>
      </w:r>
      <w:r>
        <w:rPr>
          <w:i/>
          <w:iCs/>
        </w:rPr>
        <w:t xml:space="preserve"> levels relative to a non-warming simulation (i.e., dashed horizontal grey line) and right column shows absolute </w:t>
      </w:r>
      <w:r w:rsidR="00F2649A">
        <w:rPr>
          <w:i/>
          <w:iCs/>
        </w:rPr>
        <w:t>predation mortality</w:t>
      </w:r>
      <w:r>
        <w:rPr>
          <w:i/>
          <w:iCs/>
        </w:rPr>
        <w:t>.</w:t>
      </w:r>
      <w:r w:rsidRPr="00A658A5">
        <w:rPr>
          <w:i/>
          <w:iCs/>
        </w:rPr>
        <w:t xml:space="preserve"> Activation energies are the means of their respective distributions (no uncertainty).</w:t>
      </w:r>
    </w:p>
    <w:p w14:paraId="5A2602E7" w14:textId="3167B1D7" w:rsidR="005C3B0B" w:rsidRDefault="005C3B0B" w:rsidP="00760BDA">
      <w:pPr>
        <w:spacing w:line="360" w:lineRule="auto"/>
        <w:contextualSpacing/>
        <w:jc w:val="both"/>
      </w:pPr>
    </w:p>
    <w:p w14:paraId="721E6529" w14:textId="77777777" w:rsidR="00476EDF" w:rsidRDefault="00476EDF" w:rsidP="00760BDA">
      <w:pPr>
        <w:spacing w:line="360" w:lineRule="auto"/>
        <w:contextualSpacing/>
        <w:jc w:val="both"/>
      </w:pPr>
    </w:p>
    <w:p w14:paraId="54F91428" w14:textId="5F56477F" w:rsidR="00561A10" w:rsidRDefault="00476EDF" w:rsidP="00760BDA">
      <w:pPr>
        <w:spacing w:line="360" w:lineRule="auto"/>
        <w:contextualSpacing/>
        <w:jc w:val="both"/>
      </w:pPr>
      <w:r>
        <w:rPr>
          <w:noProof/>
        </w:rPr>
        <w:lastRenderedPageBreak/>
        <w:drawing>
          <wp:inline distT="0" distB="0" distL="0" distR="0" wp14:anchorId="0C01C99A" wp14:editId="1B9E6A0C">
            <wp:extent cx="5731420" cy="5386812"/>
            <wp:effectExtent l="0" t="0" r="0" b="0"/>
            <wp:docPr id="7" name="Picture 7"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engineering drawing&#10;&#10;Description automatically generated"/>
                    <pic:cNvPicPr/>
                  </pic:nvPicPr>
                  <pic:blipFill rotWithShape="1">
                    <a:blip r:embed="rId24" cstate="print">
                      <a:extLst>
                        <a:ext uri="{28A0092B-C50C-407E-A947-70E740481C1C}">
                          <a14:useLocalDpi xmlns:a14="http://schemas.microsoft.com/office/drawing/2010/main" val="0"/>
                        </a:ext>
                      </a:extLst>
                    </a:blip>
                    <a:srcRect t="2368" b="3643"/>
                    <a:stretch/>
                  </pic:blipFill>
                  <pic:spPr bwMode="auto">
                    <a:xfrm>
                      <a:off x="0" y="0"/>
                      <a:ext cx="5731510" cy="5386897"/>
                    </a:xfrm>
                    <a:prstGeom prst="rect">
                      <a:avLst/>
                    </a:prstGeom>
                    <a:ln>
                      <a:noFill/>
                    </a:ln>
                    <a:extLst>
                      <a:ext uri="{53640926-AAD7-44D8-BBD7-CCE9431645EC}">
                        <a14:shadowObscured xmlns:a14="http://schemas.microsoft.com/office/drawing/2010/main"/>
                      </a:ext>
                    </a:extLst>
                  </pic:spPr>
                </pic:pic>
              </a:graphicData>
            </a:graphic>
          </wp:inline>
        </w:drawing>
      </w:r>
    </w:p>
    <w:p w14:paraId="1AD9E74E" w14:textId="1E60CF7B" w:rsidR="007738B4" w:rsidRPr="00C41065" w:rsidRDefault="007738B4" w:rsidP="00C41065">
      <w:pPr>
        <w:spacing w:line="360" w:lineRule="auto"/>
        <w:contextualSpacing/>
        <w:jc w:val="both"/>
        <w:rPr>
          <w:rFonts w:eastAsiaTheme="minorEastAsia"/>
          <w:i/>
          <w:iCs/>
        </w:rPr>
      </w:pPr>
      <w:r w:rsidRPr="00A658A5">
        <w:rPr>
          <w:i/>
          <w:iCs/>
        </w:rPr>
        <w:t>Figure S1</w:t>
      </w:r>
      <w:r w:rsidR="002A4E23">
        <w:rPr>
          <w:i/>
          <w:iCs/>
        </w:rPr>
        <w:t>5</w:t>
      </w:r>
      <w:r w:rsidRPr="00A658A5">
        <w:rPr>
          <w:i/>
          <w:iCs/>
        </w:rPr>
        <w:t xml:space="preserve">. </w:t>
      </w:r>
      <w:r w:rsidR="00206D02">
        <w:rPr>
          <w:i/>
          <w:iCs/>
        </w:rPr>
        <w:t xml:space="preserve">The effect of including temperature dependence for one physiological </w:t>
      </w:r>
      <w:r w:rsidR="00487C9A">
        <w:rPr>
          <w:i/>
          <w:iCs/>
        </w:rPr>
        <w:t>process</w:t>
      </w:r>
      <w:r w:rsidR="00873500">
        <w:rPr>
          <w:i/>
          <w:iCs/>
        </w:rPr>
        <w:t xml:space="preserve"> for growth</w:t>
      </w:r>
      <w:r w:rsidR="0040308D">
        <w:rPr>
          <w:i/>
          <w:iCs/>
        </w:rPr>
        <w:t xml:space="preserve"> with temperatures </w:t>
      </w:r>
      <m:oMath>
        <m:sSub>
          <m:sSubPr>
            <m:ctrlPr>
              <w:rPr>
                <w:rFonts w:ascii="Cambria Math" w:hAnsi="Cambria Math"/>
                <w:i/>
                <w:iCs/>
              </w:rPr>
            </m:ctrlPr>
          </m:sSubPr>
          <m:e>
            <m:r>
              <w:rPr>
                <w:rFonts w:ascii="Cambria Math" w:hAnsi="Cambria Math"/>
              </w:rPr>
              <m:t>T</m:t>
            </m:r>
          </m:e>
          <m:sub>
            <m:r>
              <w:rPr>
                <w:rFonts w:ascii="Cambria Math" w:hAnsi="Cambria Math"/>
              </w:rPr>
              <m:t>ref</m:t>
            </m:r>
          </m:sub>
        </m:sSub>
        <m:r>
          <w:rPr>
            <w:rFonts w:ascii="Cambria Math" w:hAnsi="Cambria Math"/>
          </w:rPr>
          <m:t>+2℃</m:t>
        </m:r>
      </m:oMath>
      <w:r w:rsidR="00873500">
        <w:rPr>
          <w:i/>
          <w:iCs/>
        </w:rPr>
        <w:t>. Here we include temperature-dependence for one physiological process</w:t>
      </w:r>
      <w:r w:rsidR="00206D02">
        <w:rPr>
          <w:i/>
          <w:iCs/>
        </w:rPr>
        <w:t xml:space="preserve"> at the time </w:t>
      </w:r>
      <w:r w:rsidR="00873500">
        <w:rPr>
          <w:i/>
          <w:iCs/>
        </w:rPr>
        <w:t>(purple=only intake rates, green=only metabolic rates, yellow=only mortality rates), with and without temperature dependence on resources (dashed and solid lines, respectively)</w:t>
      </w:r>
      <w:r w:rsidR="00C92263">
        <w:rPr>
          <w:i/>
          <w:iCs/>
        </w:rPr>
        <w:t xml:space="preserve">. Top panel depicts </w:t>
      </w:r>
      <w:r w:rsidR="00206D02">
        <w:rPr>
          <w:i/>
          <w:iCs/>
        </w:rPr>
        <w:t xml:space="preserve">size-at-age </w:t>
      </w:r>
      <w:r w:rsidR="00951007">
        <w:rPr>
          <w:i/>
          <w:iCs/>
        </w:rPr>
        <w:t xml:space="preserve">and the bottom panel depicts </w:t>
      </w:r>
      <w:r w:rsidR="00206D02">
        <w:rPr>
          <w:i/>
          <w:iCs/>
        </w:rPr>
        <w:t xml:space="preserve">size-at-age relative to size-at-age from </w:t>
      </w:r>
      <w:r w:rsidR="00487C9A">
        <w:rPr>
          <w:i/>
          <w:iCs/>
        </w:rPr>
        <w:t xml:space="preserve">a projection </w:t>
      </w:r>
      <w:r w:rsidR="009A4BD4">
        <w:rPr>
          <w:i/>
          <w:iCs/>
        </w:rPr>
        <w:t>at</w:t>
      </w:r>
      <w:r w:rsidR="002979B4">
        <w:rPr>
          <w:i/>
          <w:iCs/>
        </w:rPr>
        <w:t xml:space="preserve">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00487C9A">
        <w:rPr>
          <w:i/>
          <w:iCs/>
        </w:rPr>
        <w:t xml:space="preserve"> </w:t>
      </w:r>
      <w:r w:rsidR="00206D02">
        <w:rPr>
          <w:i/>
          <w:iCs/>
        </w:rPr>
        <w:t>non-temperature dependent model.</w:t>
      </w:r>
    </w:p>
    <w:p w14:paraId="4BE3FAB6" w14:textId="510D4D5C" w:rsidR="00561A10" w:rsidRDefault="00561A10" w:rsidP="00760BDA">
      <w:pPr>
        <w:spacing w:line="360" w:lineRule="auto"/>
        <w:contextualSpacing/>
        <w:jc w:val="both"/>
      </w:pPr>
    </w:p>
    <w:p w14:paraId="065DAAF3" w14:textId="7B43B22D" w:rsidR="00561A10" w:rsidRDefault="00561A10" w:rsidP="00760BDA">
      <w:pPr>
        <w:spacing w:line="360" w:lineRule="auto"/>
        <w:contextualSpacing/>
        <w:jc w:val="both"/>
      </w:pPr>
    </w:p>
    <w:p w14:paraId="6F1771FD" w14:textId="7296D6C7" w:rsidR="00561A10" w:rsidRDefault="00561A10" w:rsidP="00760BDA">
      <w:pPr>
        <w:spacing w:line="360" w:lineRule="auto"/>
        <w:contextualSpacing/>
        <w:jc w:val="both"/>
      </w:pPr>
    </w:p>
    <w:p w14:paraId="1FBA887B" w14:textId="53FB8864" w:rsidR="00561A10" w:rsidRDefault="00561A10" w:rsidP="00760BDA">
      <w:pPr>
        <w:spacing w:line="360" w:lineRule="auto"/>
        <w:contextualSpacing/>
        <w:jc w:val="both"/>
      </w:pPr>
    </w:p>
    <w:p w14:paraId="73AC4701" w14:textId="46119913" w:rsidR="00561A10" w:rsidRDefault="00561A10" w:rsidP="00760BDA">
      <w:pPr>
        <w:spacing w:line="360" w:lineRule="auto"/>
        <w:contextualSpacing/>
        <w:jc w:val="both"/>
      </w:pPr>
    </w:p>
    <w:p w14:paraId="2C2A535B" w14:textId="3BC12721" w:rsidR="00561A10" w:rsidRDefault="00561A10" w:rsidP="00760BDA">
      <w:pPr>
        <w:spacing w:line="360" w:lineRule="auto"/>
        <w:contextualSpacing/>
        <w:jc w:val="both"/>
      </w:pPr>
    </w:p>
    <w:p w14:paraId="7C06E298" w14:textId="1A925596" w:rsidR="00561A10" w:rsidRDefault="00561A10" w:rsidP="00760BDA">
      <w:pPr>
        <w:spacing w:line="360" w:lineRule="auto"/>
        <w:contextualSpacing/>
        <w:jc w:val="both"/>
      </w:pPr>
    </w:p>
    <w:p w14:paraId="7F4A3B0B"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14" w:name="_Toc30849730"/>
      <w:bookmarkStart w:id="15" w:name="_Toc75869561"/>
      <w:r w:rsidRPr="00A658A5">
        <w:rPr>
          <w:rFonts w:ascii="Times New Roman" w:hAnsi="Times New Roman" w:cs="Times New Roman"/>
          <w:color w:val="auto"/>
        </w:rPr>
        <w:lastRenderedPageBreak/>
        <w:t>References</w:t>
      </w:r>
      <w:bookmarkEnd w:id="13"/>
      <w:bookmarkEnd w:id="14"/>
      <w:bookmarkEnd w:id="15"/>
      <w:r w:rsidRPr="00A658A5">
        <w:rPr>
          <w:rFonts w:ascii="Times New Roman" w:hAnsi="Times New Roman" w:cs="Times New Roman"/>
          <w:color w:val="auto"/>
        </w:rPr>
        <w:tab/>
      </w:r>
    </w:p>
    <w:p w14:paraId="6B0949DE" w14:textId="77777777" w:rsidR="002E5D14" w:rsidRPr="002E5D14" w:rsidRDefault="005C3B0B" w:rsidP="002E5D14">
      <w:pPr>
        <w:pStyle w:val="Bibliography"/>
        <w:rPr>
          <w:lang w:val="en-GB"/>
        </w:rPr>
      </w:pPr>
      <w:r w:rsidRPr="00A658A5">
        <w:rPr>
          <w:b/>
        </w:rPr>
        <w:fldChar w:fldCharType="begin"/>
      </w:r>
      <w:r w:rsidR="002E5D14">
        <w:rPr>
          <w:b/>
        </w:rPr>
        <w:instrText xml:space="preserve"> ADDIN ZOTERO_BIBL {"uncited":[],"omitted":[],"custom":[]} CSL_BIBLIOGRAPHY </w:instrText>
      </w:r>
      <w:r w:rsidRPr="00A658A5">
        <w:rPr>
          <w:b/>
        </w:rPr>
        <w:fldChar w:fldCharType="separate"/>
      </w:r>
      <w:r w:rsidR="002E5D14" w:rsidRPr="002E5D14">
        <w:rPr>
          <w:lang w:val="en-GB"/>
        </w:rPr>
        <w:t>Andersen, K.H., Farnsworth, K.D., Pedersen, M., Gislason, H. &amp; Beyer, J.E. (2009). How community ecology links natural mortality, growth, and production of ﬁsh populations, 7.</w:t>
      </w:r>
    </w:p>
    <w:p w14:paraId="5E63BE76" w14:textId="77777777" w:rsidR="002E5D14" w:rsidRPr="002E5D14" w:rsidRDefault="002E5D14" w:rsidP="002E5D14">
      <w:pPr>
        <w:pStyle w:val="Bibliography"/>
        <w:rPr>
          <w:lang w:val="en-GB"/>
        </w:rPr>
      </w:pPr>
      <w:r w:rsidRPr="002E5D14">
        <w:rPr>
          <w:lang w:val="en-GB"/>
        </w:rPr>
        <w:t xml:space="preserve">Aydin, K.Y., Lapko, V.V., Radchenko, V.I. &amp; Livingston, P.A. (2002). </w:t>
      </w:r>
      <w:r w:rsidRPr="002E5D14">
        <w:rPr>
          <w:i/>
          <w:iCs/>
          <w:lang w:val="en-GB"/>
        </w:rPr>
        <w:t>A Comparison of the Eastern and Western Bering Sea Shelf/Slope Ecosystems Through the Use of Mass Balance Food Web Models. - US Dept of Commerce, NOAA Techical. Memo. NMFS-AFSC-130, 78</w:t>
      </w:r>
      <w:r w:rsidRPr="002E5D14">
        <w:rPr>
          <w:lang w:val="en-GB"/>
        </w:rPr>
        <w:t>.</w:t>
      </w:r>
    </w:p>
    <w:p w14:paraId="338E959A" w14:textId="77777777" w:rsidR="002E5D14" w:rsidRPr="002E5D14" w:rsidRDefault="002E5D14" w:rsidP="002E5D14">
      <w:pPr>
        <w:pStyle w:val="Bibliography"/>
        <w:rPr>
          <w:lang w:val="en-GB"/>
        </w:rPr>
      </w:pPr>
      <w:r w:rsidRPr="002E5D14">
        <w:rPr>
          <w:lang w:val="en-GB"/>
        </w:rPr>
        <w:t xml:space="preserve">Bernhardt, J.R., Sunday, J.M. &amp; O’Connor, M.I. (2018). Metabolic Theory and the Temperature-Size Rule Explain the Temperature Dependence of Population Carrying Capacity. </w:t>
      </w:r>
      <w:r w:rsidRPr="002E5D14">
        <w:rPr>
          <w:i/>
          <w:iCs/>
          <w:lang w:val="en-GB"/>
        </w:rPr>
        <w:t>The American Naturalist</w:t>
      </w:r>
      <w:r w:rsidRPr="002E5D14">
        <w:rPr>
          <w:lang w:val="en-GB"/>
        </w:rPr>
        <w:t>, 192, 687–697.</w:t>
      </w:r>
    </w:p>
    <w:p w14:paraId="000DFB88" w14:textId="77777777" w:rsidR="002E5D14" w:rsidRPr="002E5D14" w:rsidRDefault="002E5D14" w:rsidP="002E5D14">
      <w:pPr>
        <w:pStyle w:val="Bibliography"/>
        <w:rPr>
          <w:lang w:val="en-GB"/>
        </w:rPr>
      </w:pPr>
      <w:r w:rsidRPr="002E5D14">
        <w:rPr>
          <w:lang w:val="en-GB"/>
        </w:rPr>
        <w:t xml:space="preserve">Blanchard, J.L., Andersen, K.H., Scott, F., Hintzen, N.T., Piet, G. &amp; Jennings, S. (2014). Evaluating targets and trade-offs among fisheries and conservation objectives using a multispecies size spectrum model. </w:t>
      </w:r>
      <w:r w:rsidRPr="002E5D14">
        <w:rPr>
          <w:i/>
          <w:iCs/>
          <w:lang w:val="en-GB"/>
        </w:rPr>
        <w:t>Journal of Applied Ecology</w:t>
      </w:r>
      <w:r w:rsidRPr="002E5D14">
        <w:rPr>
          <w:lang w:val="en-GB"/>
        </w:rPr>
        <w:t>, 51, 612–622.</w:t>
      </w:r>
    </w:p>
    <w:p w14:paraId="337747EE" w14:textId="77777777" w:rsidR="002E5D14" w:rsidRPr="002E5D14" w:rsidRDefault="002E5D14" w:rsidP="002E5D14">
      <w:pPr>
        <w:pStyle w:val="Bibliography"/>
        <w:rPr>
          <w:lang w:val="en-GB"/>
        </w:rPr>
      </w:pPr>
      <w:r w:rsidRPr="002E5D14">
        <w:rPr>
          <w:lang w:val="en-GB"/>
        </w:rPr>
        <w:t xml:space="preserve">Blanchard, J.L., Jennings, S., Holmes, R., Harle, J., Merino, G., Allen, J.I., </w:t>
      </w:r>
      <w:r w:rsidRPr="002E5D14">
        <w:rPr>
          <w:i/>
          <w:iCs/>
          <w:lang w:val="en-GB"/>
        </w:rPr>
        <w:t>et al.</w:t>
      </w:r>
      <w:r w:rsidRPr="002E5D14">
        <w:rPr>
          <w:lang w:val="en-GB"/>
        </w:rPr>
        <w:t xml:space="preserve"> (2012). Potential consequences of climate change for primary production and fish production in large marine ecosystems. </w:t>
      </w:r>
      <w:r w:rsidRPr="002E5D14">
        <w:rPr>
          <w:i/>
          <w:iCs/>
          <w:lang w:val="en-GB"/>
        </w:rPr>
        <w:t>Philosophical Transactions of the Royal Society of London, Series B: Biological Sciences</w:t>
      </w:r>
      <w:r w:rsidRPr="002E5D14">
        <w:rPr>
          <w:lang w:val="en-GB"/>
        </w:rPr>
        <w:t>, 367, 2979–2989.</w:t>
      </w:r>
    </w:p>
    <w:p w14:paraId="020F3FCC" w14:textId="77777777" w:rsidR="002E5D14" w:rsidRPr="002E5D14" w:rsidRDefault="002E5D14" w:rsidP="002E5D14">
      <w:pPr>
        <w:pStyle w:val="Bibliography"/>
        <w:rPr>
          <w:lang w:val="en-GB"/>
        </w:rPr>
      </w:pPr>
      <w:r w:rsidRPr="002E5D14">
        <w:rPr>
          <w:lang w:val="en-GB"/>
        </w:rPr>
        <w:t xml:space="preserve">Brown, J.H., Gillooly, J.F., Allen, A.P., Savage, V.M. &amp; West, G.B. (2004). Toward a metabolic theory of ecology. </w:t>
      </w:r>
      <w:r w:rsidRPr="002E5D14">
        <w:rPr>
          <w:i/>
          <w:iCs/>
          <w:lang w:val="en-GB"/>
        </w:rPr>
        <w:t>Ecology</w:t>
      </w:r>
      <w:r w:rsidRPr="002E5D14">
        <w:rPr>
          <w:lang w:val="en-GB"/>
        </w:rPr>
        <w:t>, 85, 1771–1789.</w:t>
      </w:r>
    </w:p>
    <w:p w14:paraId="1E0F170E" w14:textId="77777777" w:rsidR="002E5D14" w:rsidRPr="002E5D14" w:rsidRDefault="002E5D14" w:rsidP="002E5D14">
      <w:pPr>
        <w:pStyle w:val="Bibliography"/>
        <w:rPr>
          <w:lang w:val="en-GB"/>
        </w:rPr>
      </w:pPr>
      <w:r w:rsidRPr="002E5D14">
        <w:rPr>
          <w:lang w:val="en-GB"/>
        </w:rPr>
        <w:t xml:space="preserve">Casini, M., Cardinale, M. &amp; Arrhenius, F. (2004). Feeding preferences of herring () and sprat () in the southern Baltic Sea. </w:t>
      </w:r>
      <w:r w:rsidRPr="002E5D14">
        <w:rPr>
          <w:i/>
          <w:iCs/>
          <w:lang w:val="en-GB"/>
        </w:rPr>
        <w:t>ICES Journal of Marine Science</w:t>
      </w:r>
      <w:r w:rsidRPr="002E5D14">
        <w:rPr>
          <w:lang w:val="en-GB"/>
        </w:rPr>
        <w:t>, 61, 1267–1277.</w:t>
      </w:r>
    </w:p>
    <w:p w14:paraId="43F4326E" w14:textId="77777777" w:rsidR="002E5D14" w:rsidRPr="002E5D14" w:rsidRDefault="002E5D14" w:rsidP="002E5D14">
      <w:pPr>
        <w:pStyle w:val="Bibliography"/>
        <w:rPr>
          <w:lang w:val="en-GB"/>
        </w:rPr>
      </w:pPr>
      <w:r w:rsidRPr="002E5D14">
        <w:rPr>
          <w:lang w:val="en-GB"/>
        </w:rPr>
        <w:t xml:space="preserve">Gilbert, B., Tunney, T.D., McCann, K.S., DeLong, J.P., Vasseur, D.A., Savage, V.M., </w:t>
      </w:r>
      <w:r w:rsidRPr="002E5D14">
        <w:rPr>
          <w:i/>
          <w:iCs/>
          <w:lang w:val="en-GB"/>
        </w:rPr>
        <w:t>et al.</w:t>
      </w:r>
      <w:r w:rsidRPr="002E5D14">
        <w:rPr>
          <w:lang w:val="en-GB"/>
        </w:rPr>
        <w:t xml:space="preserve"> (2014). A bioenergetic framework for the temperature dependence of trophic interactions. </w:t>
      </w:r>
      <w:r w:rsidRPr="002E5D14">
        <w:rPr>
          <w:i/>
          <w:iCs/>
          <w:lang w:val="en-GB"/>
        </w:rPr>
        <w:t>Ecology Letters</w:t>
      </w:r>
      <w:r w:rsidRPr="002E5D14">
        <w:rPr>
          <w:lang w:val="en-GB"/>
        </w:rPr>
        <w:t>, 17, 902–914.</w:t>
      </w:r>
    </w:p>
    <w:p w14:paraId="0A3F753D" w14:textId="77777777" w:rsidR="002E5D14" w:rsidRPr="002E5D14" w:rsidRDefault="002E5D14" w:rsidP="002E5D14">
      <w:pPr>
        <w:pStyle w:val="Bibliography"/>
        <w:rPr>
          <w:lang w:val="en-GB"/>
        </w:rPr>
      </w:pPr>
      <w:r w:rsidRPr="002E5D14">
        <w:rPr>
          <w:lang w:val="en-GB"/>
        </w:rPr>
        <w:t xml:space="preserve">Hartvig, M., Andersen, K.H. &amp; Beyer, J.E. (2011). Food web framework for size-structured populations. </w:t>
      </w:r>
      <w:r w:rsidRPr="002E5D14">
        <w:rPr>
          <w:i/>
          <w:iCs/>
          <w:lang w:val="en-GB"/>
        </w:rPr>
        <w:t>Journal of Theoretical Biology</w:t>
      </w:r>
      <w:r w:rsidRPr="002E5D14">
        <w:rPr>
          <w:lang w:val="en-GB"/>
        </w:rPr>
        <w:t>, 272, 113–122.</w:t>
      </w:r>
    </w:p>
    <w:p w14:paraId="3F815F61" w14:textId="77777777" w:rsidR="002E5D14" w:rsidRPr="002E5D14" w:rsidRDefault="002E5D14" w:rsidP="002E5D14">
      <w:pPr>
        <w:pStyle w:val="Bibliography"/>
        <w:rPr>
          <w:lang w:val="en-GB"/>
        </w:rPr>
      </w:pPr>
      <w:r w:rsidRPr="002E5D14">
        <w:rPr>
          <w:lang w:val="en-GB"/>
        </w:rPr>
        <w:t xml:space="preserve">Huss, M., Gårdmark, A., van Leeuwen, A. &amp; de Roos, A.M. (2012). Size- and food-dependent growth drives patterns of competitive dominance along productivity gradients. </w:t>
      </w:r>
      <w:r w:rsidRPr="002E5D14">
        <w:rPr>
          <w:i/>
          <w:iCs/>
          <w:lang w:val="en-GB"/>
        </w:rPr>
        <w:t>Ecology</w:t>
      </w:r>
      <w:r w:rsidRPr="002E5D14">
        <w:rPr>
          <w:lang w:val="en-GB"/>
        </w:rPr>
        <w:t>, 93, 847–857.</w:t>
      </w:r>
    </w:p>
    <w:p w14:paraId="6134EB3F" w14:textId="77777777" w:rsidR="002E5D14" w:rsidRPr="002E5D14" w:rsidRDefault="002E5D14" w:rsidP="002E5D14">
      <w:pPr>
        <w:pStyle w:val="Bibliography"/>
        <w:rPr>
          <w:lang w:val="en-GB"/>
        </w:rPr>
      </w:pPr>
      <w:r w:rsidRPr="002E5D14">
        <w:rPr>
          <w:lang w:val="en-GB"/>
        </w:rPr>
        <w:t>ICES. (2010). Stomach Dataset 2010, ICES, Copenhagen.</w:t>
      </w:r>
    </w:p>
    <w:p w14:paraId="4631B604" w14:textId="77777777" w:rsidR="002E5D14" w:rsidRPr="002E5D14" w:rsidRDefault="002E5D14" w:rsidP="002E5D14">
      <w:pPr>
        <w:pStyle w:val="Bibliography"/>
        <w:rPr>
          <w:lang w:val="en-GB"/>
        </w:rPr>
      </w:pPr>
      <w:r w:rsidRPr="002E5D14">
        <w:rPr>
          <w:lang w:val="en-GB"/>
        </w:rPr>
        <w:t xml:space="preserve">ICES. (2013). </w:t>
      </w:r>
      <w:r w:rsidRPr="002E5D14">
        <w:rPr>
          <w:i/>
          <w:iCs/>
          <w:lang w:val="en-GB"/>
        </w:rPr>
        <w:t>Report of the Baltic Fisheries Assessment Working Group (WGBFAS)</w:t>
      </w:r>
      <w:r w:rsidRPr="002E5D14">
        <w:rPr>
          <w:lang w:val="en-GB"/>
        </w:rPr>
        <w:t xml:space="preserve"> ( No. ICES CM 2013/ACOM:10.). 10-17 April 2013 ICES Headquarters, Copenhagen.</w:t>
      </w:r>
    </w:p>
    <w:p w14:paraId="7C208108" w14:textId="77777777" w:rsidR="002E5D14" w:rsidRPr="002E5D14" w:rsidRDefault="002E5D14" w:rsidP="002E5D14">
      <w:pPr>
        <w:pStyle w:val="Bibliography"/>
        <w:rPr>
          <w:lang w:val="en-GB"/>
        </w:rPr>
      </w:pPr>
      <w:r w:rsidRPr="002E5D14">
        <w:rPr>
          <w:lang w:val="en-GB"/>
        </w:rPr>
        <w:t xml:space="preserve">ICES. (2015). </w:t>
      </w:r>
      <w:r w:rsidRPr="002E5D14">
        <w:rPr>
          <w:i/>
          <w:iCs/>
          <w:lang w:val="en-GB"/>
        </w:rPr>
        <w:t>Report of the Baltic Fisheries Assessment Working Group (WGBFAS)</w:t>
      </w:r>
      <w:r w:rsidRPr="002E5D14">
        <w:rPr>
          <w:lang w:val="en-GB"/>
        </w:rPr>
        <w:t xml:space="preserve"> ( No. ICES CM 2015/ACOM:10). 14-21 April 2015 ICES Headquarters, Copenhagen.</w:t>
      </w:r>
    </w:p>
    <w:p w14:paraId="0602F7FC" w14:textId="77777777" w:rsidR="002E5D14" w:rsidRPr="002E5D14" w:rsidRDefault="002E5D14" w:rsidP="002E5D14">
      <w:pPr>
        <w:pStyle w:val="Bibliography"/>
        <w:rPr>
          <w:lang w:val="en-GB"/>
        </w:rPr>
      </w:pPr>
      <w:r w:rsidRPr="002E5D14">
        <w:rPr>
          <w:lang w:val="en-GB"/>
        </w:rPr>
        <w:t xml:space="preserve">ICES. (2021). </w:t>
      </w:r>
      <w:r w:rsidRPr="002E5D14">
        <w:rPr>
          <w:i/>
          <w:iCs/>
          <w:lang w:val="en-GB"/>
        </w:rPr>
        <w:t>ICES Spatial Facility, ICES, Copenhagen</w:t>
      </w:r>
      <w:r w:rsidRPr="002E5D14">
        <w:rPr>
          <w:lang w:val="en-GB"/>
        </w:rPr>
        <w:t>.</w:t>
      </w:r>
    </w:p>
    <w:p w14:paraId="3AF03D90" w14:textId="77777777" w:rsidR="002E5D14" w:rsidRPr="002E5D14" w:rsidRDefault="002E5D14" w:rsidP="002E5D14">
      <w:pPr>
        <w:pStyle w:val="Bibliography"/>
        <w:rPr>
          <w:lang w:val="en-GB"/>
        </w:rPr>
      </w:pPr>
      <w:r w:rsidRPr="002E5D14">
        <w:rPr>
          <w:lang w:val="en-GB"/>
        </w:rPr>
        <w:t xml:space="preserve">Jacobsen, N.S., Burgess, M.G. &amp; Andersen, K.H. (2017). Efficiency of fisheries is increasing at the ecosystem level. </w:t>
      </w:r>
      <w:r w:rsidRPr="002E5D14">
        <w:rPr>
          <w:i/>
          <w:iCs/>
          <w:lang w:val="en-GB"/>
        </w:rPr>
        <w:t>Fish and Fisheries</w:t>
      </w:r>
      <w:r w:rsidRPr="002E5D14">
        <w:rPr>
          <w:lang w:val="en-GB"/>
        </w:rPr>
        <w:t>, 18, 199–211.</w:t>
      </w:r>
    </w:p>
    <w:p w14:paraId="2D768DF0" w14:textId="77777777" w:rsidR="002E5D14" w:rsidRPr="002E5D14" w:rsidRDefault="002E5D14" w:rsidP="002E5D14">
      <w:pPr>
        <w:pStyle w:val="Bibliography"/>
        <w:rPr>
          <w:lang w:val="en-GB"/>
        </w:rPr>
      </w:pPr>
      <w:r w:rsidRPr="002E5D14">
        <w:rPr>
          <w:lang w:val="en-GB"/>
        </w:rPr>
        <w:t xml:space="preserve">van Leeuwen, A., Huss, M., Gårdmark, A., Casini, M., Vitale, F., Hjelm, J., </w:t>
      </w:r>
      <w:r w:rsidRPr="002E5D14">
        <w:rPr>
          <w:i/>
          <w:iCs/>
          <w:lang w:val="en-GB"/>
        </w:rPr>
        <w:t>et al.</w:t>
      </w:r>
      <w:r w:rsidRPr="002E5D14">
        <w:rPr>
          <w:lang w:val="en-GB"/>
        </w:rPr>
        <w:t xml:space="preserve"> (2013). Predators with multiple ontogenetic niche shifts have limited potential for population growth and top-down control of their prey. </w:t>
      </w:r>
      <w:r w:rsidRPr="002E5D14">
        <w:rPr>
          <w:i/>
          <w:iCs/>
          <w:lang w:val="en-GB"/>
        </w:rPr>
        <w:t>American Naturalist</w:t>
      </w:r>
      <w:r w:rsidRPr="002E5D14">
        <w:rPr>
          <w:lang w:val="en-GB"/>
        </w:rPr>
        <w:t>, 182, 53–66.</w:t>
      </w:r>
    </w:p>
    <w:p w14:paraId="382FF4BF" w14:textId="77777777" w:rsidR="002E5D14" w:rsidRPr="00C41065" w:rsidRDefault="002E5D14" w:rsidP="002E5D14">
      <w:pPr>
        <w:pStyle w:val="Bibliography"/>
        <w:rPr>
          <w:lang w:val="sv-SE"/>
        </w:rPr>
      </w:pPr>
      <w:r w:rsidRPr="002E5D14">
        <w:rPr>
          <w:lang w:val="en-GB"/>
        </w:rPr>
        <w:t xml:space="preserve">Lindmark, M., Ohlberger, J. &amp; Gårdmark, A. (2022). Optimum growth temperature declines with body size within fish species. </w:t>
      </w:r>
      <w:r w:rsidRPr="00C41065">
        <w:rPr>
          <w:i/>
          <w:iCs/>
          <w:lang w:val="sv-SE"/>
        </w:rPr>
        <w:t>Global Change Biology</w:t>
      </w:r>
      <w:r w:rsidRPr="00C41065">
        <w:rPr>
          <w:lang w:val="sv-SE"/>
        </w:rPr>
        <w:t>, 28, 2259–2271.</w:t>
      </w:r>
    </w:p>
    <w:p w14:paraId="22CD24F2" w14:textId="77777777" w:rsidR="002E5D14" w:rsidRPr="00C41065" w:rsidRDefault="002E5D14" w:rsidP="002E5D14">
      <w:pPr>
        <w:pStyle w:val="Bibliography"/>
        <w:rPr>
          <w:lang w:val="sv-SE"/>
        </w:rPr>
      </w:pPr>
      <w:r w:rsidRPr="00C41065">
        <w:rPr>
          <w:lang w:val="sv-SE"/>
        </w:rPr>
        <w:t xml:space="preserve">Möllmann, C., Diekmann, R., Müller‐Karulis, B., Kornilovs, G., Plikshs, M. &amp; Axe, P. (2009). </w:t>
      </w:r>
      <w:r w:rsidRPr="002E5D14">
        <w:rPr>
          <w:lang w:val="en-GB"/>
        </w:rPr>
        <w:t xml:space="preserve">Reorganization of a large marine ecosystem due to atmospheric and anthropogenic pressure: a discontinuous regime shift in the Central Baltic Sea. </w:t>
      </w:r>
      <w:r w:rsidRPr="00C41065">
        <w:rPr>
          <w:i/>
          <w:iCs/>
          <w:lang w:val="sv-SE"/>
        </w:rPr>
        <w:t>Global Change Biology</w:t>
      </w:r>
      <w:r w:rsidRPr="00C41065">
        <w:rPr>
          <w:lang w:val="sv-SE"/>
        </w:rPr>
        <w:t>, 15, 1377–1393.</w:t>
      </w:r>
    </w:p>
    <w:p w14:paraId="330F1E6C" w14:textId="77777777" w:rsidR="002E5D14" w:rsidRPr="002E5D14" w:rsidRDefault="002E5D14" w:rsidP="002E5D14">
      <w:pPr>
        <w:pStyle w:val="Bibliography"/>
        <w:rPr>
          <w:lang w:val="en-GB"/>
        </w:rPr>
      </w:pPr>
      <w:r w:rsidRPr="00C41065">
        <w:rPr>
          <w:lang w:val="sv-SE"/>
        </w:rPr>
        <w:lastRenderedPageBreak/>
        <w:t xml:space="preserve">Niiranen, S., Orio, A., Bartolino, V., Bergström, U., Kallasvuo, M., Neuenfeldt, S., </w:t>
      </w:r>
      <w:r w:rsidRPr="00C41065">
        <w:rPr>
          <w:i/>
          <w:iCs/>
          <w:lang w:val="sv-SE"/>
        </w:rPr>
        <w:t>et al.</w:t>
      </w:r>
      <w:r w:rsidRPr="00C41065">
        <w:rPr>
          <w:lang w:val="sv-SE"/>
        </w:rPr>
        <w:t xml:space="preserve"> </w:t>
      </w:r>
      <w:r w:rsidRPr="002E5D14">
        <w:rPr>
          <w:lang w:val="en-GB"/>
        </w:rPr>
        <w:t xml:space="preserve">(2019). Predator-prey body size relationships of cod in a low-diversity marine system. </w:t>
      </w:r>
      <w:r w:rsidRPr="002E5D14">
        <w:rPr>
          <w:i/>
          <w:iCs/>
          <w:lang w:val="en-GB"/>
        </w:rPr>
        <w:t>Mar. Ecol. Prog. Ser.</w:t>
      </w:r>
      <w:r w:rsidRPr="002E5D14">
        <w:rPr>
          <w:lang w:val="en-GB"/>
        </w:rPr>
        <w:t>, 627, 201–206.</w:t>
      </w:r>
    </w:p>
    <w:p w14:paraId="660EEC26" w14:textId="77777777" w:rsidR="002E5D14" w:rsidRPr="002E5D14" w:rsidRDefault="002E5D14" w:rsidP="002E5D14">
      <w:pPr>
        <w:pStyle w:val="Bibliography"/>
        <w:rPr>
          <w:lang w:val="en-GB"/>
        </w:rPr>
      </w:pPr>
      <w:r w:rsidRPr="002E5D14">
        <w:rPr>
          <w:lang w:val="en-GB"/>
        </w:rPr>
        <w:t>Ogle, D.H. (2013). fishR Vignette - Von Bertalanffy Growth Models.</w:t>
      </w:r>
    </w:p>
    <w:p w14:paraId="6586629E" w14:textId="77777777" w:rsidR="002E5D14" w:rsidRPr="002E5D14" w:rsidRDefault="002E5D14" w:rsidP="002E5D14">
      <w:pPr>
        <w:pStyle w:val="Bibliography"/>
        <w:rPr>
          <w:lang w:val="en-GB"/>
        </w:rPr>
      </w:pPr>
      <w:r w:rsidRPr="002E5D14">
        <w:rPr>
          <w:lang w:val="en-GB"/>
        </w:rPr>
        <w:t xml:space="preserve">Ogle, D.H. (2017). </w:t>
      </w:r>
      <w:r w:rsidRPr="002E5D14">
        <w:rPr>
          <w:i/>
          <w:iCs/>
          <w:lang w:val="en-GB"/>
        </w:rPr>
        <w:t>FSAdata: Fisheries Stock Analysis, Datasets</w:t>
      </w:r>
      <w:r w:rsidRPr="002E5D14">
        <w:rPr>
          <w:lang w:val="en-GB"/>
        </w:rPr>
        <w:t>.</w:t>
      </w:r>
    </w:p>
    <w:p w14:paraId="6F82280E" w14:textId="77777777" w:rsidR="002E5D14" w:rsidRPr="002E5D14" w:rsidRDefault="002E5D14" w:rsidP="002E5D14">
      <w:pPr>
        <w:pStyle w:val="Bibliography"/>
        <w:rPr>
          <w:lang w:val="en-GB"/>
        </w:rPr>
      </w:pPr>
      <w:r w:rsidRPr="002E5D14">
        <w:rPr>
          <w:lang w:val="en-GB"/>
        </w:rPr>
        <w:t xml:space="preserve">Ogle, D.H. (2018). </w:t>
      </w:r>
      <w:r w:rsidRPr="002E5D14">
        <w:rPr>
          <w:i/>
          <w:iCs/>
          <w:lang w:val="en-GB"/>
        </w:rPr>
        <w:t>FSA: Fisheries Stock Analysis. R package</w:t>
      </w:r>
      <w:r w:rsidRPr="002E5D14">
        <w:rPr>
          <w:lang w:val="en-GB"/>
        </w:rPr>
        <w:t>.</w:t>
      </w:r>
    </w:p>
    <w:p w14:paraId="6F478710" w14:textId="77777777" w:rsidR="002E5D14" w:rsidRPr="002E5D14" w:rsidRDefault="002E5D14" w:rsidP="002E5D14">
      <w:pPr>
        <w:pStyle w:val="Bibliography"/>
        <w:rPr>
          <w:lang w:val="en-GB"/>
        </w:rPr>
      </w:pPr>
      <w:r w:rsidRPr="002E5D14">
        <w:rPr>
          <w:lang w:val="en-GB"/>
        </w:rPr>
        <w:t xml:space="preserve">Pauly, D. (1980). On the interrelationships between natural mortality, growth parameters, and mean environmental temperature in 175 fish stocks. </w:t>
      </w:r>
      <w:r w:rsidRPr="002E5D14">
        <w:rPr>
          <w:i/>
          <w:iCs/>
          <w:lang w:val="en-GB"/>
        </w:rPr>
        <w:t>ICES Journal of Marine Science</w:t>
      </w:r>
      <w:r w:rsidRPr="002E5D14">
        <w:rPr>
          <w:lang w:val="en-GB"/>
        </w:rPr>
        <w:t>, 39, 175–192.</w:t>
      </w:r>
    </w:p>
    <w:p w14:paraId="261552E5" w14:textId="77777777" w:rsidR="002E5D14" w:rsidRPr="002E5D14" w:rsidRDefault="002E5D14" w:rsidP="002E5D14">
      <w:pPr>
        <w:pStyle w:val="Bibliography"/>
        <w:rPr>
          <w:lang w:val="en-GB"/>
        </w:rPr>
      </w:pPr>
      <w:r w:rsidRPr="002E5D14">
        <w:rPr>
          <w:lang w:val="en-GB"/>
        </w:rPr>
        <w:t xml:space="preserve">R Core Team. (2020). </w:t>
      </w:r>
      <w:r w:rsidRPr="002E5D14">
        <w:rPr>
          <w:i/>
          <w:iCs/>
          <w:lang w:val="en-GB"/>
        </w:rPr>
        <w:t>R: A Language and Environment for Statistical Computing. R Foundation for Statistical Computing</w:t>
      </w:r>
      <w:r w:rsidRPr="002E5D14">
        <w:rPr>
          <w:lang w:val="en-GB"/>
        </w:rPr>
        <w:t>. Vienna, Austria.</w:t>
      </w:r>
    </w:p>
    <w:p w14:paraId="1B19EC31" w14:textId="77777777" w:rsidR="002E5D14" w:rsidRPr="002E5D14" w:rsidRDefault="002E5D14" w:rsidP="002E5D14">
      <w:pPr>
        <w:pStyle w:val="Bibliography"/>
        <w:rPr>
          <w:lang w:val="en-GB"/>
        </w:rPr>
      </w:pPr>
      <w:r w:rsidRPr="002E5D14">
        <w:rPr>
          <w:lang w:val="en-GB"/>
        </w:rPr>
        <w:t xml:space="preserve">Reum, J.C.P., Blanchard, J.L., Holsman, K.K., Aydin, K. &amp; Punt, A.E. (2019). Species‐specific ontogenetic diet shifts attenuate trophic cascades and lengthen food chains in exploited ecosystems. </w:t>
      </w:r>
      <w:r w:rsidRPr="002E5D14">
        <w:rPr>
          <w:i/>
          <w:iCs/>
          <w:lang w:val="en-GB"/>
        </w:rPr>
        <w:t>Oikos</w:t>
      </w:r>
      <w:r w:rsidRPr="002E5D14">
        <w:rPr>
          <w:lang w:val="en-GB"/>
        </w:rPr>
        <w:t>, 128, 1051–1064.</w:t>
      </w:r>
    </w:p>
    <w:p w14:paraId="4C86D4D7" w14:textId="77777777" w:rsidR="002E5D14" w:rsidRPr="002E5D14" w:rsidRDefault="002E5D14" w:rsidP="002E5D14">
      <w:pPr>
        <w:pStyle w:val="Bibliography"/>
        <w:rPr>
          <w:lang w:val="en-GB"/>
        </w:rPr>
      </w:pPr>
      <w:r w:rsidRPr="002E5D14">
        <w:rPr>
          <w:lang w:val="en-GB"/>
        </w:rPr>
        <w:t xml:space="preserve">Savage, V.M., Gillooly, J.F., Brown, J.H., West, G.B. &amp; Charnov, E.L. (2004). Effects of Body Size and Temperature on Population Growth. </w:t>
      </w:r>
      <w:r w:rsidRPr="002E5D14">
        <w:rPr>
          <w:i/>
          <w:iCs/>
          <w:lang w:val="en-GB"/>
        </w:rPr>
        <w:t>The American Naturalist</w:t>
      </w:r>
      <w:r w:rsidRPr="002E5D14">
        <w:rPr>
          <w:lang w:val="en-GB"/>
        </w:rPr>
        <w:t>, 163, 429–441.</w:t>
      </w:r>
    </w:p>
    <w:p w14:paraId="6BA0090E" w14:textId="77777777" w:rsidR="002E5D14" w:rsidRPr="002E5D14" w:rsidRDefault="002E5D14" w:rsidP="002E5D14">
      <w:pPr>
        <w:pStyle w:val="Bibliography"/>
        <w:rPr>
          <w:lang w:val="en-GB"/>
        </w:rPr>
      </w:pPr>
      <w:r w:rsidRPr="002E5D14">
        <w:rPr>
          <w:lang w:val="en-GB"/>
        </w:rPr>
        <w:t xml:space="preserve">Scott, F., Blanchard, J. &amp; Andersen, K. (2019). </w:t>
      </w:r>
      <w:r w:rsidRPr="002E5D14">
        <w:rPr>
          <w:i/>
          <w:iCs/>
          <w:lang w:val="en-GB"/>
        </w:rPr>
        <w:t>mizer: Multi-Species sIZE Spectrum Modelling in R</w:t>
      </w:r>
      <w:r w:rsidRPr="002E5D14">
        <w:rPr>
          <w:lang w:val="en-GB"/>
        </w:rPr>
        <w:t>. R. .</w:t>
      </w:r>
    </w:p>
    <w:p w14:paraId="75884CD4" w14:textId="77777777" w:rsidR="002E5D14" w:rsidRPr="002E5D14" w:rsidRDefault="002E5D14" w:rsidP="002E5D14">
      <w:pPr>
        <w:pStyle w:val="Bibliography"/>
        <w:rPr>
          <w:lang w:val="en-GB"/>
        </w:rPr>
      </w:pPr>
      <w:r w:rsidRPr="002E5D14">
        <w:rPr>
          <w:lang w:val="en-GB"/>
        </w:rPr>
        <w:t xml:space="preserve">Vainikka, A., G\a ardmark, A., Bland, B. &amp; Hjelm, J. (2009a). Two-and three-dimensional maturation reaction norms for the eastern Baltic cod, Gadus morhua. </w:t>
      </w:r>
      <w:r w:rsidRPr="002E5D14">
        <w:rPr>
          <w:i/>
          <w:iCs/>
          <w:lang w:val="en-GB"/>
        </w:rPr>
        <w:t>ICES Journal of Marine Science: Journal du Conseil</w:t>
      </w:r>
      <w:r w:rsidRPr="002E5D14">
        <w:rPr>
          <w:lang w:val="en-GB"/>
        </w:rPr>
        <w:t>, 66, 248–257.</w:t>
      </w:r>
    </w:p>
    <w:p w14:paraId="08F84CD7" w14:textId="77777777" w:rsidR="002E5D14" w:rsidRPr="002E5D14" w:rsidRDefault="002E5D14" w:rsidP="002E5D14">
      <w:pPr>
        <w:pStyle w:val="Bibliography"/>
        <w:rPr>
          <w:lang w:val="en-GB"/>
        </w:rPr>
      </w:pPr>
      <w:r w:rsidRPr="002E5D14">
        <w:rPr>
          <w:lang w:val="en-GB"/>
        </w:rPr>
        <w:t xml:space="preserve">Vainikka, A., Mollet, F., Casini, M. &amp; Gårdmark, A. (2009b). Spatial variation in growth, condition and maturation reaction norms of the Baltic herring Clupea harengus membras. </w:t>
      </w:r>
      <w:r w:rsidRPr="002E5D14">
        <w:rPr>
          <w:i/>
          <w:iCs/>
          <w:lang w:val="en-GB"/>
        </w:rPr>
        <w:t>Marine Ecology Progress Series</w:t>
      </w:r>
      <w:r w:rsidRPr="002E5D14">
        <w:rPr>
          <w:lang w:val="en-GB"/>
        </w:rPr>
        <w:t>, 383, 285–294.</w:t>
      </w:r>
    </w:p>
    <w:p w14:paraId="38A89645" w14:textId="77777777" w:rsidR="002E5D14" w:rsidRPr="002E5D14" w:rsidRDefault="002E5D14" w:rsidP="002E5D14">
      <w:pPr>
        <w:pStyle w:val="Bibliography"/>
        <w:rPr>
          <w:lang w:val="en-GB"/>
        </w:rPr>
      </w:pPr>
      <w:r w:rsidRPr="002E5D14">
        <w:rPr>
          <w:lang w:val="en-GB"/>
        </w:rPr>
        <w:t xml:space="preserve">Wickham, H., Averick, M., Bryan, J., Chang, W., D’Agostino McGowan, L., François, R., </w:t>
      </w:r>
      <w:r w:rsidRPr="002E5D14">
        <w:rPr>
          <w:i/>
          <w:iCs/>
          <w:lang w:val="en-GB"/>
        </w:rPr>
        <w:t>et al.</w:t>
      </w:r>
      <w:r w:rsidRPr="002E5D14">
        <w:rPr>
          <w:lang w:val="en-GB"/>
        </w:rPr>
        <w:t xml:space="preserve"> (2019). Welcome to the tidyverse. </w:t>
      </w:r>
      <w:r w:rsidRPr="002E5D14">
        <w:rPr>
          <w:i/>
          <w:iCs/>
          <w:lang w:val="en-GB"/>
        </w:rPr>
        <w:t>Journal of Open Source Software</w:t>
      </w:r>
      <w:r w:rsidRPr="002E5D14">
        <w:rPr>
          <w:lang w:val="en-GB"/>
        </w:rPr>
        <w:t>, 1686.</w:t>
      </w:r>
    </w:p>
    <w:p w14:paraId="5FA3C9C2" w14:textId="62F6C506" w:rsidR="003D7B51" w:rsidRPr="00A658A5" w:rsidRDefault="005C3B0B" w:rsidP="00C41065">
      <w:pPr>
        <w:spacing w:line="360" w:lineRule="auto"/>
        <w:contextualSpacing/>
        <w:jc w:val="both"/>
      </w:pPr>
      <w:r w:rsidRPr="00A658A5">
        <w:rPr>
          <w:b/>
        </w:rPr>
        <w:fldChar w:fldCharType="end"/>
      </w:r>
    </w:p>
    <w:sectPr w:rsidR="003D7B51" w:rsidRPr="00A658A5" w:rsidSect="007877E6">
      <w:headerReference w:type="even" r:id="rId25"/>
      <w:footerReference w:type="even" r:id="rId26"/>
      <w:footerReference w:type="default" r:id="rId27"/>
      <w:headerReference w:type="first" r:id="rId28"/>
      <w:footerReference w:type="first" r:id="rId29"/>
      <w:pgSz w:w="11906" w:h="16838" w:code="9"/>
      <w:pgMar w:top="1440" w:right="1440" w:bottom="1440" w:left="1440" w:header="851" w:footer="36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E2009" w14:textId="77777777" w:rsidR="00B13CF2" w:rsidRDefault="00B13CF2">
      <w:r>
        <w:separator/>
      </w:r>
    </w:p>
  </w:endnote>
  <w:endnote w:type="continuationSeparator" w:id="0">
    <w:p w14:paraId="0378D850" w14:textId="77777777" w:rsidR="00B13CF2" w:rsidRDefault="00B13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5279681"/>
      <w:docPartObj>
        <w:docPartGallery w:val="Page Numbers (Bottom of Page)"/>
        <w:docPartUnique/>
      </w:docPartObj>
    </w:sdtPr>
    <w:sdtEndPr>
      <w:rPr>
        <w:rStyle w:val="PageNumber"/>
      </w:rPr>
    </w:sdtEndPr>
    <w:sdtContent>
      <w:p w14:paraId="0D688CC5" w14:textId="77777777" w:rsidR="00D63359" w:rsidRDefault="00D63359" w:rsidP="003D7B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ED0B13" w14:textId="77777777" w:rsidR="00D63359" w:rsidRDefault="00D633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3494043"/>
      <w:docPartObj>
        <w:docPartGallery w:val="Page Numbers (Bottom of Page)"/>
        <w:docPartUnique/>
      </w:docPartObj>
    </w:sdtPr>
    <w:sdtEndPr>
      <w:rPr>
        <w:rStyle w:val="PageNumber"/>
      </w:rPr>
    </w:sdtEndPr>
    <w:sdtContent>
      <w:p w14:paraId="26232E21" w14:textId="429984E6" w:rsidR="00D63359" w:rsidRDefault="00D63359" w:rsidP="003D7B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42A9D">
          <w:rPr>
            <w:rStyle w:val="PageNumber"/>
            <w:noProof/>
          </w:rPr>
          <w:t>20</w:t>
        </w:r>
        <w:r>
          <w:rPr>
            <w:rStyle w:val="PageNumber"/>
          </w:rPr>
          <w:fldChar w:fldCharType="end"/>
        </w:r>
      </w:p>
    </w:sdtContent>
  </w:sdt>
  <w:p w14:paraId="2EAD71B8" w14:textId="77777777" w:rsidR="00D63359" w:rsidRDefault="00D633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6442346"/>
      <w:docPartObj>
        <w:docPartGallery w:val="Page Numbers (Bottom of Page)"/>
        <w:docPartUnique/>
      </w:docPartObj>
    </w:sdtPr>
    <w:sdtEndPr>
      <w:rPr>
        <w:noProof/>
      </w:rPr>
    </w:sdtEndPr>
    <w:sdtContent>
      <w:p w14:paraId="7EA2B883" w14:textId="20801044" w:rsidR="00D63359" w:rsidRDefault="00D63359">
        <w:pPr>
          <w:pStyle w:val="Footer"/>
          <w:jc w:val="center"/>
        </w:pPr>
        <w:r>
          <w:fldChar w:fldCharType="begin"/>
        </w:r>
        <w:r>
          <w:instrText xml:space="preserve"> PAGE   \* MERGEFORMAT </w:instrText>
        </w:r>
        <w:r>
          <w:fldChar w:fldCharType="separate"/>
        </w:r>
        <w:r w:rsidR="00F42A9D">
          <w:rPr>
            <w:noProof/>
          </w:rPr>
          <w:t>1</w:t>
        </w:r>
        <w:r>
          <w:rPr>
            <w:noProof/>
          </w:rPr>
          <w:fldChar w:fldCharType="end"/>
        </w:r>
      </w:p>
    </w:sdtContent>
  </w:sdt>
  <w:p w14:paraId="438D8555" w14:textId="77777777" w:rsidR="00D63359" w:rsidRDefault="00D63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D98CF" w14:textId="77777777" w:rsidR="00B13CF2" w:rsidRDefault="00B13CF2">
      <w:r>
        <w:separator/>
      </w:r>
    </w:p>
  </w:footnote>
  <w:footnote w:type="continuationSeparator" w:id="0">
    <w:p w14:paraId="25110150" w14:textId="77777777" w:rsidR="00B13CF2" w:rsidRDefault="00B13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F1189" w14:textId="77777777" w:rsidR="00D63359" w:rsidRDefault="00D63359" w:rsidP="003D7B51">
    <w:pPr>
      <w:pStyle w:val="Header"/>
      <w:spacing w:before="240" w:after="276"/>
    </w:pPr>
  </w:p>
  <w:p w14:paraId="1DD09880" w14:textId="77777777" w:rsidR="00D63359" w:rsidRDefault="00D63359" w:rsidP="003D7B51">
    <w:pPr>
      <w:spacing w:after="276"/>
    </w:pPr>
  </w:p>
  <w:p w14:paraId="66773745" w14:textId="77777777" w:rsidR="00D63359" w:rsidRDefault="00D63359"/>
  <w:p w14:paraId="06904AEE" w14:textId="77777777" w:rsidR="00D63359" w:rsidRDefault="00D6335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211D5" w14:textId="77777777" w:rsidR="00D63359" w:rsidRPr="00B30794" w:rsidRDefault="00D63359" w:rsidP="003D7B51">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3B836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3C7D13"/>
    <w:multiLevelType w:val="hybridMultilevel"/>
    <w:tmpl w:val="2BC220EA"/>
    <w:lvl w:ilvl="0" w:tplc="041D000F">
      <w:start w:val="1"/>
      <w:numFmt w:val="decimal"/>
      <w:lvlText w:val="%1."/>
      <w:lvlJc w:val="left"/>
      <w:pPr>
        <w:ind w:left="1004" w:hanging="360"/>
      </w:pPr>
    </w:lvl>
    <w:lvl w:ilvl="1" w:tplc="54AE2DC6">
      <w:start w:val="1"/>
      <w:numFmt w:val="decimal"/>
      <w:lvlText w:val="%2."/>
      <w:lvlJc w:val="left"/>
      <w:pPr>
        <w:ind w:left="1724" w:hanging="360"/>
      </w:pPr>
      <w:rPr>
        <w:rFonts w:asciiTheme="minorHAnsi" w:eastAsiaTheme="minorHAnsi" w:hAnsiTheme="minorHAnsi" w:cstheme="minorHAnsi"/>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0AAF09EA"/>
    <w:multiLevelType w:val="hybridMultilevel"/>
    <w:tmpl w:val="417459B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BF4A56"/>
    <w:multiLevelType w:val="hybridMultilevel"/>
    <w:tmpl w:val="21C04C08"/>
    <w:lvl w:ilvl="0" w:tplc="F880E3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66426"/>
    <w:multiLevelType w:val="hybridMultilevel"/>
    <w:tmpl w:val="9E709D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739FE"/>
    <w:multiLevelType w:val="hybridMultilevel"/>
    <w:tmpl w:val="9B8269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2099D"/>
    <w:multiLevelType w:val="hybridMultilevel"/>
    <w:tmpl w:val="CECCEF0A"/>
    <w:lvl w:ilvl="0" w:tplc="ECFAEC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9"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D439D0"/>
    <w:multiLevelType w:val="hybridMultilevel"/>
    <w:tmpl w:val="4D6EEB88"/>
    <w:lvl w:ilvl="0" w:tplc="041D0013">
      <w:start w:val="1"/>
      <w:numFmt w:val="upperRoman"/>
      <w:lvlText w:val="%1."/>
      <w:lvlJc w:val="right"/>
      <w:pPr>
        <w:ind w:left="644" w:hanging="360"/>
      </w:p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3281391A"/>
    <w:multiLevelType w:val="hybridMultilevel"/>
    <w:tmpl w:val="8E4C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EA78F2"/>
    <w:multiLevelType w:val="hybridMultilevel"/>
    <w:tmpl w:val="A57AD31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EE71E0"/>
    <w:multiLevelType w:val="hybridMultilevel"/>
    <w:tmpl w:val="39C828E8"/>
    <w:lvl w:ilvl="0" w:tplc="F7FC44C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4D3A7B7A"/>
    <w:multiLevelType w:val="hybridMultilevel"/>
    <w:tmpl w:val="791A487A"/>
    <w:lvl w:ilvl="0" w:tplc="5E40381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5BC861BB"/>
    <w:multiLevelType w:val="hybridMultilevel"/>
    <w:tmpl w:val="8A0C94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0873FAB"/>
    <w:multiLevelType w:val="hybridMultilevel"/>
    <w:tmpl w:val="88CEAE56"/>
    <w:lvl w:ilvl="0" w:tplc="AC1E9EE2">
      <w:start w:val="1"/>
      <w:numFmt w:val="decimal"/>
      <w:lvlText w:val="%1."/>
      <w:lvlJc w:val="left"/>
      <w:pPr>
        <w:tabs>
          <w:tab w:val="num" w:pos="720"/>
        </w:tabs>
        <w:ind w:left="720" w:hanging="360"/>
      </w:pPr>
      <w:rPr>
        <w:lang w:val="sv-SE"/>
      </w:rPr>
    </w:lvl>
    <w:lvl w:ilvl="1" w:tplc="04090001">
      <w:start w:val="1"/>
      <w:numFmt w:val="bullet"/>
      <w:lvlText w:val=""/>
      <w:lvlJc w:val="left"/>
      <w:pPr>
        <w:tabs>
          <w:tab w:val="num" w:pos="1440"/>
        </w:tabs>
        <w:ind w:left="1440" w:hanging="360"/>
      </w:pPr>
      <w:rPr>
        <w:rFonts w:ascii="Symbol" w:hAnsi="Symbol" w:hint="default"/>
      </w:rPr>
    </w:lvl>
    <w:lvl w:ilvl="2" w:tplc="375040EC">
      <w:start w:val="1"/>
      <w:numFmt w:val="decimal"/>
      <w:lvlText w:val="%3."/>
      <w:lvlJc w:val="left"/>
      <w:pPr>
        <w:tabs>
          <w:tab w:val="num" w:pos="2160"/>
        </w:tabs>
        <w:ind w:left="2160" w:hanging="360"/>
      </w:pPr>
    </w:lvl>
    <w:lvl w:ilvl="3" w:tplc="1BA845E2" w:tentative="1">
      <w:start w:val="1"/>
      <w:numFmt w:val="decimal"/>
      <w:lvlText w:val="%4."/>
      <w:lvlJc w:val="left"/>
      <w:pPr>
        <w:tabs>
          <w:tab w:val="num" w:pos="2880"/>
        </w:tabs>
        <w:ind w:left="2880" w:hanging="360"/>
      </w:pPr>
    </w:lvl>
    <w:lvl w:ilvl="4" w:tplc="52BE9798" w:tentative="1">
      <w:start w:val="1"/>
      <w:numFmt w:val="decimal"/>
      <w:lvlText w:val="%5."/>
      <w:lvlJc w:val="left"/>
      <w:pPr>
        <w:tabs>
          <w:tab w:val="num" w:pos="3600"/>
        </w:tabs>
        <w:ind w:left="3600" w:hanging="360"/>
      </w:pPr>
    </w:lvl>
    <w:lvl w:ilvl="5" w:tplc="3FF04BC2" w:tentative="1">
      <w:start w:val="1"/>
      <w:numFmt w:val="decimal"/>
      <w:lvlText w:val="%6."/>
      <w:lvlJc w:val="left"/>
      <w:pPr>
        <w:tabs>
          <w:tab w:val="num" w:pos="4320"/>
        </w:tabs>
        <w:ind w:left="4320" w:hanging="360"/>
      </w:pPr>
    </w:lvl>
    <w:lvl w:ilvl="6" w:tplc="A63263E6" w:tentative="1">
      <w:start w:val="1"/>
      <w:numFmt w:val="decimal"/>
      <w:lvlText w:val="%7."/>
      <w:lvlJc w:val="left"/>
      <w:pPr>
        <w:tabs>
          <w:tab w:val="num" w:pos="5040"/>
        </w:tabs>
        <w:ind w:left="5040" w:hanging="360"/>
      </w:pPr>
    </w:lvl>
    <w:lvl w:ilvl="7" w:tplc="F0AA540A" w:tentative="1">
      <w:start w:val="1"/>
      <w:numFmt w:val="decimal"/>
      <w:lvlText w:val="%8."/>
      <w:lvlJc w:val="left"/>
      <w:pPr>
        <w:tabs>
          <w:tab w:val="num" w:pos="5760"/>
        </w:tabs>
        <w:ind w:left="5760" w:hanging="360"/>
      </w:pPr>
    </w:lvl>
    <w:lvl w:ilvl="8" w:tplc="9CC25348" w:tentative="1">
      <w:start w:val="1"/>
      <w:numFmt w:val="decimal"/>
      <w:lvlText w:val="%9."/>
      <w:lvlJc w:val="left"/>
      <w:pPr>
        <w:tabs>
          <w:tab w:val="num" w:pos="6480"/>
        </w:tabs>
        <w:ind w:left="6480" w:hanging="360"/>
      </w:pPr>
    </w:lvl>
  </w:abstractNum>
  <w:abstractNum w:abstractNumId="20" w15:restartNumberingAfterBreak="0">
    <w:nsid w:val="7B110585"/>
    <w:multiLevelType w:val="hybridMultilevel"/>
    <w:tmpl w:val="2BC220EA"/>
    <w:lvl w:ilvl="0" w:tplc="041D000F">
      <w:start w:val="1"/>
      <w:numFmt w:val="decimal"/>
      <w:lvlText w:val="%1."/>
      <w:lvlJc w:val="left"/>
      <w:pPr>
        <w:ind w:left="1004" w:hanging="360"/>
      </w:pPr>
    </w:lvl>
    <w:lvl w:ilvl="1" w:tplc="54AE2DC6">
      <w:start w:val="1"/>
      <w:numFmt w:val="decimal"/>
      <w:lvlText w:val="%2."/>
      <w:lvlJc w:val="left"/>
      <w:pPr>
        <w:ind w:left="1724" w:hanging="360"/>
      </w:pPr>
      <w:rPr>
        <w:rFonts w:asciiTheme="minorHAnsi" w:eastAsiaTheme="minorHAnsi" w:hAnsiTheme="minorHAnsi" w:cstheme="minorHAnsi"/>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967744">
    <w:abstractNumId w:val="15"/>
  </w:num>
  <w:num w:numId="2" w16cid:durableId="1589386214">
    <w:abstractNumId w:val="17"/>
  </w:num>
  <w:num w:numId="3" w16cid:durableId="69889542">
    <w:abstractNumId w:val="0"/>
  </w:num>
  <w:num w:numId="4" w16cid:durableId="799030889">
    <w:abstractNumId w:val="1"/>
  </w:num>
  <w:num w:numId="5" w16cid:durableId="629896082">
    <w:abstractNumId w:val="16"/>
  </w:num>
  <w:num w:numId="6" w16cid:durableId="188105488">
    <w:abstractNumId w:val="3"/>
  </w:num>
  <w:num w:numId="7" w16cid:durableId="1640956082">
    <w:abstractNumId w:val="12"/>
  </w:num>
  <w:num w:numId="8" w16cid:durableId="346641028">
    <w:abstractNumId w:val="10"/>
  </w:num>
  <w:num w:numId="9" w16cid:durableId="1282299213">
    <w:abstractNumId w:val="20"/>
  </w:num>
  <w:num w:numId="10" w16cid:durableId="12611790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30788">
    <w:abstractNumId w:val="11"/>
  </w:num>
  <w:num w:numId="12" w16cid:durableId="407312718">
    <w:abstractNumId w:val="2"/>
  </w:num>
  <w:num w:numId="13" w16cid:durableId="916011523">
    <w:abstractNumId w:val="4"/>
  </w:num>
  <w:num w:numId="14" w16cid:durableId="754672493">
    <w:abstractNumId w:val="6"/>
  </w:num>
  <w:num w:numId="15" w16cid:durableId="716585028">
    <w:abstractNumId w:val="5"/>
  </w:num>
  <w:num w:numId="16" w16cid:durableId="1012608744">
    <w:abstractNumId w:val="13"/>
  </w:num>
  <w:num w:numId="17" w16cid:durableId="1108935662">
    <w:abstractNumId w:val="21"/>
  </w:num>
  <w:num w:numId="18" w16cid:durableId="699283670">
    <w:abstractNumId w:val="7"/>
  </w:num>
  <w:num w:numId="19" w16cid:durableId="542867017">
    <w:abstractNumId w:val="9"/>
  </w:num>
  <w:num w:numId="20" w16cid:durableId="1243686076">
    <w:abstractNumId w:val="8"/>
  </w:num>
  <w:num w:numId="21" w16cid:durableId="2047018532">
    <w:abstractNumId w:val="14"/>
  </w:num>
  <w:num w:numId="22" w16cid:durableId="8014635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fi-FI" w:vendorID="64" w:dllVersion="6" w:nlCheck="1" w:checkStyle="0"/>
  <w:activeWritingStyle w:appName="MSWord" w:lang="en-US" w:vendorID="64" w:dllVersion="6" w:nlCheck="1" w:checkStyle="1"/>
  <w:activeWritingStyle w:appName="MSWord" w:lang="en-GB"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sv-SE" w:vendorID="64" w:dllVersion="0" w:nlCheck="1" w:checkStyle="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B0B"/>
    <w:rsid w:val="00006ACF"/>
    <w:rsid w:val="00011B57"/>
    <w:rsid w:val="00025957"/>
    <w:rsid w:val="00027D4A"/>
    <w:rsid w:val="00030CC3"/>
    <w:rsid w:val="0003340E"/>
    <w:rsid w:val="000413A7"/>
    <w:rsid w:val="00041E01"/>
    <w:rsid w:val="0004381A"/>
    <w:rsid w:val="0004613D"/>
    <w:rsid w:val="00052DE5"/>
    <w:rsid w:val="000544A0"/>
    <w:rsid w:val="00055087"/>
    <w:rsid w:val="0005649E"/>
    <w:rsid w:val="00056D44"/>
    <w:rsid w:val="00057A59"/>
    <w:rsid w:val="00065176"/>
    <w:rsid w:val="00070914"/>
    <w:rsid w:val="00072D28"/>
    <w:rsid w:val="00076B58"/>
    <w:rsid w:val="0008232B"/>
    <w:rsid w:val="00085079"/>
    <w:rsid w:val="000A1932"/>
    <w:rsid w:val="000A1D6F"/>
    <w:rsid w:val="000A5D2D"/>
    <w:rsid w:val="000A637E"/>
    <w:rsid w:val="000B1EC5"/>
    <w:rsid w:val="000B3623"/>
    <w:rsid w:val="000B5389"/>
    <w:rsid w:val="000D6D44"/>
    <w:rsid w:val="000E4A7F"/>
    <w:rsid w:val="001005D7"/>
    <w:rsid w:val="00104ECE"/>
    <w:rsid w:val="001126F4"/>
    <w:rsid w:val="0011364D"/>
    <w:rsid w:val="001136CA"/>
    <w:rsid w:val="00122874"/>
    <w:rsid w:val="00133B77"/>
    <w:rsid w:val="001344FA"/>
    <w:rsid w:val="00146821"/>
    <w:rsid w:val="00146A77"/>
    <w:rsid w:val="0014794D"/>
    <w:rsid w:val="00174BC7"/>
    <w:rsid w:val="0017594D"/>
    <w:rsid w:val="0018053E"/>
    <w:rsid w:val="001874A2"/>
    <w:rsid w:val="00187D92"/>
    <w:rsid w:val="001A2D1F"/>
    <w:rsid w:val="001B2653"/>
    <w:rsid w:val="001C12A1"/>
    <w:rsid w:val="001C6EF4"/>
    <w:rsid w:val="001E339E"/>
    <w:rsid w:val="001E757F"/>
    <w:rsid w:val="001F04C8"/>
    <w:rsid w:val="0020644F"/>
    <w:rsid w:val="00206D02"/>
    <w:rsid w:val="00207A07"/>
    <w:rsid w:val="00215AAA"/>
    <w:rsid w:val="00215E57"/>
    <w:rsid w:val="00220F38"/>
    <w:rsid w:val="00227355"/>
    <w:rsid w:val="002358C3"/>
    <w:rsid w:val="002372D3"/>
    <w:rsid w:val="00237982"/>
    <w:rsid w:val="0024178A"/>
    <w:rsid w:val="00243AF8"/>
    <w:rsid w:val="002470AF"/>
    <w:rsid w:val="00253CEF"/>
    <w:rsid w:val="00264687"/>
    <w:rsid w:val="00264F98"/>
    <w:rsid w:val="00291F93"/>
    <w:rsid w:val="00295DE5"/>
    <w:rsid w:val="002974B4"/>
    <w:rsid w:val="002979B4"/>
    <w:rsid w:val="002A0198"/>
    <w:rsid w:val="002A184D"/>
    <w:rsid w:val="002A4E23"/>
    <w:rsid w:val="002B05CA"/>
    <w:rsid w:val="002B5697"/>
    <w:rsid w:val="002B6D80"/>
    <w:rsid w:val="002C7316"/>
    <w:rsid w:val="002E37BC"/>
    <w:rsid w:val="002E5D14"/>
    <w:rsid w:val="002E7A7B"/>
    <w:rsid w:val="002F4A86"/>
    <w:rsid w:val="002F6AA0"/>
    <w:rsid w:val="00302E60"/>
    <w:rsid w:val="00307FD8"/>
    <w:rsid w:val="00325B8D"/>
    <w:rsid w:val="00325BCE"/>
    <w:rsid w:val="00326A82"/>
    <w:rsid w:val="00330FB4"/>
    <w:rsid w:val="00334E4B"/>
    <w:rsid w:val="003533A7"/>
    <w:rsid w:val="00355A16"/>
    <w:rsid w:val="00361991"/>
    <w:rsid w:val="00367723"/>
    <w:rsid w:val="0037122A"/>
    <w:rsid w:val="003858D7"/>
    <w:rsid w:val="00387D6F"/>
    <w:rsid w:val="00393459"/>
    <w:rsid w:val="0039376B"/>
    <w:rsid w:val="003A27F3"/>
    <w:rsid w:val="003A57EB"/>
    <w:rsid w:val="003B01C6"/>
    <w:rsid w:val="003B4BA2"/>
    <w:rsid w:val="003C2E86"/>
    <w:rsid w:val="003C3A28"/>
    <w:rsid w:val="003C4632"/>
    <w:rsid w:val="003C67AD"/>
    <w:rsid w:val="003D2BA6"/>
    <w:rsid w:val="003D7980"/>
    <w:rsid w:val="003D7B51"/>
    <w:rsid w:val="003F3D9F"/>
    <w:rsid w:val="003F5CF7"/>
    <w:rsid w:val="0040308D"/>
    <w:rsid w:val="0040645A"/>
    <w:rsid w:val="004101F9"/>
    <w:rsid w:val="0041196A"/>
    <w:rsid w:val="0041383A"/>
    <w:rsid w:val="00414B39"/>
    <w:rsid w:val="004227BD"/>
    <w:rsid w:val="00424167"/>
    <w:rsid w:val="00424B59"/>
    <w:rsid w:val="00431C75"/>
    <w:rsid w:val="00431E2B"/>
    <w:rsid w:val="00432ED1"/>
    <w:rsid w:val="00435BA1"/>
    <w:rsid w:val="004436D5"/>
    <w:rsid w:val="0045115D"/>
    <w:rsid w:val="00452C81"/>
    <w:rsid w:val="00466576"/>
    <w:rsid w:val="00467723"/>
    <w:rsid w:val="004738E1"/>
    <w:rsid w:val="00476EDF"/>
    <w:rsid w:val="00485116"/>
    <w:rsid w:val="0048624E"/>
    <w:rsid w:val="00487C9A"/>
    <w:rsid w:val="004A2E96"/>
    <w:rsid w:val="004A7195"/>
    <w:rsid w:val="004C5A10"/>
    <w:rsid w:val="004C5FA4"/>
    <w:rsid w:val="004D0F3A"/>
    <w:rsid w:val="004D2483"/>
    <w:rsid w:val="004D4850"/>
    <w:rsid w:val="004D5865"/>
    <w:rsid w:val="004E7619"/>
    <w:rsid w:val="005013B3"/>
    <w:rsid w:val="00505B3F"/>
    <w:rsid w:val="00505CA1"/>
    <w:rsid w:val="00506977"/>
    <w:rsid w:val="00510658"/>
    <w:rsid w:val="00521C8D"/>
    <w:rsid w:val="00523651"/>
    <w:rsid w:val="00524A3A"/>
    <w:rsid w:val="00530DA2"/>
    <w:rsid w:val="005351C9"/>
    <w:rsid w:val="00535711"/>
    <w:rsid w:val="0054297B"/>
    <w:rsid w:val="00544BAF"/>
    <w:rsid w:val="005472DB"/>
    <w:rsid w:val="00561A10"/>
    <w:rsid w:val="00570EFC"/>
    <w:rsid w:val="005868E1"/>
    <w:rsid w:val="00591E86"/>
    <w:rsid w:val="005945DF"/>
    <w:rsid w:val="00595858"/>
    <w:rsid w:val="005A70DA"/>
    <w:rsid w:val="005B1696"/>
    <w:rsid w:val="005C182F"/>
    <w:rsid w:val="005C3B0B"/>
    <w:rsid w:val="005C3E4D"/>
    <w:rsid w:val="005C632A"/>
    <w:rsid w:val="005C6384"/>
    <w:rsid w:val="005C716B"/>
    <w:rsid w:val="005D6EA6"/>
    <w:rsid w:val="005E18C4"/>
    <w:rsid w:val="005E5914"/>
    <w:rsid w:val="005E65FF"/>
    <w:rsid w:val="005F68C9"/>
    <w:rsid w:val="00600FFE"/>
    <w:rsid w:val="00601C49"/>
    <w:rsid w:val="0061678B"/>
    <w:rsid w:val="00617B45"/>
    <w:rsid w:val="006203F4"/>
    <w:rsid w:val="006227A1"/>
    <w:rsid w:val="00635D0F"/>
    <w:rsid w:val="00642BA4"/>
    <w:rsid w:val="006466D9"/>
    <w:rsid w:val="00651B5E"/>
    <w:rsid w:val="00654370"/>
    <w:rsid w:val="00670EF4"/>
    <w:rsid w:val="00675321"/>
    <w:rsid w:val="00684112"/>
    <w:rsid w:val="00691FEA"/>
    <w:rsid w:val="006969DC"/>
    <w:rsid w:val="00697AAB"/>
    <w:rsid w:val="006A40DB"/>
    <w:rsid w:val="006B050C"/>
    <w:rsid w:val="006B570B"/>
    <w:rsid w:val="006C13AB"/>
    <w:rsid w:val="006C71A5"/>
    <w:rsid w:val="006D1F18"/>
    <w:rsid w:val="006D3D5A"/>
    <w:rsid w:val="006D56F5"/>
    <w:rsid w:val="006E4D9B"/>
    <w:rsid w:val="006E72EF"/>
    <w:rsid w:val="006F012D"/>
    <w:rsid w:val="006F5938"/>
    <w:rsid w:val="0070598B"/>
    <w:rsid w:val="007079BA"/>
    <w:rsid w:val="00712E81"/>
    <w:rsid w:val="00712EAF"/>
    <w:rsid w:val="00740CAC"/>
    <w:rsid w:val="00743758"/>
    <w:rsid w:val="00751A94"/>
    <w:rsid w:val="0075231E"/>
    <w:rsid w:val="00755B65"/>
    <w:rsid w:val="007564B7"/>
    <w:rsid w:val="00760BDA"/>
    <w:rsid w:val="007619E7"/>
    <w:rsid w:val="00762342"/>
    <w:rsid w:val="00763CF2"/>
    <w:rsid w:val="007663E9"/>
    <w:rsid w:val="00767969"/>
    <w:rsid w:val="00771C10"/>
    <w:rsid w:val="007738B4"/>
    <w:rsid w:val="00777248"/>
    <w:rsid w:val="0077734E"/>
    <w:rsid w:val="0077762A"/>
    <w:rsid w:val="0078449C"/>
    <w:rsid w:val="00784592"/>
    <w:rsid w:val="007877E6"/>
    <w:rsid w:val="007A07F5"/>
    <w:rsid w:val="007A1F98"/>
    <w:rsid w:val="007B3715"/>
    <w:rsid w:val="007C0318"/>
    <w:rsid w:val="007C2449"/>
    <w:rsid w:val="007C2935"/>
    <w:rsid w:val="007C4157"/>
    <w:rsid w:val="007C4951"/>
    <w:rsid w:val="007D0137"/>
    <w:rsid w:val="007D0228"/>
    <w:rsid w:val="007D215D"/>
    <w:rsid w:val="007D2322"/>
    <w:rsid w:val="007D28CC"/>
    <w:rsid w:val="007D368E"/>
    <w:rsid w:val="007E4B87"/>
    <w:rsid w:val="007E63FD"/>
    <w:rsid w:val="007F468F"/>
    <w:rsid w:val="00802170"/>
    <w:rsid w:val="008036C4"/>
    <w:rsid w:val="008046C0"/>
    <w:rsid w:val="00811882"/>
    <w:rsid w:val="00822FBF"/>
    <w:rsid w:val="00824806"/>
    <w:rsid w:val="00831F2E"/>
    <w:rsid w:val="008351D1"/>
    <w:rsid w:val="0083796A"/>
    <w:rsid w:val="00844428"/>
    <w:rsid w:val="008540FA"/>
    <w:rsid w:val="008573C4"/>
    <w:rsid w:val="00862005"/>
    <w:rsid w:val="00871B7A"/>
    <w:rsid w:val="0087221D"/>
    <w:rsid w:val="00873500"/>
    <w:rsid w:val="00876000"/>
    <w:rsid w:val="00884CA9"/>
    <w:rsid w:val="008854BE"/>
    <w:rsid w:val="008A0087"/>
    <w:rsid w:val="008A019D"/>
    <w:rsid w:val="008A414A"/>
    <w:rsid w:val="008A69A8"/>
    <w:rsid w:val="008A749C"/>
    <w:rsid w:val="008B3482"/>
    <w:rsid w:val="008C16C1"/>
    <w:rsid w:val="008C3642"/>
    <w:rsid w:val="008D2F0B"/>
    <w:rsid w:val="008D7564"/>
    <w:rsid w:val="008E7477"/>
    <w:rsid w:val="00903097"/>
    <w:rsid w:val="00912897"/>
    <w:rsid w:val="009153C7"/>
    <w:rsid w:val="0091656E"/>
    <w:rsid w:val="00922181"/>
    <w:rsid w:val="0092232B"/>
    <w:rsid w:val="009257E5"/>
    <w:rsid w:val="00926BC7"/>
    <w:rsid w:val="009360C1"/>
    <w:rsid w:val="00943892"/>
    <w:rsid w:val="00951007"/>
    <w:rsid w:val="009566FA"/>
    <w:rsid w:val="00961F6B"/>
    <w:rsid w:val="009665E9"/>
    <w:rsid w:val="00972133"/>
    <w:rsid w:val="009747DC"/>
    <w:rsid w:val="00982281"/>
    <w:rsid w:val="00984724"/>
    <w:rsid w:val="00986819"/>
    <w:rsid w:val="00991A04"/>
    <w:rsid w:val="00991CD6"/>
    <w:rsid w:val="0099444F"/>
    <w:rsid w:val="009A29B3"/>
    <w:rsid w:val="009A4BD4"/>
    <w:rsid w:val="009A65A3"/>
    <w:rsid w:val="009A6BC1"/>
    <w:rsid w:val="009B4CBD"/>
    <w:rsid w:val="009B5E41"/>
    <w:rsid w:val="009B5F91"/>
    <w:rsid w:val="009C3DCA"/>
    <w:rsid w:val="009C7712"/>
    <w:rsid w:val="009E4569"/>
    <w:rsid w:val="009F0490"/>
    <w:rsid w:val="009F0D26"/>
    <w:rsid w:val="009F6D17"/>
    <w:rsid w:val="00A0009B"/>
    <w:rsid w:val="00A00211"/>
    <w:rsid w:val="00A06A59"/>
    <w:rsid w:val="00A11739"/>
    <w:rsid w:val="00A2217C"/>
    <w:rsid w:val="00A442CE"/>
    <w:rsid w:val="00A513DB"/>
    <w:rsid w:val="00A55187"/>
    <w:rsid w:val="00A62571"/>
    <w:rsid w:val="00A658A5"/>
    <w:rsid w:val="00A67575"/>
    <w:rsid w:val="00A7042E"/>
    <w:rsid w:val="00A725C7"/>
    <w:rsid w:val="00A85549"/>
    <w:rsid w:val="00A9073F"/>
    <w:rsid w:val="00A91590"/>
    <w:rsid w:val="00AA2C2C"/>
    <w:rsid w:val="00AA3BBB"/>
    <w:rsid w:val="00AA5397"/>
    <w:rsid w:val="00AB408C"/>
    <w:rsid w:val="00AD189E"/>
    <w:rsid w:val="00AD39F5"/>
    <w:rsid w:val="00AE1D46"/>
    <w:rsid w:val="00AE2092"/>
    <w:rsid w:val="00AE608B"/>
    <w:rsid w:val="00AF245F"/>
    <w:rsid w:val="00AF3AF3"/>
    <w:rsid w:val="00AF6C8F"/>
    <w:rsid w:val="00B042CC"/>
    <w:rsid w:val="00B055CA"/>
    <w:rsid w:val="00B13CF2"/>
    <w:rsid w:val="00B14455"/>
    <w:rsid w:val="00B15F75"/>
    <w:rsid w:val="00B235DE"/>
    <w:rsid w:val="00B27C3C"/>
    <w:rsid w:val="00B32C01"/>
    <w:rsid w:val="00B40A54"/>
    <w:rsid w:val="00B418EC"/>
    <w:rsid w:val="00B46BCC"/>
    <w:rsid w:val="00B5685B"/>
    <w:rsid w:val="00B649F6"/>
    <w:rsid w:val="00B674BE"/>
    <w:rsid w:val="00B70B61"/>
    <w:rsid w:val="00B70D6A"/>
    <w:rsid w:val="00B72002"/>
    <w:rsid w:val="00B77B12"/>
    <w:rsid w:val="00B84074"/>
    <w:rsid w:val="00B91EAC"/>
    <w:rsid w:val="00B96883"/>
    <w:rsid w:val="00BB3BF8"/>
    <w:rsid w:val="00BB6D7C"/>
    <w:rsid w:val="00BC7867"/>
    <w:rsid w:val="00BD3AAA"/>
    <w:rsid w:val="00BD6F5E"/>
    <w:rsid w:val="00BE08E4"/>
    <w:rsid w:val="00BE23A4"/>
    <w:rsid w:val="00BE3A07"/>
    <w:rsid w:val="00BE4DB0"/>
    <w:rsid w:val="00BE770D"/>
    <w:rsid w:val="00BF7E6F"/>
    <w:rsid w:val="00C027CA"/>
    <w:rsid w:val="00C106ED"/>
    <w:rsid w:val="00C27D9D"/>
    <w:rsid w:val="00C31E02"/>
    <w:rsid w:val="00C35D2B"/>
    <w:rsid w:val="00C41065"/>
    <w:rsid w:val="00C522EC"/>
    <w:rsid w:val="00C53CBC"/>
    <w:rsid w:val="00C5504D"/>
    <w:rsid w:val="00C57C6A"/>
    <w:rsid w:val="00C6155A"/>
    <w:rsid w:val="00C6279A"/>
    <w:rsid w:val="00C7174A"/>
    <w:rsid w:val="00C725A0"/>
    <w:rsid w:val="00C7305E"/>
    <w:rsid w:val="00C77676"/>
    <w:rsid w:val="00C807ED"/>
    <w:rsid w:val="00C92263"/>
    <w:rsid w:val="00C93700"/>
    <w:rsid w:val="00C94018"/>
    <w:rsid w:val="00CB197A"/>
    <w:rsid w:val="00CC113C"/>
    <w:rsid w:val="00CC41C2"/>
    <w:rsid w:val="00CC4DCF"/>
    <w:rsid w:val="00CE7574"/>
    <w:rsid w:val="00CF0707"/>
    <w:rsid w:val="00CF3DFB"/>
    <w:rsid w:val="00CF5E24"/>
    <w:rsid w:val="00D040B9"/>
    <w:rsid w:val="00D060DB"/>
    <w:rsid w:val="00D30B9E"/>
    <w:rsid w:val="00D33908"/>
    <w:rsid w:val="00D33CA5"/>
    <w:rsid w:val="00D36FBB"/>
    <w:rsid w:val="00D513FE"/>
    <w:rsid w:val="00D54188"/>
    <w:rsid w:val="00D57088"/>
    <w:rsid w:val="00D63359"/>
    <w:rsid w:val="00D640A0"/>
    <w:rsid w:val="00D677F6"/>
    <w:rsid w:val="00D701C7"/>
    <w:rsid w:val="00D71FA9"/>
    <w:rsid w:val="00D74341"/>
    <w:rsid w:val="00D7442C"/>
    <w:rsid w:val="00D93E92"/>
    <w:rsid w:val="00D944DA"/>
    <w:rsid w:val="00D972AC"/>
    <w:rsid w:val="00DA1FF5"/>
    <w:rsid w:val="00DB37F2"/>
    <w:rsid w:val="00DC0AF7"/>
    <w:rsid w:val="00DC4AE2"/>
    <w:rsid w:val="00DC63BA"/>
    <w:rsid w:val="00DD5C8B"/>
    <w:rsid w:val="00DD6290"/>
    <w:rsid w:val="00DE1E99"/>
    <w:rsid w:val="00DE2977"/>
    <w:rsid w:val="00DF0260"/>
    <w:rsid w:val="00DF6F88"/>
    <w:rsid w:val="00E072DF"/>
    <w:rsid w:val="00E0740F"/>
    <w:rsid w:val="00E1374C"/>
    <w:rsid w:val="00E23828"/>
    <w:rsid w:val="00E32173"/>
    <w:rsid w:val="00E51F6D"/>
    <w:rsid w:val="00E62765"/>
    <w:rsid w:val="00E62BF9"/>
    <w:rsid w:val="00E62F2D"/>
    <w:rsid w:val="00E70C3C"/>
    <w:rsid w:val="00E82D3A"/>
    <w:rsid w:val="00E85B2C"/>
    <w:rsid w:val="00E879E7"/>
    <w:rsid w:val="00E900EA"/>
    <w:rsid w:val="00E95B22"/>
    <w:rsid w:val="00E960B7"/>
    <w:rsid w:val="00EB7BE8"/>
    <w:rsid w:val="00ED20CE"/>
    <w:rsid w:val="00ED3079"/>
    <w:rsid w:val="00F02C05"/>
    <w:rsid w:val="00F1170C"/>
    <w:rsid w:val="00F146DD"/>
    <w:rsid w:val="00F2649A"/>
    <w:rsid w:val="00F27FCA"/>
    <w:rsid w:val="00F302FE"/>
    <w:rsid w:val="00F343F4"/>
    <w:rsid w:val="00F3743A"/>
    <w:rsid w:val="00F42A9D"/>
    <w:rsid w:val="00F43995"/>
    <w:rsid w:val="00F533AE"/>
    <w:rsid w:val="00F64E1F"/>
    <w:rsid w:val="00F751F9"/>
    <w:rsid w:val="00F77DD7"/>
    <w:rsid w:val="00F84042"/>
    <w:rsid w:val="00F87C76"/>
    <w:rsid w:val="00F90661"/>
    <w:rsid w:val="00FA5782"/>
    <w:rsid w:val="00FB10D0"/>
    <w:rsid w:val="00FB1A6B"/>
    <w:rsid w:val="00FB421E"/>
    <w:rsid w:val="00FC4016"/>
    <w:rsid w:val="00FC5366"/>
    <w:rsid w:val="00FD5CEF"/>
    <w:rsid w:val="00FE1624"/>
    <w:rsid w:val="00FF1C65"/>
    <w:rsid w:val="00FF350E"/>
    <w:rsid w:val="00FF78A8"/>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9E17"/>
  <w15:chartTrackingRefBased/>
  <w15:docId w15:val="{10A477A8-6A52-4946-A5A1-522933A7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B0B"/>
    <w:rPr>
      <w:lang w:val="en-US"/>
    </w:rPr>
  </w:style>
  <w:style w:type="paragraph" w:styleId="Heading1">
    <w:name w:val="heading 1"/>
    <w:basedOn w:val="Normal"/>
    <w:next w:val="Normal"/>
    <w:link w:val="Heading1Char"/>
    <w:uiPriority w:val="9"/>
    <w:qFormat/>
    <w:rsid w:val="005C3B0B"/>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rPr>
  </w:style>
  <w:style w:type="paragraph" w:styleId="Heading2">
    <w:name w:val="heading 2"/>
    <w:basedOn w:val="Normal"/>
    <w:next w:val="Normal"/>
    <w:link w:val="Heading2Char"/>
    <w:uiPriority w:val="9"/>
    <w:qFormat/>
    <w:rsid w:val="005C3B0B"/>
    <w:pPr>
      <w:keepNext/>
      <w:keepLines/>
      <w:suppressAutoHyphens/>
      <w:spacing w:before="500" w:after="80"/>
      <w:outlineLvl w:val="1"/>
    </w:pPr>
    <w:rPr>
      <w:rFonts w:asciiTheme="majorHAnsi" w:eastAsiaTheme="majorEastAsia" w:hAnsiTheme="majorHAnsi" w:cstheme="majorBidi"/>
      <w:bCs/>
      <w:color w:val="4472C4" w:themeColor="accent1"/>
      <w:szCs w:val="26"/>
    </w:rPr>
  </w:style>
  <w:style w:type="paragraph" w:styleId="Heading3">
    <w:name w:val="heading 3"/>
    <w:basedOn w:val="Normal"/>
    <w:next w:val="Normal"/>
    <w:link w:val="Heading3Char"/>
    <w:uiPriority w:val="9"/>
    <w:qFormat/>
    <w:rsid w:val="005C3B0B"/>
    <w:pPr>
      <w:keepNext/>
      <w:keepLines/>
      <w:suppressAutoHyphens/>
      <w:spacing w:before="240" w:after="80"/>
      <w:outlineLvl w:val="2"/>
    </w:pPr>
    <w:rPr>
      <w:rFonts w:eastAsiaTheme="majorEastAsia" w:cstheme="majorBidi"/>
      <w:bCs/>
      <w:i/>
      <w:color w:val="4472C4" w:themeColor="accent1"/>
    </w:rPr>
  </w:style>
  <w:style w:type="paragraph" w:styleId="Heading4">
    <w:name w:val="heading 4"/>
    <w:basedOn w:val="Normal"/>
    <w:next w:val="Normal"/>
    <w:link w:val="Heading4Char"/>
    <w:uiPriority w:val="9"/>
    <w:unhideWhenUsed/>
    <w:rsid w:val="005C3B0B"/>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B0B"/>
    <w:rPr>
      <w:rFonts w:asciiTheme="majorHAnsi" w:eastAsiaTheme="majorEastAsia" w:hAnsiTheme="majorHAnsi" w:cstheme="majorBidi"/>
      <w:bCs/>
      <w:color w:val="2F5496" w:themeColor="accent1" w:themeShade="BF"/>
      <w:sz w:val="30"/>
      <w:szCs w:val="28"/>
      <w:lang w:val="en-US"/>
    </w:rPr>
  </w:style>
  <w:style w:type="character" w:customStyle="1" w:styleId="Heading2Char">
    <w:name w:val="Heading 2 Char"/>
    <w:basedOn w:val="DefaultParagraphFont"/>
    <w:link w:val="Heading2"/>
    <w:uiPriority w:val="9"/>
    <w:rsid w:val="005C3B0B"/>
    <w:rPr>
      <w:rFonts w:asciiTheme="majorHAnsi" w:eastAsiaTheme="majorEastAsia" w:hAnsiTheme="majorHAnsi" w:cstheme="majorBidi"/>
      <w:bCs/>
      <w:color w:val="4472C4" w:themeColor="accent1"/>
      <w:szCs w:val="26"/>
      <w:lang w:val="en-US"/>
    </w:rPr>
  </w:style>
  <w:style w:type="character" w:customStyle="1" w:styleId="Heading3Char">
    <w:name w:val="Heading 3 Char"/>
    <w:basedOn w:val="DefaultParagraphFont"/>
    <w:link w:val="Heading3"/>
    <w:uiPriority w:val="9"/>
    <w:rsid w:val="005C3B0B"/>
    <w:rPr>
      <w:rFonts w:eastAsiaTheme="majorEastAsia" w:cstheme="majorBidi"/>
      <w:bCs/>
      <w:i/>
      <w:color w:val="4472C4" w:themeColor="accent1"/>
      <w:lang w:val="en-US"/>
    </w:rPr>
  </w:style>
  <w:style w:type="character" w:customStyle="1" w:styleId="Heading4Char">
    <w:name w:val="Heading 4 Char"/>
    <w:basedOn w:val="DefaultParagraphFont"/>
    <w:link w:val="Heading4"/>
    <w:uiPriority w:val="9"/>
    <w:rsid w:val="005C3B0B"/>
    <w:rPr>
      <w:rFonts w:asciiTheme="majorHAnsi" w:eastAsiaTheme="majorEastAsia" w:hAnsiTheme="majorHAnsi" w:cstheme="majorBidi"/>
      <w:b/>
      <w:bCs/>
      <w:i/>
      <w:iCs/>
      <w:color w:val="4472C4" w:themeColor="accent1"/>
      <w:lang w:val="en-US"/>
    </w:rPr>
  </w:style>
  <w:style w:type="paragraph" w:styleId="Title">
    <w:name w:val="Title"/>
    <w:aliases w:val="Titel/Dokumentnamn"/>
    <w:basedOn w:val="Normal"/>
    <w:next w:val="Normal"/>
    <w:link w:val="TitleChar"/>
    <w:uiPriority w:val="99"/>
    <w:rsid w:val="005C3B0B"/>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rPr>
  </w:style>
  <w:style w:type="character" w:customStyle="1" w:styleId="TitleChar">
    <w:name w:val="Title Char"/>
    <w:aliases w:val="Titel/Dokumentnamn Char"/>
    <w:basedOn w:val="DefaultParagraphFont"/>
    <w:link w:val="Title"/>
    <w:uiPriority w:val="99"/>
    <w:rsid w:val="005C3B0B"/>
    <w:rPr>
      <w:rFonts w:asciiTheme="majorHAnsi" w:eastAsiaTheme="majorEastAsia" w:hAnsiTheme="majorHAnsi" w:cstheme="majorBidi"/>
      <w:color w:val="323E4F" w:themeColor="text2" w:themeShade="BF"/>
      <w:spacing w:val="5"/>
      <w:kern w:val="28"/>
      <w:sz w:val="30"/>
      <w:szCs w:val="52"/>
      <w:lang w:val="en-US"/>
    </w:rPr>
  </w:style>
  <w:style w:type="paragraph" w:styleId="Header">
    <w:name w:val="header"/>
    <w:basedOn w:val="Normal"/>
    <w:link w:val="HeaderChar"/>
    <w:uiPriority w:val="99"/>
    <w:semiHidden/>
    <w:rsid w:val="005C3B0B"/>
    <w:pPr>
      <w:tabs>
        <w:tab w:val="center" w:pos="3686"/>
        <w:tab w:val="right" w:pos="9072"/>
      </w:tabs>
      <w:spacing w:line="200" w:lineRule="exact"/>
    </w:pPr>
    <w:rPr>
      <w:rFonts w:asciiTheme="majorHAnsi" w:hAnsiTheme="majorHAnsi"/>
      <w:sz w:val="14"/>
    </w:rPr>
  </w:style>
  <w:style w:type="character" w:customStyle="1" w:styleId="HeaderChar">
    <w:name w:val="Header Char"/>
    <w:basedOn w:val="DefaultParagraphFont"/>
    <w:link w:val="Header"/>
    <w:uiPriority w:val="99"/>
    <w:semiHidden/>
    <w:rsid w:val="005C3B0B"/>
    <w:rPr>
      <w:rFonts w:asciiTheme="majorHAnsi" w:hAnsiTheme="majorHAnsi"/>
      <w:sz w:val="14"/>
      <w:lang w:val="en-US"/>
    </w:rPr>
  </w:style>
  <w:style w:type="paragraph" w:styleId="Footer">
    <w:name w:val="footer"/>
    <w:basedOn w:val="Header"/>
    <w:link w:val="FooterChar"/>
    <w:uiPriority w:val="99"/>
    <w:rsid w:val="005C3B0B"/>
    <w:pPr>
      <w:tabs>
        <w:tab w:val="clear" w:pos="3686"/>
        <w:tab w:val="left" w:pos="4111"/>
      </w:tabs>
    </w:pPr>
  </w:style>
  <w:style w:type="character" w:customStyle="1" w:styleId="FooterChar">
    <w:name w:val="Footer Char"/>
    <w:basedOn w:val="DefaultParagraphFont"/>
    <w:link w:val="Footer"/>
    <w:uiPriority w:val="99"/>
    <w:rsid w:val="005C3B0B"/>
    <w:rPr>
      <w:rFonts w:asciiTheme="majorHAnsi" w:hAnsiTheme="majorHAnsi"/>
      <w:sz w:val="14"/>
      <w:lang w:val="en-US"/>
    </w:rPr>
  </w:style>
  <w:style w:type="character" w:styleId="PlaceholderText">
    <w:name w:val="Placeholder Text"/>
    <w:basedOn w:val="DefaultParagraphFont"/>
    <w:uiPriority w:val="99"/>
    <w:semiHidden/>
    <w:rsid w:val="005C3B0B"/>
    <w:rPr>
      <w:color w:val="808080"/>
    </w:rPr>
  </w:style>
  <w:style w:type="paragraph" w:styleId="BalloonText">
    <w:name w:val="Balloon Text"/>
    <w:basedOn w:val="Normal"/>
    <w:link w:val="BalloonTextChar"/>
    <w:uiPriority w:val="99"/>
    <w:semiHidden/>
    <w:unhideWhenUsed/>
    <w:rsid w:val="005C3B0B"/>
    <w:rPr>
      <w:rFonts w:ascii="Tahoma" w:hAnsi="Tahoma" w:cs="Tahoma"/>
      <w:sz w:val="16"/>
      <w:szCs w:val="16"/>
    </w:rPr>
  </w:style>
  <w:style w:type="character" w:customStyle="1" w:styleId="BalloonTextChar">
    <w:name w:val="Balloon Text Char"/>
    <w:basedOn w:val="DefaultParagraphFont"/>
    <w:link w:val="BalloonText"/>
    <w:uiPriority w:val="99"/>
    <w:semiHidden/>
    <w:rsid w:val="005C3B0B"/>
    <w:rPr>
      <w:rFonts w:ascii="Tahoma" w:hAnsi="Tahoma" w:cs="Tahoma"/>
      <w:sz w:val="16"/>
      <w:szCs w:val="16"/>
      <w:lang w:val="en-US"/>
    </w:rPr>
  </w:style>
  <w:style w:type="table" w:styleId="TableGrid">
    <w:name w:val="Table Grid"/>
    <w:basedOn w:val="TableNormal"/>
    <w:uiPriority w:val="59"/>
    <w:rsid w:val="005C3B0B"/>
    <w:rPr>
      <w:rFonts w:ascii="Arial" w:hAnsi="Arial" w:cstheme="minorBidi"/>
      <w:sz w:val="22"/>
      <w:szCs w:val="22"/>
      <w:lang w:val="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Header"/>
    <w:uiPriority w:val="99"/>
    <w:semiHidden/>
    <w:rsid w:val="005C3B0B"/>
    <w:pPr>
      <w:tabs>
        <w:tab w:val="clear" w:pos="9072"/>
        <w:tab w:val="right" w:pos="8789"/>
      </w:tabs>
    </w:pPr>
  </w:style>
  <w:style w:type="character" w:styleId="Hyperlink">
    <w:name w:val="Hyperlink"/>
    <w:basedOn w:val="DefaultParagraphFont"/>
    <w:uiPriority w:val="99"/>
    <w:qFormat/>
    <w:rsid w:val="005C3B0B"/>
    <w:rPr>
      <w:color w:val="0000FF"/>
      <w:u w:val="single"/>
    </w:rPr>
  </w:style>
  <w:style w:type="paragraph" w:styleId="TOCHeading">
    <w:name w:val="TOC Heading"/>
    <w:basedOn w:val="Heading1"/>
    <w:next w:val="Normal"/>
    <w:uiPriority w:val="39"/>
    <w:qFormat/>
    <w:rsid w:val="005C3B0B"/>
    <w:pPr>
      <w:pageBreakBefore/>
      <w:suppressAutoHyphens w:val="0"/>
      <w:outlineLvl w:val="9"/>
    </w:pPr>
    <w:rPr>
      <w:lang w:eastAsia="ja-JP"/>
    </w:rPr>
  </w:style>
  <w:style w:type="paragraph" w:styleId="Quote">
    <w:name w:val="Quote"/>
    <w:basedOn w:val="Normal"/>
    <w:link w:val="QuoteChar"/>
    <w:uiPriority w:val="10"/>
    <w:qFormat/>
    <w:rsid w:val="005C3B0B"/>
    <w:pPr>
      <w:spacing w:after="220"/>
      <w:ind w:left="357"/>
    </w:pPr>
    <w:rPr>
      <w:iCs/>
      <w:color w:val="000000" w:themeColor="text1"/>
      <w:sz w:val="20"/>
    </w:rPr>
  </w:style>
  <w:style w:type="character" w:customStyle="1" w:styleId="QuoteChar">
    <w:name w:val="Quote Char"/>
    <w:basedOn w:val="DefaultParagraphFont"/>
    <w:link w:val="Quote"/>
    <w:uiPriority w:val="10"/>
    <w:rsid w:val="005C3B0B"/>
    <w:rPr>
      <w:iCs/>
      <w:color w:val="000000" w:themeColor="text1"/>
      <w:sz w:val="20"/>
      <w:lang w:val="en-US"/>
    </w:rPr>
  </w:style>
  <w:style w:type="paragraph" w:styleId="TOC1">
    <w:name w:val="toc 1"/>
    <w:basedOn w:val="Normal"/>
    <w:next w:val="Normal"/>
    <w:uiPriority w:val="39"/>
    <w:rsid w:val="005C3B0B"/>
    <w:pPr>
      <w:spacing w:before="120"/>
    </w:pPr>
    <w:rPr>
      <w:rFonts w:cstheme="minorHAnsi"/>
      <w:b/>
      <w:bCs/>
      <w:i/>
      <w:iCs/>
    </w:rPr>
  </w:style>
  <w:style w:type="paragraph" w:styleId="TOC2">
    <w:name w:val="toc 2"/>
    <w:basedOn w:val="Normal"/>
    <w:next w:val="Normal"/>
    <w:uiPriority w:val="39"/>
    <w:rsid w:val="005C3B0B"/>
    <w:pPr>
      <w:spacing w:before="120"/>
      <w:ind w:left="240"/>
    </w:pPr>
    <w:rPr>
      <w:rFonts w:cstheme="minorHAnsi"/>
      <w:b/>
      <w:bCs/>
    </w:rPr>
  </w:style>
  <w:style w:type="paragraph" w:styleId="TOC3">
    <w:name w:val="toc 3"/>
    <w:basedOn w:val="Normal"/>
    <w:next w:val="Normal"/>
    <w:uiPriority w:val="99"/>
    <w:rsid w:val="005C3B0B"/>
    <w:pPr>
      <w:ind w:left="480"/>
    </w:pPr>
    <w:rPr>
      <w:rFonts w:cstheme="minorHAnsi"/>
      <w:sz w:val="20"/>
      <w:szCs w:val="20"/>
    </w:rPr>
  </w:style>
  <w:style w:type="character" w:styleId="Emphasis">
    <w:name w:val="Emphasis"/>
    <w:basedOn w:val="DefaultParagraphFont"/>
    <w:uiPriority w:val="1"/>
    <w:rsid w:val="005C3B0B"/>
    <w:rPr>
      <w:i/>
      <w:iCs/>
    </w:rPr>
  </w:style>
  <w:style w:type="paragraph" w:styleId="TOC4">
    <w:name w:val="toc 4"/>
    <w:basedOn w:val="Normal"/>
    <w:next w:val="Normal"/>
    <w:uiPriority w:val="99"/>
    <w:semiHidden/>
    <w:rsid w:val="005C3B0B"/>
    <w:pPr>
      <w:ind w:left="720"/>
    </w:pPr>
    <w:rPr>
      <w:rFonts w:cstheme="minorHAnsi"/>
      <w:sz w:val="20"/>
      <w:szCs w:val="20"/>
    </w:rPr>
  </w:style>
  <w:style w:type="paragraph" w:styleId="TOC5">
    <w:name w:val="toc 5"/>
    <w:basedOn w:val="Normal"/>
    <w:next w:val="Normal"/>
    <w:uiPriority w:val="99"/>
    <w:semiHidden/>
    <w:rsid w:val="005C3B0B"/>
    <w:pPr>
      <w:ind w:left="960"/>
    </w:pPr>
    <w:rPr>
      <w:rFonts w:cstheme="minorHAnsi"/>
      <w:sz w:val="20"/>
      <w:szCs w:val="20"/>
    </w:rPr>
  </w:style>
  <w:style w:type="paragraph" w:styleId="TOC6">
    <w:name w:val="toc 6"/>
    <w:basedOn w:val="Normal"/>
    <w:next w:val="Normal"/>
    <w:uiPriority w:val="99"/>
    <w:semiHidden/>
    <w:rsid w:val="005C3B0B"/>
    <w:pPr>
      <w:ind w:left="1200"/>
    </w:pPr>
    <w:rPr>
      <w:rFonts w:cstheme="minorHAnsi"/>
      <w:sz w:val="20"/>
      <w:szCs w:val="20"/>
    </w:rPr>
  </w:style>
  <w:style w:type="paragraph" w:styleId="TOC7">
    <w:name w:val="toc 7"/>
    <w:basedOn w:val="Normal"/>
    <w:next w:val="Normal"/>
    <w:uiPriority w:val="99"/>
    <w:semiHidden/>
    <w:rsid w:val="005C3B0B"/>
    <w:pPr>
      <w:ind w:left="1440"/>
    </w:pPr>
    <w:rPr>
      <w:rFonts w:cstheme="minorHAnsi"/>
      <w:sz w:val="20"/>
      <w:szCs w:val="20"/>
    </w:rPr>
  </w:style>
  <w:style w:type="paragraph" w:styleId="TOC8">
    <w:name w:val="toc 8"/>
    <w:basedOn w:val="Normal"/>
    <w:next w:val="Normal"/>
    <w:uiPriority w:val="99"/>
    <w:semiHidden/>
    <w:rsid w:val="005C3B0B"/>
    <w:pPr>
      <w:ind w:left="1680"/>
    </w:pPr>
    <w:rPr>
      <w:rFonts w:cstheme="minorHAnsi"/>
      <w:sz w:val="20"/>
      <w:szCs w:val="20"/>
    </w:rPr>
  </w:style>
  <w:style w:type="paragraph" w:styleId="TOC9">
    <w:name w:val="toc 9"/>
    <w:basedOn w:val="Normal"/>
    <w:next w:val="Normal"/>
    <w:uiPriority w:val="99"/>
    <w:semiHidden/>
    <w:rsid w:val="005C3B0B"/>
    <w:pPr>
      <w:ind w:left="1920"/>
    </w:pPr>
    <w:rPr>
      <w:rFonts w:cstheme="minorHAnsi"/>
      <w:sz w:val="20"/>
      <w:szCs w:val="20"/>
    </w:rPr>
  </w:style>
  <w:style w:type="table" w:customStyle="1" w:styleId="Trelinjerstabell">
    <w:name w:val="Trelinjerstabell"/>
    <w:basedOn w:val="TableNormal"/>
    <w:uiPriority w:val="99"/>
    <w:rsid w:val="005C3B0B"/>
    <w:pPr>
      <w:contextualSpacing/>
    </w:pPr>
    <w:rPr>
      <w:rFonts w:asciiTheme="majorHAnsi" w:hAnsiTheme="majorHAnsi" w:cstheme="minorBidi"/>
      <w:sz w:val="20"/>
      <w:szCs w:val="22"/>
      <w:lang w:val="sv-SE"/>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ightShading">
    <w:name w:val="Light Shading"/>
    <w:basedOn w:val="Trelinjerstabell"/>
    <w:uiPriority w:val="60"/>
    <w:rsid w:val="005C3B0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relinjerstabell"/>
    <w:uiPriority w:val="60"/>
    <w:rsid w:val="005C3B0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1">
    <w:name w:val="Light Shading Accent 1"/>
    <w:basedOn w:val="Trelinjerstabell"/>
    <w:uiPriority w:val="60"/>
    <w:rsid w:val="005C3B0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3">
    <w:name w:val="Light Shading Accent 3"/>
    <w:basedOn w:val="Trelinjerstabell"/>
    <w:uiPriority w:val="60"/>
    <w:rsid w:val="005C3B0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relinjerstabell"/>
    <w:uiPriority w:val="60"/>
    <w:rsid w:val="005C3B0B"/>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relinjerstabell"/>
    <w:uiPriority w:val="60"/>
    <w:rsid w:val="005C3B0B"/>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relinjerstabell"/>
    <w:uiPriority w:val="60"/>
    <w:rsid w:val="005C3B0B"/>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relinjerstabell"/>
    <w:uiPriority w:val="61"/>
    <w:rsid w:val="005C3B0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relinjerstabell"/>
    <w:uiPriority w:val="61"/>
    <w:rsid w:val="005C3B0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relinjerstabell"/>
    <w:uiPriority w:val="61"/>
    <w:rsid w:val="005C3B0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relinjerstabell"/>
    <w:uiPriority w:val="61"/>
    <w:rsid w:val="005C3B0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relinjerstabell"/>
    <w:uiPriority w:val="61"/>
    <w:rsid w:val="005C3B0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relinjerstabell"/>
    <w:uiPriority w:val="61"/>
    <w:rsid w:val="005C3B0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relinjerstabell"/>
    <w:uiPriority w:val="61"/>
    <w:rsid w:val="005C3B0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5C3B0B"/>
    <w:pPr>
      <w:pBdr>
        <w:top w:val="single" w:sz="4" w:space="12" w:color="auto"/>
      </w:pBdr>
      <w:spacing w:before="720"/>
    </w:pPr>
  </w:style>
  <w:style w:type="paragraph" w:customStyle="1" w:styleId="Kortsignaturrad">
    <w:name w:val="Kort signaturrad"/>
    <w:basedOn w:val="Signaturrad"/>
    <w:next w:val="Normal"/>
    <w:uiPriority w:val="10"/>
    <w:rsid w:val="005C3B0B"/>
    <w:pPr>
      <w:ind w:right="4111"/>
    </w:pPr>
  </w:style>
  <w:style w:type="character" w:styleId="Strong">
    <w:name w:val="Strong"/>
    <w:basedOn w:val="DefaultParagraphFont"/>
    <w:uiPriority w:val="1"/>
    <w:rsid w:val="005C3B0B"/>
    <w:rPr>
      <w:b/>
      <w:bCs/>
    </w:rPr>
  </w:style>
  <w:style w:type="table" w:customStyle="1" w:styleId="Sidfottabell">
    <w:name w:val="Sidfot tabell"/>
    <w:basedOn w:val="TableNormal"/>
    <w:uiPriority w:val="99"/>
    <w:rsid w:val="005C3B0B"/>
    <w:rPr>
      <w:rFonts w:ascii="Arial" w:hAnsi="Arial" w:cstheme="minorBidi"/>
      <w:sz w:val="14"/>
      <w:szCs w:val="22"/>
      <w:lang w:val="sv-SE"/>
    </w:rPr>
    <w:tblPr>
      <w:tblCellMar>
        <w:left w:w="0" w:type="dxa"/>
        <w:right w:w="0" w:type="dxa"/>
      </w:tblCellMar>
    </w:tblPr>
    <w:tblStylePr w:type="firstRow">
      <w:tblPr/>
      <w:tcPr>
        <w:tcBorders>
          <w:top w:val="single" w:sz="4" w:space="0" w:color="auto"/>
        </w:tcBorders>
      </w:tcPr>
    </w:tblStylePr>
  </w:style>
  <w:style w:type="paragraph" w:styleId="FootnoteText">
    <w:name w:val="footnote text"/>
    <w:basedOn w:val="Normal"/>
    <w:link w:val="FootnoteTextChar"/>
    <w:uiPriority w:val="99"/>
    <w:semiHidden/>
    <w:unhideWhenUsed/>
    <w:rsid w:val="005C3B0B"/>
    <w:rPr>
      <w:sz w:val="20"/>
      <w:szCs w:val="20"/>
    </w:rPr>
  </w:style>
  <w:style w:type="character" w:customStyle="1" w:styleId="FootnoteTextChar">
    <w:name w:val="Footnote Text Char"/>
    <w:basedOn w:val="DefaultParagraphFont"/>
    <w:link w:val="FootnoteText"/>
    <w:uiPriority w:val="99"/>
    <w:semiHidden/>
    <w:rsid w:val="005C3B0B"/>
    <w:rPr>
      <w:sz w:val="20"/>
      <w:szCs w:val="20"/>
      <w:lang w:val="en-US"/>
    </w:rPr>
  </w:style>
  <w:style w:type="character" w:styleId="FootnoteReference">
    <w:name w:val="footnote reference"/>
    <w:basedOn w:val="DefaultParagraphFont"/>
    <w:uiPriority w:val="99"/>
    <w:semiHidden/>
    <w:unhideWhenUsed/>
    <w:rsid w:val="005C3B0B"/>
    <w:rPr>
      <w:vertAlign w:val="superscript"/>
    </w:rPr>
  </w:style>
  <w:style w:type="character" w:customStyle="1" w:styleId="Formatmall1">
    <w:name w:val="Formatmall1"/>
    <w:basedOn w:val="DefaultParagraphFont"/>
    <w:uiPriority w:val="1"/>
    <w:rsid w:val="005C3B0B"/>
    <w:rPr>
      <w:rFonts w:asciiTheme="majorHAnsi" w:hAnsiTheme="majorHAnsi"/>
      <w:color w:val="auto"/>
      <w:sz w:val="14"/>
    </w:rPr>
  </w:style>
  <w:style w:type="character" w:customStyle="1" w:styleId="Sidfotmallarna">
    <w:name w:val="Sidfot mallarna"/>
    <w:basedOn w:val="DefaultParagraphFont"/>
    <w:uiPriority w:val="1"/>
    <w:rsid w:val="005C3B0B"/>
    <w:rPr>
      <w:rFonts w:asciiTheme="majorHAnsi" w:hAnsiTheme="majorHAnsi"/>
      <w:sz w:val="14"/>
    </w:rPr>
  </w:style>
  <w:style w:type="character" w:customStyle="1" w:styleId="Sidfotmallarnagr">
    <w:name w:val="Sidfot mallarna grå"/>
    <w:basedOn w:val="DefaultParagraphFont"/>
    <w:uiPriority w:val="1"/>
    <w:rsid w:val="005C3B0B"/>
    <w:rPr>
      <w:color w:val="7F7F7F" w:themeColor="text1" w:themeTint="80"/>
    </w:rPr>
  </w:style>
  <w:style w:type="paragraph" w:customStyle="1" w:styleId="TillfalligText">
    <w:name w:val="TillfalligText"/>
    <w:basedOn w:val="Normal"/>
    <w:link w:val="TillfalligTextChar"/>
    <w:rsid w:val="005C3B0B"/>
    <w:pPr>
      <w:spacing w:after="120"/>
    </w:pPr>
    <w:rPr>
      <w:rFonts w:cstheme="minorHAnsi"/>
      <w:bdr w:val="single" w:sz="4" w:space="0" w:color="auto"/>
    </w:rPr>
  </w:style>
  <w:style w:type="character" w:customStyle="1" w:styleId="TillfalligTextChar">
    <w:name w:val="TillfalligText Char"/>
    <w:basedOn w:val="DefaultParagraphFont"/>
    <w:link w:val="TillfalligText"/>
    <w:rsid w:val="005C3B0B"/>
    <w:rPr>
      <w:rFonts w:cstheme="minorHAnsi"/>
      <w:bdr w:val="single" w:sz="4" w:space="0" w:color="auto"/>
      <w:lang w:val="en-US"/>
    </w:rPr>
  </w:style>
  <w:style w:type="paragraph" w:styleId="ListBullet">
    <w:name w:val="List Bullet"/>
    <w:basedOn w:val="Normal"/>
    <w:uiPriority w:val="99"/>
    <w:qFormat/>
    <w:rsid w:val="005C3B0B"/>
    <w:pPr>
      <w:numPr>
        <w:numId w:val="4"/>
      </w:numPr>
      <w:contextualSpacing/>
    </w:pPr>
  </w:style>
  <w:style w:type="paragraph" w:styleId="ListNumber">
    <w:name w:val="List Number"/>
    <w:basedOn w:val="Normal"/>
    <w:uiPriority w:val="99"/>
    <w:qFormat/>
    <w:rsid w:val="005C3B0B"/>
    <w:pPr>
      <w:numPr>
        <w:numId w:val="3"/>
      </w:numPr>
      <w:contextualSpacing/>
    </w:pPr>
  </w:style>
  <w:style w:type="character" w:styleId="CommentReference">
    <w:name w:val="annotation reference"/>
    <w:basedOn w:val="DefaultParagraphFont"/>
    <w:uiPriority w:val="99"/>
    <w:semiHidden/>
    <w:unhideWhenUsed/>
    <w:rsid w:val="005C3B0B"/>
    <w:rPr>
      <w:sz w:val="16"/>
      <w:szCs w:val="16"/>
    </w:rPr>
  </w:style>
  <w:style w:type="paragraph" w:styleId="CommentText">
    <w:name w:val="annotation text"/>
    <w:basedOn w:val="Normal"/>
    <w:link w:val="CommentTextChar"/>
    <w:uiPriority w:val="99"/>
    <w:unhideWhenUsed/>
    <w:rsid w:val="005C3B0B"/>
    <w:rPr>
      <w:sz w:val="20"/>
      <w:szCs w:val="20"/>
    </w:rPr>
  </w:style>
  <w:style w:type="character" w:customStyle="1" w:styleId="CommentTextChar">
    <w:name w:val="Comment Text Char"/>
    <w:basedOn w:val="DefaultParagraphFont"/>
    <w:link w:val="CommentText"/>
    <w:uiPriority w:val="99"/>
    <w:rsid w:val="005C3B0B"/>
    <w:rPr>
      <w:sz w:val="20"/>
      <w:szCs w:val="20"/>
      <w:lang w:val="en-US"/>
    </w:rPr>
  </w:style>
  <w:style w:type="paragraph" w:styleId="Caption">
    <w:name w:val="caption"/>
    <w:basedOn w:val="Normal"/>
    <w:next w:val="Normal"/>
    <w:uiPriority w:val="35"/>
    <w:unhideWhenUsed/>
    <w:qFormat/>
    <w:rsid w:val="005C3B0B"/>
    <w:rPr>
      <w:i/>
      <w:iCs/>
      <w:color w:val="44546A" w:themeColor="text2"/>
      <w:sz w:val="18"/>
      <w:szCs w:val="18"/>
    </w:rPr>
  </w:style>
  <w:style w:type="paragraph" w:styleId="ListParagraph">
    <w:name w:val="List Paragraph"/>
    <w:basedOn w:val="Normal"/>
    <w:uiPriority w:val="34"/>
    <w:qFormat/>
    <w:rsid w:val="005C3B0B"/>
    <w:pPr>
      <w:ind w:left="720"/>
      <w:contextualSpacing/>
    </w:pPr>
  </w:style>
  <w:style w:type="character" w:styleId="LineNumber">
    <w:name w:val="line number"/>
    <w:basedOn w:val="DefaultParagraphFont"/>
    <w:uiPriority w:val="99"/>
    <w:semiHidden/>
    <w:unhideWhenUsed/>
    <w:rsid w:val="005C3B0B"/>
  </w:style>
  <w:style w:type="paragraph" w:customStyle="1" w:styleId="Default">
    <w:name w:val="Default"/>
    <w:rsid w:val="005C3B0B"/>
    <w:pPr>
      <w:autoSpaceDE w:val="0"/>
      <w:autoSpaceDN w:val="0"/>
      <w:adjustRightInd w:val="0"/>
    </w:pPr>
    <w:rPr>
      <w:rFonts w:ascii="Arial" w:hAnsi="Arial" w:cs="Arial"/>
      <w:color w:val="000000"/>
      <w:lang w:val="en-US"/>
    </w:rPr>
  </w:style>
  <w:style w:type="table" w:styleId="GridTable1Light">
    <w:name w:val="Grid Table 1 Light"/>
    <w:basedOn w:val="TableNormal"/>
    <w:uiPriority w:val="46"/>
    <w:rsid w:val="005C3B0B"/>
    <w:rPr>
      <w:rFonts w:ascii="Arial" w:hAnsi="Arial" w:cstheme="minorBidi"/>
      <w:sz w:val="22"/>
      <w:szCs w:val="22"/>
      <w:lang w:val="sv-S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5C3B0B"/>
    <w:rPr>
      <w:b/>
      <w:bCs/>
    </w:rPr>
  </w:style>
  <w:style w:type="character" w:customStyle="1" w:styleId="CommentSubjectChar">
    <w:name w:val="Comment Subject Char"/>
    <w:basedOn w:val="CommentTextChar"/>
    <w:link w:val="CommentSubject"/>
    <w:uiPriority w:val="99"/>
    <w:semiHidden/>
    <w:rsid w:val="005C3B0B"/>
    <w:rPr>
      <w:b/>
      <w:bCs/>
      <w:sz w:val="20"/>
      <w:szCs w:val="20"/>
      <w:lang w:val="en-US"/>
    </w:rPr>
  </w:style>
  <w:style w:type="paragraph" w:styleId="Bibliography">
    <w:name w:val="Bibliography"/>
    <w:basedOn w:val="Normal"/>
    <w:next w:val="Normal"/>
    <w:uiPriority w:val="37"/>
    <w:unhideWhenUsed/>
    <w:rsid w:val="005C3B0B"/>
    <w:pPr>
      <w:ind w:left="720" w:hanging="720"/>
    </w:pPr>
  </w:style>
  <w:style w:type="paragraph" w:styleId="Revision">
    <w:name w:val="Revision"/>
    <w:hidden/>
    <w:uiPriority w:val="99"/>
    <w:semiHidden/>
    <w:rsid w:val="005C3B0B"/>
    <w:rPr>
      <w:rFonts w:asciiTheme="minorHAnsi" w:hAnsiTheme="minorHAnsi" w:cstheme="minorBidi"/>
      <w:sz w:val="22"/>
      <w:szCs w:val="22"/>
      <w:lang w:val="en-GB"/>
    </w:rPr>
  </w:style>
  <w:style w:type="table" w:styleId="GridTable1Light-Accent6">
    <w:name w:val="Grid Table 1 Light Accent 6"/>
    <w:basedOn w:val="TableNormal"/>
    <w:uiPriority w:val="46"/>
    <w:rsid w:val="005C3B0B"/>
    <w:rPr>
      <w:rFonts w:ascii="Arial" w:hAnsi="Arial" w:cstheme="minorBidi"/>
      <w:sz w:val="22"/>
      <w:szCs w:val="22"/>
      <w:lang w:val="sv-S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C3B0B"/>
    <w:rPr>
      <w:color w:val="954F72" w:themeColor="followedHyperlink"/>
      <w:u w:val="single"/>
    </w:rPr>
  </w:style>
  <w:style w:type="character" w:styleId="PageNumber">
    <w:name w:val="page number"/>
    <w:basedOn w:val="DefaultParagraphFont"/>
    <w:uiPriority w:val="99"/>
    <w:semiHidden/>
    <w:unhideWhenUsed/>
    <w:rsid w:val="005C3B0B"/>
  </w:style>
  <w:style w:type="character" w:customStyle="1" w:styleId="UnresolvedMention1">
    <w:name w:val="Unresolved Mention1"/>
    <w:basedOn w:val="DefaultParagraphFont"/>
    <w:uiPriority w:val="99"/>
    <w:semiHidden/>
    <w:unhideWhenUsed/>
    <w:rsid w:val="005C3B0B"/>
    <w:rPr>
      <w:color w:val="605E5C"/>
      <w:shd w:val="clear" w:color="auto" w:fill="E1DFDD"/>
    </w:rPr>
  </w:style>
  <w:style w:type="table" w:styleId="GridTable1Light-Accent3">
    <w:name w:val="Grid Table 1 Light Accent 3"/>
    <w:basedOn w:val="TableNormal"/>
    <w:uiPriority w:val="46"/>
    <w:rsid w:val="00C027CA"/>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50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osystemdata.ices.dk/stomachdata/download.aspx"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hyperlink" Target="http://www.ices.dk/marine-data/data-portals/Pages/DATRAS.aspx"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740E2-B39B-4DB9-91AB-177499046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25</Pages>
  <Words>14313</Words>
  <Characters>81587</Characters>
  <Application>Microsoft Office Word</Application>
  <DocSecurity>0</DocSecurity>
  <Lines>679</Lines>
  <Paragraphs>191</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95709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Max Lindmark</cp:lastModifiedBy>
  <cp:revision>47</cp:revision>
  <cp:lastPrinted>2021-10-04T12:45:00Z</cp:lastPrinted>
  <dcterms:created xsi:type="dcterms:W3CDTF">2021-10-04T12:45:00Z</dcterms:created>
  <dcterms:modified xsi:type="dcterms:W3CDTF">2022-05-28T07:04:00Z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zotero-version="6.0.5"&gt;&lt;session id="UPAMMKgU"/&gt;&lt;style id="http://www.zotero.org/styles/ecology-letters" hasBibliography="1" bibliographyStyleHasBeenSet="1"/&gt;&lt;prefs&gt;&lt;pref name="fieldType" value="Field"/&gt;&lt;/prefs&gt;&lt;/data&gt;</vt:lpwstr>
  </property>
</Properties>
</file>