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2D46E" w14:textId="29357EC5" w:rsidR="00291209" w:rsidRPr="00291209" w:rsidRDefault="00291209" w:rsidP="00A10C4D">
      <w:pPr>
        <w:spacing w:line="360" w:lineRule="auto"/>
        <w:contextualSpacing/>
        <w:jc w:val="both"/>
        <w:rPr>
          <w:rFonts w:ascii="Times" w:eastAsiaTheme="minorEastAsia" w:hAnsi="Times"/>
          <w:b/>
          <w:bCs/>
          <w:iCs/>
          <w:sz w:val="28"/>
          <w:szCs w:val="28"/>
          <w:lang w:val="en-US"/>
        </w:rPr>
      </w:pPr>
      <w:r w:rsidRPr="00291209">
        <w:rPr>
          <w:rFonts w:ascii="Times" w:eastAsiaTheme="minorEastAsia" w:hAnsi="Times"/>
          <w:b/>
          <w:bCs/>
          <w:iCs/>
          <w:sz w:val="28"/>
          <w:szCs w:val="28"/>
          <w:lang w:val="en-US"/>
        </w:rPr>
        <w:t>Intraspecific size scaling of body growth in fishes</w:t>
      </w:r>
    </w:p>
    <w:p w14:paraId="512BF614" w14:textId="021D884E" w:rsidR="00EB3831" w:rsidRDefault="00EB3831" w:rsidP="00A10C4D">
      <w:pPr>
        <w:spacing w:line="360" w:lineRule="auto"/>
        <w:contextualSpacing/>
        <w:jc w:val="both"/>
        <w:rPr>
          <w:rFonts w:ascii="Times" w:eastAsiaTheme="minorEastAsia" w:hAnsi="Times"/>
          <w:iCs/>
          <w:sz w:val="22"/>
          <w:szCs w:val="22"/>
          <w:lang w:val="en-US"/>
        </w:rPr>
      </w:pPr>
      <w:r>
        <w:rPr>
          <w:rFonts w:ascii="Times" w:eastAsiaTheme="minorEastAsia" w:hAnsi="Times"/>
          <w:iCs/>
          <w:sz w:val="22"/>
          <w:szCs w:val="22"/>
          <w:lang w:val="en-US"/>
        </w:rPr>
        <w:t>Does the mass-scaling exponent of growth decline with temperature?</w:t>
      </w:r>
      <w:r>
        <w:rPr>
          <w:rFonts w:ascii="Times" w:eastAsiaTheme="minorEastAsia" w:hAnsi="Times"/>
          <w:iCs/>
          <w:sz w:val="22"/>
          <w:szCs w:val="22"/>
          <w:lang w:val="en-US"/>
        </w:rPr>
        <w:t xml:space="preserve"> There is mixed empirical support for this observations </w:t>
      </w:r>
      <w:r>
        <w:rPr>
          <w:rFonts w:ascii="Times" w:eastAsiaTheme="minorEastAsia" w:hAnsi="Times"/>
          <w:iCs/>
          <w:sz w:val="22"/>
          <w:szCs w:val="22"/>
          <w:lang w:val="en-US"/>
        </w:rPr>
        <w:fldChar w:fldCharType="begin"/>
      </w:r>
      <w:r>
        <w:rPr>
          <w:rFonts w:ascii="Times" w:eastAsiaTheme="minorEastAsia" w:hAnsi="Times"/>
          <w:iCs/>
          <w:sz w:val="22"/>
          <w:szCs w:val="22"/>
          <w:lang w:val="en-US"/>
        </w:rPr>
        <w:instrText xml:space="preserve"> ADDIN ZOTERO_ITEM CSL_CITATION {"citationID":"IBqFTf0A","properties":{"formattedCitation":"(Wangila &amp; Dick 1988; Elliott &amp; Hurley 1995; Bj\\uc0\\u246{}rnsson {\\i{}et al.} 2007; Garc\\uc0\\u237{}a Garc\\uc0\\u237{}a {\\i{}et al.} 2011)","plainCitation":"(Wangila &amp; Dick 1988; Elliott &amp; Hurley 1995; Björnsson et al. 2007; García García et al. 2011)","noteIndex":0},"citationItems":[{"id":1724,"uris":["http://zotero.org/users/6116610/items/72SQJJUM"],"uri":["http://zotero.org/users/6116610/items/72SQJJUM"],"itemData":{"id":1724,"type":"article-journal","abstract":"The relationship between specific growth rate and fish size (weight) was influenced by temperature and genotype in two strains of rainbow trout Oncorhyncus mykiss (formerly Salmo gairdneri) and their hybrid. Heterogeneity among the regression slopes for strains (genotype) as well as interaction with temperature invalidated the use of analysis of covariance to adjust for initial fish size differences. Regression slopes ranged from -0.74 ± 0.21 (SE)to -0.01 ±0.16 among fish families reared at 7°C and from -0.41 ± 0.03 to -0.24 ± 0.09 among fish families reared at 15°C. The use of a particular slope value as a universal constant to compare specific growth rates of fish is questionable.","container-title":"Transactions of the American Fisheries Society","language":"en","page":"560-564","source":"Zotero","title":"Influence of Genotype and Temperature on the Relationship between Specific Growth Rate and Size of Rainbow Trout","volume":"117","author":[{"family":"Wangila","given":"B C C"},{"family":"Dick","given":"T A"}],"issued":{"date-parts":[["1988"]]}}},{"id":564,"uris":["http://zotero.org/users/6116610/items/R5JLMCFQ"],"uri":["http://zotero.org/users/6116610/items/R5JLMCFQ"],"itemData":{"id":564,"type":"article-journal","container-title":"Functional Ecology","DOI":"10.2307/2390153","ISSN":"02698463","issue":"4","language":"en","page":"625","source":"Crossref","title":"The Functional Relationship between Body Size and Growth Rate in Fish","volume":"9","author":[{"family":"Elliott","given":"J. M."},{"family":"Hurley","given":"M. A."}],"issued":{"date-parts":[["1995",8]]}}},{"id":566,"uris":["http://zotero.org/users/6116610/items/HFRXIBLW"],"uri":["http://zotero.org/users/6116610/items/HFRXIBLW"],"itemData":{"id":566,"type":"article-journal","abstract":"Results from several laboratory experiments showed that at each temperature there was a linear relationship between the logarithms of specific growth rate (G%/day) and body weight (W g) of Atlantic cod fed to satiation: lnG = α + βlnW. Both α and β were found to be a function of temperature (T °C): α = a + bT + cT2; β = d + eT; a = −0.7620, b = 0.3982, c = − 0.0128, d = − 0.1500, e = −0.0239. The e-parameter was altered by 10% from the laboratory value (to e = − 0.0215) to tune the model in accordance with growth rate of large cod reared in sea cages in Norway. The model predicts that the optimal temperature for growth (Topt.G) declines with body weight: Topt.G = 15.57–0.8426lnW, i.e. 15.0, 13.0, 11.1 and 9.2 °C for 2, 20, 200 and 2000 g fish, respectively. The predicted growth rates at optimal temperature (Gmax) were 7.41, 2.62, 1.02 and 0.44%/day for 2, 20, 200 and 2000 g fish, respectively. Model calculations show that 30 g cod juveniles stocked in sea cages on 15 May have reached 1.6 and 2.1 kg by the end of the second year and 4.6 and 6.3 kg by the end of the third year, in Northwest Iceland and West Norway, respectively.","container-title":"Aquaculture","DOI":"10.1016/j.aquaculture.2007.06.026","ISSN":"00448486","issue":"1-4","language":"en","page":"216-226","source":"Crossref","title":"Growth model for Atlantic cod (Gadus morhua): Effects of temperature and body weight on growth rate","title-short":"Growth model for Atlantic cod (Gadus morhua)","volume":"271","author":[{"family":"Björnsson","given":"Björn"},{"family":"Steinarsson","given":"Agnar"},{"family":"Árnason","given":"Tómas"}],"issued":{"date-parts":[["2007",10]]}}},{"id":565,"uris":["http://zotero.org/users/6116610/items/25QXCI7N"],"uri":["http://zotero.org/users/6116610/items/25QXCI7N"],"itemData":{"id":565,"type":"article-journal","abstract":"In experimental culture conditions in tanks, the effect of weight (W: 11–452 g) and temperature (T: 14–29°C) on the growth rate (SGR, % bw day-1) and maximum daily food intake (SFR, % bw day-1) in sharpsnout sea bream (Diplodus puntazzo) was studied. The possible combined effect of both independent variables (W and T) was also analyzed by multiple regression analysis, ﬁtting the data to the equation Ln Y = Ln a ? b Ln W ? cT ? dT2 ? eT Ln W. Both SGR and SFR, and therefore feed efﬁciency (FE = SGR/SFR), were signiﬁcantly inﬂuenced by the interaction between temperature and weight and may be expressed by means of the following equations: Ln SGR = -6.1705 ? 0.5809T - 0.0087T2 - 0.0249T Ln W (R2adj = 0.949; ANOVA P \\ 0.0001); Ln SFR = -4.8257 ? 0.4425T - 0.0063T2 - 0.0163T Ln W (R2adj = 0.964; ANOVA P \\ 0.0001).The results suggest that the optimum temperature for SGR and FE (TSGRopt and TFEopt), and the temperature at which the maximum SFR (TSFRmax) is reached, decreases with body weight, in accordance with the equations: TSGRopt = 33.297 - 1.435 Ln W; TFEopt = 29.332 - 1.890 Ln W; and TSFRmax = 34.941 - 1.304 Ln W, respectively. In this way, TSGRopt is 28.4, 26.7, and 24.7°C; TSFRmax is 30.5, 28.9, and 27.1°C and TFEopt is 22.9, 20.6, and 18°C for 30, 100 and 400 g body weight, respectively.","container-title":"Aquaculture International","DOI":"10.1007/s10499-010-9347-2","ISSN":"0967-6120, 1573-143X","issue":"1","language":"en","page":"131-141","source":"Crossref","title":"Effect of the interaction between body weight and temperature on growth and maximum daily food intake in sharpsnout sea bream (Diplodus puntazzo)","volume":"19","author":[{"family":"García García","given":"Benjamín"},{"family":"Cerezo Valverde","given":"Jesús"},{"family":"Aguado-Giménez","given":"Felipe"},{"family":"García García","given":"José"},{"family":"Hernández","given":"María D."}],"issued":{"date-parts":[["2011",2]]}}}],"schema":"https://github.com/citation-style-language/schema/raw/master/csl-citation.json"} </w:instrText>
      </w:r>
      <w:r>
        <w:rPr>
          <w:rFonts w:ascii="Times" w:eastAsiaTheme="minorEastAsia" w:hAnsi="Times"/>
          <w:iCs/>
          <w:sz w:val="22"/>
          <w:szCs w:val="22"/>
          <w:lang w:val="en-US"/>
        </w:rPr>
        <w:fldChar w:fldCharType="separate"/>
      </w:r>
      <w:r w:rsidRPr="00D91CA7">
        <w:rPr>
          <w:rFonts w:ascii="Times" w:hAnsi="Times" w:cs="Times New Roman"/>
          <w:sz w:val="22"/>
          <w:lang w:val="en-GB"/>
        </w:rPr>
        <w:t>(</w:t>
      </w:r>
      <w:proofErr w:type="spellStart"/>
      <w:r w:rsidRPr="00D91CA7">
        <w:rPr>
          <w:rFonts w:ascii="Times" w:hAnsi="Times" w:cs="Times New Roman"/>
          <w:sz w:val="22"/>
          <w:lang w:val="en-GB"/>
        </w:rPr>
        <w:t>Wangila</w:t>
      </w:r>
      <w:proofErr w:type="spellEnd"/>
      <w:r w:rsidRPr="00D91CA7">
        <w:rPr>
          <w:rFonts w:ascii="Times" w:hAnsi="Times" w:cs="Times New Roman"/>
          <w:sz w:val="22"/>
          <w:lang w:val="en-GB"/>
        </w:rPr>
        <w:t xml:space="preserve"> &amp; Dick 1988; Elliott &amp; Hurley 1995; </w:t>
      </w:r>
      <w:proofErr w:type="spellStart"/>
      <w:r w:rsidRPr="00D91CA7">
        <w:rPr>
          <w:rFonts w:ascii="Times" w:hAnsi="Times" w:cs="Times New Roman"/>
          <w:sz w:val="22"/>
          <w:lang w:val="en-GB"/>
        </w:rPr>
        <w:t>Björnsson</w:t>
      </w:r>
      <w:proofErr w:type="spellEnd"/>
      <w:r w:rsidRPr="00D91CA7">
        <w:rPr>
          <w:rFonts w:ascii="Times" w:hAnsi="Times" w:cs="Times New Roman"/>
          <w:sz w:val="22"/>
          <w:lang w:val="en-GB"/>
        </w:rPr>
        <w:t xml:space="preserve"> </w:t>
      </w:r>
      <w:r w:rsidRPr="00D91CA7">
        <w:rPr>
          <w:rFonts w:ascii="Times" w:hAnsi="Times" w:cs="Times New Roman"/>
          <w:i/>
          <w:iCs/>
          <w:sz w:val="22"/>
          <w:lang w:val="en-GB"/>
        </w:rPr>
        <w:t>et al.</w:t>
      </w:r>
      <w:r w:rsidRPr="00D91CA7">
        <w:rPr>
          <w:rFonts w:ascii="Times" w:hAnsi="Times" w:cs="Times New Roman"/>
          <w:sz w:val="22"/>
          <w:lang w:val="en-GB"/>
        </w:rPr>
        <w:t xml:space="preserve"> 2007; García </w:t>
      </w:r>
      <w:proofErr w:type="spellStart"/>
      <w:r w:rsidRPr="00D91CA7">
        <w:rPr>
          <w:rFonts w:ascii="Times" w:hAnsi="Times" w:cs="Times New Roman"/>
          <w:sz w:val="22"/>
          <w:lang w:val="en-GB"/>
        </w:rPr>
        <w:t>García</w:t>
      </w:r>
      <w:proofErr w:type="spellEnd"/>
      <w:r w:rsidRPr="00D91CA7">
        <w:rPr>
          <w:rFonts w:ascii="Times" w:hAnsi="Times" w:cs="Times New Roman"/>
          <w:sz w:val="22"/>
          <w:lang w:val="en-GB"/>
        </w:rPr>
        <w:t xml:space="preserve"> </w:t>
      </w:r>
      <w:r w:rsidRPr="00D91CA7">
        <w:rPr>
          <w:rFonts w:ascii="Times" w:hAnsi="Times" w:cs="Times New Roman"/>
          <w:i/>
          <w:iCs/>
          <w:sz w:val="22"/>
          <w:lang w:val="en-GB"/>
        </w:rPr>
        <w:t>et al.</w:t>
      </w:r>
      <w:r w:rsidRPr="00D91CA7">
        <w:rPr>
          <w:rFonts w:ascii="Times" w:hAnsi="Times" w:cs="Times New Roman"/>
          <w:sz w:val="22"/>
          <w:lang w:val="en-GB"/>
        </w:rPr>
        <w:t xml:space="preserve"> 2011)</w:t>
      </w:r>
      <w:r>
        <w:rPr>
          <w:rFonts w:ascii="Times" w:eastAsiaTheme="minorEastAsia" w:hAnsi="Times"/>
          <w:iCs/>
          <w:sz w:val="22"/>
          <w:szCs w:val="22"/>
          <w:lang w:val="en-US"/>
        </w:rPr>
        <w:fldChar w:fldCharType="end"/>
      </w:r>
      <w:r>
        <w:rPr>
          <w:rFonts w:ascii="Times" w:eastAsiaTheme="minorEastAsia" w:hAnsi="Times"/>
          <w:iCs/>
          <w:sz w:val="22"/>
          <w:szCs w:val="22"/>
          <w:lang w:val="en-US"/>
        </w:rPr>
        <w:t>, likely because it depends on which body sizes and temperatures are considered. However, in addition to testing the probability of a mass-temperature interaction for the scaling of growth, we can look at what it results in in terms of optimum growth temperature.</w:t>
      </w:r>
    </w:p>
    <w:p w14:paraId="1E8C432C" w14:textId="77777777" w:rsidR="00EB3831" w:rsidRPr="00A42B04" w:rsidRDefault="00EB3831" w:rsidP="00A10C4D">
      <w:pPr>
        <w:spacing w:line="360" w:lineRule="auto"/>
        <w:contextualSpacing/>
        <w:jc w:val="both"/>
        <w:rPr>
          <w:rFonts w:ascii="Times" w:eastAsiaTheme="minorEastAsia" w:hAnsi="Times"/>
          <w:sz w:val="22"/>
          <w:szCs w:val="22"/>
          <w:lang w:val="en-US"/>
        </w:rPr>
      </w:pPr>
    </w:p>
    <w:p w14:paraId="05F9A3AA" w14:textId="77777777" w:rsidR="00EB3831" w:rsidRPr="00CA20D1" w:rsidRDefault="00EB3831" w:rsidP="00A10C4D">
      <w:pPr>
        <w:spacing w:line="360" w:lineRule="auto"/>
        <w:contextualSpacing/>
        <w:jc w:val="both"/>
        <w:rPr>
          <w:rFonts w:ascii="Times" w:eastAsiaTheme="minorEastAsia" w:hAnsi="Times"/>
          <w:sz w:val="22"/>
          <w:szCs w:val="22"/>
        </w:rPr>
      </w:pPr>
      <w:r w:rsidRPr="00A70C22">
        <w:rPr>
          <w:rFonts w:ascii="Times" w:eastAsiaTheme="minorEastAsia" w:hAnsi="Times"/>
          <w:sz w:val="22"/>
          <w:szCs w:val="22"/>
          <w:lang w:val="en-US"/>
        </w:rPr>
        <w:t>The allometric growth c</w:t>
      </w:r>
      <w:r w:rsidRPr="00CA20D1">
        <w:rPr>
          <w:rFonts w:ascii="Times" w:eastAsiaTheme="minorEastAsia" w:hAnsi="Times"/>
          <w:sz w:val="22"/>
          <w:szCs w:val="22"/>
        </w:rPr>
        <w:t xml:space="preserve">an be rewritten as: </w:t>
      </w:r>
    </w:p>
    <w:p w14:paraId="55085878" w14:textId="77777777" w:rsidR="00EB3831" w:rsidRPr="00CA20D1" w:rsidRDefault="00EB3831" w:rsidP="00A10C4D">
      <w:pPr>
        <w:spacing w:line="360" w:lineRule="auto"/>
        <w:contextualSpacing/>
        <w:jc w:val="both"/>
        <w:rPr>
          <w:rFonts w:ascii="Times" w:eastAsiaTheme="minorEastAsia" w:hAnsi="Times"/>
          <w:sz w:val="22"/>
          <w:szCs w:val="22"/>
        </w:rPr>
      </w:pPr>
      <m:oMathPara>
        <m:oMath>
          <m:r>
            <w:rPr>
              <w:rFonts w:ascii="Cambria Math" w:hAnsi="Cambria Math"/>
              <w:sz w:val="22"/>
              <w:szCs w:val="22"/>
            </w:rPr>
            <m:t>G=a</m:t>
          </m:r>
          <m:sSup>
            <m:sSupPr>
              <m:ctrlPr>
                <w:rPr>
                  <w:rFonts w:ascii="Cambria Math" w:hAnsi="Cambria Math"/>
                  <w:i/>
                  <w:sz w:val="22"/>
                  <w:szCs w:val="22"/>
                </w:rPr>
              </m:ctrlPr>
            </m:sSupPr>
            <m:e>
              <m:r>
                <w:rPr>
                  <w:rFonts w:ascii="Cambria Math" w:hAnsi="Cambria Math"/>
                  <w:sz w:val="22"/>
                  <w:szCs w:val="22"/>
                </w:rPr>
                <m:t>e</m:t>
              </m:r>
            </m:e>
            <m:sup>
              <m:r>
                <m:rPr>
                  <m:sty m:val="p"/>
                </m:rPr>
                <w:rPr>
                  <w:rFonts w:ascii="Cambria Math" w:hAnsi="Cambria Math"/>
                  <w:sz w:val="22"/>
                  <w:szCs w:val="22"/>
                </w:rPr>
                <m:t>ln</m:t>
              </m:r>
              <m:r>
                <w:rPr>
                  <w:rFonts w:ascii="Cambria Math" w:hAnsi="Cambria Math"/>
                  <w:sz w:val="22"/>
                  <w:szCs w:val="22"/>
                </w:rPr>
                <m:t>(m)b</m:t>
              </m:r>
            </m:sup>
          </m:sSup>
        </m:oMath>
      </m:oMathPara>
    </w:p>
    <w:p w14:paraId="3C36D7C6" w14:textId="77777777" w:rsidR="00EB3831" w:rsidRPr="00CA20D1" w:rsidRDefault="00EB3831" w:rsidP="00A10C4D">
      <w:pPr>
        <w:spacing w:line="360" w:lineRule="auto"/>
        <w:contextualSpacing/>
        <w:jc w:val="both"/>
        <w:rPr>
          <w:rFonts w:ascii="Times" w:eastAsiaTheme="minorEastAsia" w:hAnsi="Times"/>
          <w:sz w:val="22"/>
          <w:szCs w:val="22"/>
          <w:lang w:val="en-US"/>
        </w:rPr>
      </w:pPr>
      <w:r w:rsidRPr="00CA20D1">
        <w:rPr>
          <w:rFonts w:ascii="Times" w:eastAsiaTheme="minorEastAsia" w:hAnsi="Times"/>
          <w:sz w:val="22"/>
          <w:szCs w:val="22"/>
          <w:lang w:val="en-US"/>
        </w:rPr>
        <w:t xml:space="preserve">Find derivative with respect to </w:t>
      </w:r>
      <w:r w:rsidRPr="00CA20D1">
        <w:rPr>
          <w:rFonts w:ascii="Times" w:eastAsiaTheme="minorEastAsia" w:hAnsi="Times"/>
          <w:i/>
          <w:sz w:val="22"/>
          <w:szCs w:val="22"/>
          <w:lang w:val="en-US"/>
        </w:rPr>
        <w:t>T</w:t>
      </w:r>
      <w:r w:rsidRPr="00CA20D1">
        <w:rPr>
          <w:rFonts w:ascii="Times" w:eastAsiaTheme="minorEastAsia" w:hAnsi="Times"/>
          <w:sz w:val="22"/>
          <w:szCs w:val="22"/>
          <w:lang w:val="en-US"/>
        </w:rPr>
        <w:t>. Apply product rule:</w:t>
      </w:r>
    </w:p>
    <w:p w14:paraId="1F009B27" w14:textId="77777777" w:rsidR="00EB3831" w:rsidRPr="00CA20D1" w:rsidRDefault="00EB3831" w:rsidP="00A10C4D">
      <w:pPr>
        <w:spacing w:line="360" w:lineRule="auto"/>
        <w:contextualSpacing/>
        <w:jc w:val="both"/>
        <w:rPr>
          <w:rFonts w:ascii="Times" w:eastAsiaTheme="minorEastAsia" w:hAnsi="Times"/>
          <w:sz w:val="22"/>
          <w:szCs w:val="22"/>
          <w:lang w:val="en-US"/>
        </w:rPr>
      </w:pPr>
      <m:oMathPara>
        <m:oMath>
          <m:r>
            <w:rPr>
              <w:rFonts w:ascii="Cambria Math" w:hAnsi="Cambria Math"/>
              <w:sz w:val="22"/>
              <w:szCs w:val="22"/>
            </w:rPr>
            <m:t>G'</m:t>
          </m:r>
          <m:r>
            <w:rPr>
              <w:rFonts w:ascii="Cambria Math" w:hAnsi="Cambria Math"/>
              <w:sz w:val="22"/>
              <w:szCs w:val="22"/>
              <w:lang w:val="en-US"/>
            </w:rPr>
            <m:t>=</m:t>
          </m:r>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lang w:val="en-US"/>
                </w:rPr>
                <m:t>'</m:t>
              </m:r>
            </m:sup>
          </m:sSup>
          <m:r>
            <w:rPr>
              <w:rFonts w:ascii="Cambria Math" w:hAnsi="Cambria Math"/>
              <w:sz w:val="22"/>
              <w:szCs w:val="22"/>
              <w:lang w:val="en-US"/>
            </w:rPr>
            <m:t>∙</m:t>
          </m:r>
          <m:sSup>
            <m:sSupPr>
              <m:ctrlPr>
                <w:rPr>
                  <w:rFonts w:ascii="Cambria Math" w:hAnsi="Cambria Math"/>
                  <w:i/>
                  <w:sz w:val="22"/>
                  <w:szCs w:val="22"/>
                </w:rPr>
              </m:ctrlPr>
            </m:sSupPr>
            <m:e>
              <m:r>
                <w:rPr>
                  <w:rFonts w:ascii="Cambria Math" w:hAnsi="Cambria Math"/>
                  <w:sz w:val="22"/>
                  <w:szCs w:val="22"/>
                </w:rPr>
                <m:t>e</m:t>
              </m:r>
            </m:e>
            <m:sup>
              <m:func>
                <m:funcPr>
                  <m:ctrlPr>
                    <w:rPr>
                      <w:rFonts w:ascii="Cambria Math" w:hAnsi="Cambria Math"/>
                      <w:sz w:val="22"/>
                      <w:szCs w:val="22"/>
                    </w:rPr>
                  </m:ctrlPr>
                </m:funcPr>
                <m:fName>
                  <m:r>
                    <m:rPr>
                      <m:sty m:val="p"/>
                    </m:rPr>
                    <w:rPr>
                      <w:rFonts w:ascii="Cambria Math" w:hAnsi="Cambria Math"/>
                      <w:sz w:val="22"/>
                      <w:szCs w:val="22"/>
                    </w:rPr>
                    <m:t>ln</m:t>
                  </m:r>
                </m:fName>
                <m:e>
                  <m:d>
                    <m:dPr>
                      <m:ctrlPr>
                        <w:rPr>
                          <w:rFonts w:ascii="Cambria Math" w:hAnsi="Cambria Math"/>
                          <w:i/>
                          <w:sz w:val="22"/>
                          <w:szCs w:val="22"/>
                        </w:rPr>
                      </m:ctrlPr>
                    </m:dPr>
                    <m:e>
                      <m:r>
                        <w:rPr>
                          <w:rFonts w:ascii="Cambria Math" w:hAnsi="Cambria Math"/>
                          <w:sz w:val="22"/>
                          <w:szCs w:val="22"/>
                        </w:rPr>
                        <m:t>m</m:t>
                      </m:r>
                      <m:ctrlPr>
                        <w:rPr>
                          <w:rFonts w:ascii="Cambria Math" w:hAnsi="Cambria Math"/>
                          <w:i/>
                          <w:sz w:val="22"/>
                          <w:szCs w:val="22"/>
                          <w:lang w:val="en-US"/>
                        </w:rPr>
                      </m:ctrlPr>
                    </m:e>
                  </m:d>
                </m:e>
              </m:func>
              <m:r>
                <w:rPr>
                  <w:rFonts w:ascii="Cambria Math" w:hAnsi="Cambria Math"/>
                  <w:sz w:val="22"/>
                  <w:szCs w:val="22"/>
                </w:rPr>
                <m:t>b</m:t>
              </m:r>
            </m:sup>
          </m:sSup>
          <m:r>
            <w:rPr>
              <w:rFonts w:ascii="Cambria Math" w:eastAsiaTheme="minorEastAsia" w:hAnsi="Cambria Math"/>
              <w:sz w:val="22"/>
              <w:szCs w:val="22"/>
              <w:lang w:val="en-US"/>
            </w:rPr>
            <m:t>+</m:t>
          </m:r>
          <m:r>
            <w:rPr>
              <w:rFonts w:ascii="Cambria Math" w:eastAsiaTheme="minorEastAsia" w:hAnsi="Cambria Math"/>
              <w:sz w:val="22"/>
              <w:szCs w:val="22"/>
            </w:rPr>
            <m:t>a</m:t>
          </m:r>
          <m:r>
            <w:rPr>
              <w:rFonts w:ascii="Cambria Math" w:hAnsi="Cambria Math"/>
              <w:sz w:val="22"/>
              <w:szCs w:val="22"/>
              <w:lang w:val="en-US"/>
            </w:rPr>
            <m:t>∙</m:t>
          </m:r>
          <m:r>
            <m:rPr>
              <m:sty m:val="p"/>
            </m:rPr>
            <w:rPr>
              <w:rFonts w:ascii="Cambria Math" w:hAnsi="Cambria Math"/>
              <w:sz w:val="22"/>
              <w:szCs w:val="22"/>
            </w:rPr>
            <m:t>ln⁡</m:t>
          </m:r>
          <m:r>
            <w:rPr>
              <w:rFonts w:ascii="Cambria Math" w:hAnsi="Cambria Math"/>
              <w:sz w:val="22"/>
              <w:szCs w:val="22"/>
            </w:rPr>
            <m:t>(m</m:t>
          </m:r>
          <m:r>
            <w:rPr>
              <w:rFonts w:ascii="Cambria Math" w:hAnsi="Cambria Math"/>
              <w:sz w:val="22"/>
              <w:szCs w:val="22"/>
              <w:lang w:val="en-US"/>
            </w:rPr>
            <m:t>)</m:t>
          </m:r>
          <m:r>
            <w:rPr>
              <w:rFonts w:ascii="Cambria Math" w:hAnsi="Cambria Math"/>
              <w:sz w:val="22"/>
              <w:szCs w:val="22"/>
            </w:rPr>
            <m:t>b'</m:t>
          </m:r>
          <m:sSup>
            <m:sSupPr>
              <m:ctrlPr>
                <w:rPr>
                  <w:rFonts w:ascii="Cambria Math" w:hAnsi="Cambria Math"/>
                  <w:i/>
                  <w:sz w:val="22"/>
                  <w:szCs w:val="22"/>
                </w:rPr>
              </m:ctrlPr>
            </m:sSupPr>
            <m:e>
              <m:r>
                <w:rPr>
                  <w:rFonts w:ascii="Cambria Math" w:hAnsi="Cambria Math"/>
                  <w:sz w:val="22"/>
                  <w:szCs w:val="22"/>
                </w:rPr>
                <m:t>e</m:t>
              </m:r>
            </m:e>
            <m:sup>
              <m:r>
                <m:rPr>
                  <m:sty m:val="p"/>
                </m:rPr>
                <w:rPr>
                  <w:rFonts w:ascii="Cambria Math" w:hAnsi="Cambria Math"/>
                  <w:sz w:val="22"/>
                  <w:szCs w:val="22"/>
                </w:rPr>
                <m:t>ln⁡</m:t>
              </m:r>
              <m:r>
                <w:rPr>
                  <w:rFonts w:ascii="Cambria Math" w:hAnsi="Cambria Math"/>
                  <w:sz w:val="22"/>
                  <w:szCs w:val="22"/>
                </w:rPr>
                <m:t>(m</m:t>
              </m:r>
              <m:r>
                <w:rPr>
                  <w:rFonts w:ascii="Cambria Math" w:hAnsi="Cambria Math"/>
                  <w:sz w:val="22"/>
                  <w:szCs w:val="22"/>
                  <w:lang w:val="en-US"/>
                </w:rPr>
                <m:t>)</m:t>
              </m:r>
              <m:r>
                <w:rPr>
                  <w:rFonts w:ascii="Cambria Math" w:hAnsi="Cambria Math"/>
                  <w:sz w:val="22"/>
                  <w:szCs w:val="22"/>
                </w:rPr>
                <m:t>b</m:t>
              </m:r>
            </m:sup>
          </m:sSup>
        </m:oMath>
      </m:oMathPara>
    </w:p>
    <w:p w14:paraId="754CE0EF" w14:textId="77777777" w:rsidR="00EB3831" w:rsidRPr="00CA20D1" w:rsidRDefault="00EB3831" w:rsidP="00A10C4D">
      <w:pPr>
        <w:spacing w:line="360" w:lineRule="auto"/>
        <w:contextualSpacing/>
        <w:jc w:val="both"/>
        <w:rPr>
          <w:rFonts w:ascii="Times" w:eastAsiaTheme="minorEastAsia" w:hAnsi="Times"/>
          <w:sz w:val="22"/>
          <w:szCs w:val="22"/>
          <w:lang w:val="en-US"/>
        </w:rPr>
      </w:pPr>
      <w:r w:rsidRPr="00CA20D1">
        <w:rPr>
          <w:rFonts w:ascii="Times" w:eastAsiaTheme="minorEastAsia" w:hAnsi="Times"/>
          <w:sz w:val="22"/>
          <w:szCs w:val="22"/>
          <w:lang w:val="en-US"/>
        </w:rPr>
        <w:t xml:space="preserve">Factor out </w:t>
      </w:r>
      <m:oMath>
        <m:sSup>
          <m:sSupPr>
            <m:ctrlPr>
              <w:rPr>
                <w:rFonts w:ascii="Cambria Math" w:hAnsi="Cambria Math"/>
                <w:i/>
                <w:sz w:val="22"/>
                <w:szCs w:val="22"/>
              </w:rPr>
            </m:ctrlPr>
          </m:sSupPr>
          <m:e>
            <m:r>
              <w:rPr>
                <w:rFonts w:ascii="Cambria Math" w:hAnsi="Cambria Math"/>
                <w:sz w:val="22"/>
                <w:szCs w:val="22"/>
              </w:rPr>
              <m:t>e</m:t>
            </m:r>
          </m:e>
          <m:sup>
            <m:func>
              <m:funcPr>
                <m:ctrlPr>
                  <w:rPr>
                    <w:rFonts w:ascii="Cambria Math" w:hAnsi="Cambria Math"/>
                    <w:sz w:val="22"/>
                    <w:szCs w:val="22"/>
                  </w:rPr>
                </m:ctrlPr>
              </m:funcPr>
              <m:fName>
                <m:r>
                  <m:rPr>
                    <m:sty m:val="p"/>
                  </m:rPr>
                  <w:rPr>
                    <w:rFonts w:ascii="Cambria Math" w:hAnsi="Cambria Math"/>
                    <w:sz w:val="22"/>
                    <w:szCs w:val="22"/>
                    <w:lang w:val="en-US"/>
                  </w:rPr>
                  <m:t>ln</m:t>
                </m:r>
              </m:fName>
              <m:e>
                <m:d>
                  <m:dPr>
                    <m:ctrlPr>
                      <w:rPr>
                        <w:rFonts w:ascii="Cambria Math" w:hAnsi="Cambria Math"/>
                        <w:i/>
                        <w:sz w:val="22"/>
                        <w:szCs w:val="22"/>
                      </w:rPr>
                    </m:ctrlPr>
                  </m:dPr>
                  <m:e>
                    <m:r>
                      <w:rPr>
                        <w:rFonts w:ascii="Cambria Math" w:hAnsi="Cambria Math"/>
                        <w:sz w:val="22"/>
                        <w:szCs w:val="22"/>
                      </w:rPr>
                      <m:t>m</m:t>
                    </m:r>
                    <m:ctrlPr>
                      <w:rPr>
                        <w:rFonts w:ascii="Cambria Math" w:hAnsi="Cambria Math"/>
                        <w:i/>
                        <w:sz w:val="22"/>
                        <w:szCs w:val="22"/>
                        <w:lang w:val="en-US"/>
                      </w:rPr>
                    </m:ctrlPr>
                  </m:e>
                </m:d>
              </m:e>
            </m:func>
            <m:r>
              <w:rPr>
                <w:rFonts w:ascii="Cambria Math" w:hAnsi="Cambria Math"/>
                <w:sz w:val="22"/>
                <w:szCs w:val="22"/>
              </w:rPr>
              <m:t>b</m:t>
            </m:r>
          </m:sup>
        </m:sSup>
      </m:oMath>
      <w:r w:rsidRPr="00CA20D1">
        <w:rPr>
          <w:rFonts w:ascii="Times" w:eastAsiaTheme="minorEastAsia" w:hAnsi="Times"/>
          <w:sz w:val="22"/>
          <w:szCs w:val="22"/>
          <w:lang w:val="en-US"/>
        </w:rPr>
        <w:t>:</w:t>
      </w:r>
    </w:p>
    <w:p w14:paraId="215E32C1" w14:textId="77777777" w:rsidR="00EB3831" w:rsidRPr="00CA20D1" w:rsidRDefault="00EB3831" w:rsidP="00A10C4D">
      <w:pPr>
        <w:spacing w:line="360" w:lineRule="auto"/>
        <w:contextualSpacing/>
        <w:jc w:val="both"/>
        <w:rPr>
          <w:rFonts w:ascii="Times" w:eastAsiaTheme="minorEastAsia" w:hAnsi="Times"/>
          <w:sz w:val="22"/>
          <w:szCs w:val="22"/>
        </w:rPr>
      </w:pPr>
      <m:oMathPara>
        <m:oMath>
          <m:r>
            <w:rPr>
              <w:rFonts w:ascii="Cambria Math" w:hAnsi="Cambria Math"/>
              <w:sz w:val="22"/>
              <w:szCs w:val="22"/>
            </w:rPr>
            <m:t>G'</m:t>
          </m:r>
          <m:r>
            <w:rPr>
              <w:rFonts w:ascii="Cambria Math" w:hAnsi="Cambria Math"/>
              <w:sz w:val="22"/>
              <w:szCs w:val="22"/>
              <w:lang w:val="en-US"/>
            </w:rPr>
            <m:t>=(</m:t>
          </m:r>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lang w:val="en-US"/>
                </w:rPr>
                <m:t>'</m:t>
              </m:r>
            </m:sup>
          </m:sSup>
          <m:r>
            <w:rPr>
              <w:rFonts w:ascii="Cambria Math" w:eastAsiaTheme="minorEastAsia" w:hAnsi="Cambria Math"/>
              <w:sz w:val="22"/>
              <w:szCs w:val="22"/>
              <w:lang w:val="en-US"/>
            </w:rPr>
            <m:t>+</m:t>
          </m:r>
          <m:r>
            <w:rPr>
              <w:rFonts w:ascii="Cambria Math" w:eastAsiaTheme="minorEastAsia" w:hAnsi="Cambria Math"/>
              <w:sz w:val="22"/>
              <w:szCs w:val="22"/>
            </w:rPr>
            <m:t>a</m:t>
          </m:r>
          <m:r>
            <w:rPr>
              <w:rFonts w:ascii="Cambria Math" w:hAnsi="Cambria Math"/>
              <w:sz w:val="22"/>
              <w:szCs w:val="22"/>
              <w:lang w:val="en-US"/>
            </w:rPr>
            <m:t>∙</m:t>
          </m:r>
          <m:r>
            <m:rPr>
              <m:sty m:val="p"/>
            </m:rPr>
            <w:rPr>
              <w:rFonts w:ascii="Cambria Math" w:hAnsi="Cambria Math"/>
              <w:sz w:val="22"/>
              <w:szCs w:val="22"/>
            </w:rPr>
            <m:t>ln⁡</m:t>
          </m:r>
          <m:r>
            <w:rPr>
              <w:rFonts w:ascii="Cambria Math" w:hAnsi="Cambria Math"/>
              <w:sz w:val="22"/>
              <w:szCs w:val="22"/>
            </w:rPr>
            <m:t>(m</m:t>
          </m:r>
          <m:r>
            <w:rPr>
              <w:rFonts w:ascii="Cambria Math" w:hAnsi="Cambria Math"/>
              <w:sz w:val="22"/>
              <w:szCs w:val="22"/>
              <w:lang w:val="en-US"/>
            </w:rPr>
            <m:t>)</m:t>
          </m:r>
          <m:r>
            <w:rPr>
              <w:rFonts w:ascii="Cambria Math" w:hAnsi="Cambria Math"/>
              <w:sz w:val="22"/>
              <w:szCs w:val="22"/>
            </w:rPr>
            <m:t>b'</m:t>
          </m:r>
          <m:r>
            <w:rPr>
              <w:rFonts w:ascii="Cambria Math" w:hAnsi="Cambria Math"/>
              <w:sz w:val="22"/>
              <w:szCs w:val="22"/>
              <w:lang w:val="en-US"/>
            </w:rPr>
            <m:t>)</m:t>
          </m:r>
          <m:sSup>
            <m:sSupPr>
              <m:ctrlPr>
                <w:rPr>
                  <w:rFonts w:ascii="Cambria Math" w:hAnsi="Cambria Math"/>
                  <w:i/>
                  <w:sz w:val="22"/>
                  <w:szCs w:val="22"/>
                </w:rPr>
              </m:ctrlPr>
            </m:sSupPr>
            <m:e>
              <m:r>
                <w:rPr>
                  <w:rFonts w:ascii="Cambria Math" w:hAnsi="Cambria Math"/>
                  <w:sz w:val="22"/>
                  <w:szCs w:val="22"/>
                </w:rPr>
                <m:t>e</m:t>
              </m:r>
            </m:e>
            <m:sup>
              <m:func>
                <m:funcPr>
                  <m:ctrlPr>
                    <w:rPr>
                      <w:rFonts w:ascii="Cambria Math" w:hAnsi="Cambria Math"/>
                      <w:sz w:val="22"/>
                      <w:szCs w:val="22"/>
                    </w:rPr>
                  </m:ctrlPr>
                </m:funcPr>
                <m:fName>
                  <m:r>
                    <m:rPr>
                      <m:sty m:val="p"/>
                    </m:rPr>
                    <w:rPr>
                      <w:rFonts w:ascii="Cambria Math" w:hAnsi="Cambria Math"/>
                      <w:sz w:val="22"/>
                      <w:szCs w:val="22"/>
                    </w:rPr>
                    <m:t>ln</m:t>
                  </m:r>
                </m:fName>
                <m:e>
                  <m:d>
                    <m:dPr>
                      <m:ctrlPr>
                        <w:rPr>
                          <w:rFonts w:ascii="Cambria Math" w:hAnsi="Cambria Math"/>
                          <w:i/>
                          <w:sz w:val="22"/>
                          <w:szCs w:val="22"/>
                        </w:rPr>
                      </m:ctrlPr>
                    </m:dPr>
                    <m:e>
                      <m:r>
                        <w:rPr>
                          <w:rFonts w:ascii="Cambria Math" w:hAnsi="Cambria Math"/>
                          <w:sz w:val="22"/>
                          <w:szCs w:val="22"/>
                        </w:rPr>
                        <m:t>m</m:t>
                      </m:r>
                      <m:ctrlPr>
                        <w:rPr>
                          <w:rFonts w:ascii="Cambria Math" w:hAnsi="Cambria Math"/>
                          <w:i/>
                          <w:sz w:val="22"/>
                          <w:szCs w:val="22"/>
                          <w:lang w:val="en-US"/>
                        </w:rPr>
                      </m:ctrlPr>
                    </m:e>
                  </m:d>
                </m:e>
              </m:func>
              <m:r>
                <w:rPr>
                  <w:rFonts w:ascii="Cambria Math" w:hAnsi="Cambria Math"/>
                  <w:sz w:val="22"/>
                  <w:szCs w:val="22"/>
                </w:rPr>
                <m:t>b</m:t>
              </m:r>
            </m:sup>
          </m:sSup>
        </m:oMath>
      </m:oMathPara>
    </w:p>
    <w:p w14:paraId="35CDC864" w14:textId="77777777" w:rsidR="00EB3831" w:rsidRPr="00CA20D1" w:rsidRDefault="00EB3831" w:rsidP="00A10C4D">
      <w:pPr>
        <w:spacing w:line="360" w:lineRule="auto"/>
        <w:contextualSpacing/>
        <w:jc w:val="both"/>
        <w:rPr>
          <w:rFonts w:ascii="Times" w:eastAsiaTheme="minorEastAsia" w:hAnsi="Times"/>
          <w:sz w:val="22"/>
          <w:szCs w:val="22"/>
          <w:lang w:val="en-US"/>
        </w:rPr>
      </w:pPr>
      <w:r w:rsidRPr="00CA20D1">
        <w:rPr>
          <w:rFonts w:ascii="Times" w:eastAsiaTheme="minorEastAsia" w:hAnsi="Times"/>
          <w:sz w:val="22"/>
          <w:szCs w:val="22"/>
          <w:lang w:val="en-US"/>
        </w:rPr>
        <w:t xml:space="preserve">Go back to normal form: </w:t>
      </w:r>
    </w:p>
    <w:p w14:paraId="328D7999" w14:textId="77777777" w:rsidR="00EB3831" w:rsidRPr="00CA20D1" w:rsidRDefault="00EB3831" w:rsidP="00A10C4D">
      <w:pPr>
        <w:spacing w:line="360" w:lineRule="auto"/>
        <w:contextualSpacing/>
        <w:jc w:val="both"/>
        <w:rPr>
          <w:rFonts w:ascii="Times" w:eastAsiaTheme="minorEastAsia" w:hAnsi="Times"/>
          <w:sz w:val="22"/>
          <w:szCs w:val="22"/>
        </w:rPr>
      </w:pPr>
      <m:oMathPara>
        <m:oMath>
          <m:r>
            <w:rPr>
              <w:rFonts w:ascii="Cambria Math" w:hAnsi="Cambria Math"/>
              <w:sz w:val="22"/>
              <w:szCs w:val="22"/>
            </w:rPr>
            <m:t>G'</m:t>
          </m:r>
          <m:r>
            <w:rPr>
              <w:rFonts w:ascii="Cambria Math" w:hAnsi="Cambria Math"/>
              <w:sz w:val="22"/>
              <w:szCs w:val="22"/>
              <w:lang w:val="en-US"/>
            </w:rPr>
            <m:t>=(</m:t>
          </m:r>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lang w:val="en-US"/>
                </w:rPr>
                <m:t>'</m:t>
              </m:r>
            </m:sup>
          </m:sSup>
          <m:r>
            <w:rPr>
              <w:rFonts w:ascii="Cambria Math" w:eastAsiaTheme="minorEastAsia" w:hAnsi="Cambria Math"/>
              <w:sz w:val="22"/>
              <w:szCs w:val="22"/>
              <w:lang w:val="en-US"/>
            </w:rPr>
            <m:t>+</m:t>
          </m:r>
          <m:r>
            <w:rPr>
              <w:rFonts w:ascii="Cambria Math" w:eastAsiaTheme="minorEastAsia" w:hAnsi="Cambria Math"/>
              <w:sz w:val="22"/>
              <w:szCs w:val="22"/>
            </w:rPr>
            <m:t>a</m:t>
          </m:r>
          <m:r>
            <w:rPr>
              <w:rFonts w:ascii="Cambria Math" w:hAnsi="Cambria Math"/>
              <w:sz w:val="22"/>
              <w:szCs w:val="22"/>
              <w:lang w:val="en-US"/>
            </w:rPr>
            <m:t>∙</m:t>
          </m:r>
          <m:r>
            <m:rPr>
              <m:sty m:val="p"/>
            </m:rPr>
            <w:rPr>
              <w:rFonts w:ascii="Cambria Math" w:hAnsi="Cambria Math"/>
              <w:sz w:val="22"/>
              <w:szCs w:val="22"/>
            </w:rPr>
            <m:t>ln⁡</m:t>
          </m:r>
          <m:r>
            <w:rPr>
              <w:rFonts w:ascii="Cambria Math" w:hAnsi="Cambria Math"/>
              <w:sz w:val="22"/>
              <w:szCs w:val="22"/>
            </w:rPr>
            <m:t>(m</m:t>
          </m:r>
          <m:r>
            <w:rPr>
              <w:rFonts w:ascii="Cambria Math" w:hAnsi="Cambria Math"/>
              <w:sz w:val="22"/>
              <w:szCs w:val="22"/>
              <w:lang w:val="en-US"/>
            </w:rPr>
            <m:t>)</m:t>
          </m:r>
          <m:r>
            <w:rPr>
              <w:rFonts w:ascii="Cambria Math" w:hAnsi="Cambria Math"/>
              <w:sz w:val="22"/>
              <w:szCs w:val="22"/>
            </w:rPr>
            <m:t>b'</m:t>
          </m:r>
          <m:r>
            <w:rPr>
              <w:rFonts w:ascii="Cambria Math" w:hAnsi="Cambria Math"/>
              <w:sz w:val="22"/>
              <w:szCs w:val="22"/>
              <w:lang w:val="en-US"/>
            </w:rPr>
            <m:t>)</m:t>
          </m:r>
          <m:sSup>
            <m:sSupPr>
              <m:ctrlPr>
                <w:rPr>
                  <w:rFonts w:ascii="Cambria Math" w:hAnsi="Cambria Math"/>
                  <w:i/>
                  <w:sz w:val="22"/>
                  <w:szCs w:val="22"/>
                </w:rPr>
              </m:ctrlPr>
            </m:sSupPr>
            <m:e>
              <m:r>
                <w:rPr>
                  <w:rFonts w:ascii="Cambria Math" w:hAnsi="Cambria Math"/>
                  <w:sz w:val="22"/>
                  <w:szCs w:val="22"/>
                </w:rPr>
                <m:t>m</m:t>
              </m:r>
            </m:e>
            <m:sup>
              <m:r>
                <w:rPr>
                  <w:rFonts w:ascii="Cambria Math" w:hAnsi="Cambria Math"/>
                  <w:sz w:val="22"/>
                  <w:szCs w:val="22"/>
                </w:rPr>
                <m:t>b</m:t>
              </m:r>
            </m:sup>
          </m:sSup>
        </m:oMath>
      </m:oMathPara>
    </w:p>
    <w:p w14:paraId="700893F3" w14:textId="382DC039" w:rsidR="007A7259" w:rsidRDefault="00EB3831" w:rsidP="00A10C4D">
      <w:pPr>
        <w:spacing w:line="360" w:lineRule="auto"/>
        <w:rPr>
          <w:rFonts w:ascii="Times" w:eastAsiaTheme="minorEastAsia" w:hAnsi="Times"/>
          <w:sz w:val="22"/>
          <w:szCs w:val="22"/>
          <w:lang w:val="en-US"/>
        </w:rPr>
      </w:pPr>
      <m:oMath>
        <m:sSup>
          <m:sSupPr>
            <m:ctrlPr>
              <w:rPr>
                <w:rFonts w:ascii="Cambria Math" w:hAnsi="Cambria Math"/>
                <w:i/>
                <w:sz w:val="22"/>
                <w:szCs w:val="22"/>
              </w:rPr>
            </m:ctrlPr>
          </m:sSupPr>
          <m:e>
            <m:r>
              <w:rPr>
                <w:rFonts w:ascii="Cambria Math" w:hAnsi="Cambria Math"/>
                <w:sz w:val="22"/>
                <w:szCs w:val="22"/>
              </w:rPr>
              <m:t>m</m:t>
            </m:r>
          </m:e>
          <m:sup>
            <m:r>
              <w:rPr>
                <w:rFonts w:ascii="Cambria Math" w:hAnsi="Cambria Math"/>
                <w:sz w:val="22"/>
                <w:szCs w:val="22"/>
              </w:rPr>
              <m:t>b</m:t>
            </m:r>
          </m:sup>
        </m:sSup>
      </m:oMath>
      <w:r w:rsidRPr="00CA20D1">
        <w:rPr>
          <w:rFonts w:ascii="Times" w:eastAsiaTheme="minorEastAsia" w:hAnsi="Times"/>
          <w:sz w:val="22"/>
          <w:szCs w:val="22"/>
          <w:lang w:val="en-US"/>
        </w:rPr>
        <w:t xml:space="preserve"> cannot be 0, so parenthesis needs to be. If </w:t>
      </w:r>
      <m:oMath>
        <m:r>
          <w:rPr>
            <w:rFonts w:ascii="Cambria Math" w:eastAsiaTheme="minorEastAsia" w:hAnsi="Cambria Math"/>
            <w:sz w:val="22"/>
            <w:szCs w:val="22"/>
            <w:lang w:val="en-US"/>
          </w:rPr>
          <m:t>b</m:t>
        </m:r>
      </m:oMath>
      <w:r w:rsidRPr="00CA20D1">
        <w:rPr>
          <w:rFonts w:ascii="Times" w:eastAsiaTheme="minorEastAsia" w:hAnsi="Times"/>
          <w:sz w:val="22"/>
          <w:szCs w:val="22"/>
          <w:lang w:val="en-US"/>
        </w:rPr>
        <w:t xml:space="preserve"> is a constant, the expression for the maximum does not have </w:t>
      </w:r>
      <m:oMath>
        <m:r>
          <w:rPr>
            <w:rFonts w:ascii="Cambria Math" w:eastAsiaTheme="minorEastAsia" w:hAnsi="Cambria Math"/>
            <w:sz w:val="22"/>
            <w:szCs w:val="22"/>
            <w:lang w:val="en-US"/>
          </w:rPr>
          <m:t>m</m:t>
        </m:r>
      </m:oMath>
      <w:r w:rsidRPr="00CA20D1">
        <w:rPr>
          <w:rFonts w:ascii="Times" w:eastAsiaTheme="minorEastAsia" w:hAnsi="Times"/>
          <w:sz w:val="22"/>
          <w:szCs w:val="22"/>
          <w:lang w:val="en-US"/>
        </w:rPr>
        <w:t xml:space="preserve"> in it. If </w:t>
      </w:r>
      <m:oMath>
        <m:r>
          <w:rPr>
            <w:rFonts w:ascii="Cambria Math" w:eastAsiaTheme="minorEastAsia" w:hAnsi="Cambria Math"/>
            <w:sz w:val="22"/>
            <w:szCs w:val="22"/>
            <w:lang w:val="en-US"/>
          </w:rPr>
          <m:t>b</m:t>
        </m:r>
      </m:oMath>
      <w:r w:rsidRPr="00CA20D1">
        <w:rPr>
          <w:rFonts w:ascii="Times" w:eastAsiaTheme="minorEastAsia" w:hAnsi="Times"/>
          <w:sz w:val="22"/>
          <w:szCs w:val="22"/>
          <w:lang w:val="en-US"/>
        </w:rPr>
        <w:t xml:space="preserve"> declines with temp, optimum is lower for larger masses.</w:t>
      </w:r>
      <w:r w:rsidR="008E11C9">
        <w:rPr>
          <w:rFonts w:ascii="Times" w:eastAsiaTheme="minorEastAsia" w:hAnsi="Times"/>
          <w:sz w:val="22"/>
          <w:szCs w:val="22"/>
          <w:lang w:val="en-US"/>
        </w:rPr>
        <w:t xml:space="preserve"> (Show this in a figure, two allometric growth curves, with or without temperature effect on </w:t>
      </w:r>
      <m:oMath>
        <m:r>
          <w:rPr>
            <w:rFonts w:ascii="Cambria Math" w:eastAsiaTheme="minorEastAsia" w:hAnsi="Cambria Math"/>
            <w:sz w:val="22"/>
            <w:szCs w:val="22"/>
            <w:lang w:val="en-US"/>
          </w:rPr>
          <m:t>b</m:t>
        </m:r>
      </m:oMath>
      <w:r w:rsidR="008E11C9">
        <w:rPr>
          <w:rFonts w:ascii="Times" w:eastAsiaTheme="minorEastAsia" w:hAnsi="Times"/>
          <w:sz w:val="22"/>
          <w:szCs w:val="22"/>
          <w:lang w:val="en-US"/>
        </w:rPr>
        <w:t>)</w:t>
      </w:r>
    </w:p>
    <w:p w14:paraId="4998BBFE" w14:textId="0370D42C" w:rsidR="0053106E" w:rsidRDefault="0053106E" w:rsidP="00A10C4D">
      <w:pPr>
        <w:spacing w:line="360" w:lineRule="auto"/>
        <w:rPr>
          <w:rFonts w:ascii="Times" w:eastAsiaTheme="minorEastAsia" w:hAnsi="Times"/>
          <w:sz w:val="22"/>
          <w:szCs w:val="22"/>
          <w:lang w:val="en-US"/>
        </w:rPr>
      </w:pPr>
    </w:p>
    <w:p w14:paraId="71C14834" w14:textId="380E13A7" w:rsidR="00B068C9" w:rsidRDefault="00703DF6" w:rsidP="00A10C4D">
      <w:pPr>
        <w:spacing w:line="360" w:lineRule="auto"/>
      </w:pPr>
      <w:r>
        <w:rPr>
          <w:rFonts w:ascii="Times" w:eastAsiaTheme="minorEastAsia" w:hAnsi="Times"/>
          <w:sz w:val="22"/>
          <w:szCs w:val="22"/>
          <w:lang w:val="en-US"/>
        </w:rPr>
        <w:t xml:space="preserve">In this study, we utilize a newly collated dataset on the intraspecific scaling of body growth in relation to temperature. </w:t>
      </w:r>
      <w:r w:rsidR="00A02B20">
        <w:rPr>
          <w:rFonts w:ascii="Times" w:eastAsiaTheme="minorEastAsia" w:hAnsi="Times"/>
          <w:sz w:val="22"/>
          <w:szCs w:val="22"/>
          <w:lang w:val="en-US"/>
        </w:rPr>
        <w:t>G</w:t>
      </w:r>
      <w:r w:rsidR="0053106E">
        <w:rPr>
          <w:rFonts w:ascii="Times" w:eastAsiaTheme="minorEastAsia" w:hAnsi="Times"/>
          <w:sz w:val="22"/>
          <w:szCs w:val="22"/>
          <w:lang w:val="en-US"/>
        </w:rPr>
        <w:t xml:space="preserve">iven that we use strictly below-optimum data, we do not find an </w:t>
      </w:r>
      <w:r w:rsidR="001E4265">
        <w:rPr>
          <w:rFonts w:ascii="Times" w:eastAsiaTheme="minorEastAsia" w:hAnsi="Times"/>
          <w:sz w:val="22"/>
          <w:szCs w:val="22"/>
          <w:lang w:val="en-US"/>
        </w:rPr>
        <w:t xml:space="preserve">overall clear </w:t>
      </w:r>
      <w:r w:rsidR="0053106E">
        <w:rPr>
          <w:rFonts w:ascii="Times" w:eastAsiaTheme="minorEastAsia" w:hAnsi="Times"/>
          <w:sz w:val="22"/>
          <w:szCs w:val="22"/>
          <w:lang w:val="en-US"/>
        </w:rPr>
        <w:t xml:space="preserve">interaction. </w:t>
      </w:r>
      <w:r w:rsidR="00B068C9">
        <w:rPr>
          <w:rFonts w:ascii="Times" w:eastAsiaTheme="minorEastAsia" w:hAnsi="Times"/>
          <w:sz w:val="22"/>
          <w:szCs w:val="22"/>
          <w:lang w:val="en-US"/>
        </w:rPr>
        <w:t>However, i</w:t>
      </w:r>
      <w:r w:rsidR="00B068C9">
        <w:rPr>
          <w:rFonts w:ascii="Times" w:eastAsiaTheme="minorEastAsia" w:hAnsi="Times"/>
          <w:sz w:val="22"/>
          <w:szCs w:val="22"/>
          <w:lang w:val="en-US"/>
        </w:rPr>
        <w:t>ncluding data near or beyond will lead to an interaction</w:t>
      </w:r>
      <w:r w:rsidR="0025577C">
        <w:rPr>
          <w:rFonts w:ascii="Times" w:eastAsiaTheme="minorEastAsia" w:hAnsi="Times"/>
          <w:sz w:val="22"/>
          <w:szCs w:val="22"/>
          <w:lang w:val="en-US"/>
        </w:rPr>
        <w:t xml:space="preserve"> (maybe show this also? Fit the same model to all data?)</w:t>
      </w:r>
      <w:r w:rsidR="00B068C9">
        <w:rPr>
          <w:rFonts w:ascii="Times" w:eastAsiaTheme="minorEastAsia" w:hAnsi="Times"/>
          <w:sz w:val="22"/>
          <w:szCs w:val="22"/>
          <w:lang w:val="en-US"/>
        </w:rPr>
        <w:t>, likely a negative one since large fish have a lower optimum growth temperature</w:t>
      </w:r>
      <w:r w:rsidR="004F2EF3">
        <w:rPr>
          <w:rFonts w:ascii="Times" w:eastAsiaTheme="minorEastAsia" w:hAnsi="Times"/>
          <w:sz w:val="22"/>
          <w:szCs w:val="22"/>
          <w:lang w:val="en-US"/>
        </w:rPr>
        <w:t xml:space="preserve"> (Lindmark et al, 2020/2021)</w:t>
      </w:r>
      <w:r w:rsidR="00B068C9">
        <w:rPr>
          <w:rFonts w:ascii="Times" w:eastAsiaTheme="minorEastAsia" w:hAnsi="Times"/>
          <w:sz w:val="22"/>
          <w:szCs w:val="22"/>
          <w:lang w:val="en-US"/>
        </w:rPr>
        <w:t>.</w:t>
      </w:r>
    </w:p>
    <w:p w14:paraId="5DC61CED" w14:textId="1EFBDDD1" w:rsidR="008D1952" w:rsidRPr="00B068C9" w:rsidRDefault="008D1952" w:rsidP="00A10C4D">
      <w:pPr>
        <w:spacing w:line="360" w:lineRule="auto"/>
        <w:rPr>
          <w:rFonts w:ascii="Times" w:eastAsiaTheme="minorEastAsia" w:hAnsi="Times"/>
          <w:sz w:val="22"/>
          <w:szCs w:val="22"/>
        </w:rPr>
      </w:pPr>
    </w:p>
    <w:p w14:paraId="71ABA3A4" w14:textId="57EABA4E" w:rsidR="008D1952" w:rsidRDefault="008D1952" w:rsidP="00A10C4D">
      <w:pPr>
        <w:spacing w:line="360" w:lineRule="auto"/>
        <w:rPr>
          <w:rFonts w:ascii="Times" w:eastAsiaTheme="minorEastAsia" w:hAnsi="Times"/>
          <w:sz w:val="22"/>
          <w:szCs w:val="22"/>
          <w:lang w:val="en-US"/>
        </w:rPr>
      </w:pPr>
    </w:p>
    <w:p w14:paraId="62FA332D" w14:textId="338A3451" w:rsidR="008D1952" w:rsidRDefault="008D1952" w:rsidP="00A10C4D">
      <w:pPr>
        <w:spacing w:line="360" w:lineRule="auto"/>
        <w:rPr>
          <w:rFonts w:ascii="Times" w:eastAsiaTheme="minorEastAsia" w:hAnsi="Times"/>
          <w:sz w:val="22"/>
          <w:szCs w:val="22"/>
          <w:lang w:val="en-US"/>
        </w:rPr>
      </w:pPr>
      <w:r>
        <w:rPr>
          <w:rFonts w:cstheme="minorHAnsi"/>
          <w:noProof/>
        </w:rPr>
        <w:lastRenderedPageBreak/>
        <w:drawing>
          <wp:inline distT="0" distB="0" distL="0" distR="0" wp14:anchorId="5805E1A3" wp14:editId="266D87CD">
            <wp:extent cx="5731510" cy="5731510"/>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 up of a map&#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1CE02D4F" w14:textId="77777777" w:rsidR="008D1952" w:rsidRDefault="008D1952" w:rsidP="00A10C4D">
      <w:pPr>
        <w:spacing w:line="360" w:lineRule="auto"/>
        <w:rPr>
          <w:rFonts w:ascii="Times" w:eastAsiaTheme="minorEastAsia" w:hAnsi="Times"/>
          <w:sz w:val="22"/>
          <w:szCs w:val="22"/>
          <w:lang w:val="en-US"/>
        </w:rPr>
      </w:pPr>
    </w:p>
    <w:sectPr w:rsidR="008D1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831"/>
    <w:rsid w:val="00043CDF"/>
    <w:rsid w:val="001E4265"/>
    <w:rsid w:val="0025577C"/>
    <w:rsid w:val="00291209"/>
    <w:rsid w:val="004F2EF3"/>
    <w:rsid w:val="0053106E"/>
    <w:rsid w:val="005B7859"/>
    <w:rsid w:val="00703DF6"/>
    <w:rsid w:val="007C4157"/>
    <w:rsid w:val="007E570F"/>
    <w:rsid w:val="008D1952"/>
    <w:rsid w:val="008E11C9"/>
    <w:rsid w:val="0093376B"/>
    <w:rsid w:val="00A010CA"/>
    <w:rsid w:val="00A02B20"/>
    <w:rsid w:val="00A10C4D"/>
    <w:rsid w:val="00A20A0F"/>
    <w:rsid w:val="00AE1D46"/>
    <w:rsid w:val="00B068C9"/>
    <w:rsid w:val="00E10FE7"/>
    <w:rsid w:val="00EB3831"/>
    <w:rsid w:val="00F17645"/>
    <w:rsid w:val="00FA0A79"/>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4AFA02E1"/>
  <w15:chartTrackingRefBased/>
  <w15:docId w15:val="{8708863F-B260-F74A-BB20-A7E841F3F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195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195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1162</Words>
  <Characters>6624</Characters>
  <Application>Microsoft Office Word</Application>
  <DocSecurity>0</DocSecurity>
  <Lines>55</Lines>
  <Paragraphs>15</Paragraphs>
  <ScaleCrop>false</ScaleCrop>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Lindmark</dc:creator>
  <cp:keywords/>
  <dc:description/>
  <cp:lastModifiedBy>Max Lindmark</cp:lastModifiedBy>
  <cp:revision>24</cp:revision>
  <dcterms:created xsi:type="dcterms:W3CDTF">2020-09-14T06:27:00Z</dcterms:created>
  <dcterms:modified xsi:type="dcterms:W3CDTF">2020-09-14T06:33:00Z</dcterms:modified>
</cp:coreProperties>
</file>