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0751D" w14:textId="77777777" w:rsidR="00E6133D" w:rsidRDefault="00E6133D" w:rsidP="00E6133D">
      <w:pPr>
        <w:jc w:val="center"/>
        <w:rPr>
          <w:sz w:val="36"/>
          <w:szCs w:val="36"/>
        </w:rPr>
      </w:pPr>
      <w:r>
        <w:rPr>
          <w:noProof/>
          <w:sz w:val="36"/>
          <w:szCs w:val="36"/>
        </w:rPr>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52E3C49E" w:rsidR="00E6133D" w:rsidRPr="00F649EE" w:rsidRDefault="00353878" w:rsidP="00E6133D">
      <w:pPr>
        <w:rPr>
          <w:rFonts w:ascii="Arial" w:hAnsi="Arial" w:cs="Arial"/>
          <w:sz w:val="24"/>
          <w:szCs w:val="24"/>
        </w:rPr>
      </w:pPr>
      <w:r w:rsidRPr="00353878">
        <w:rPr>
          <w:rFonts w:ascii="Arial" w:hAnsi="Arial" w:cs="Arial"/>
          <w:iCs/>
          <w:sz w:val="28"/>
          <w:szCs w:val="28"/>
        </w:rPr>
        <w:t>Optimum growth temperature declines with body size within fish species</w:t>
      </w:r>
    </w:p>
    <w:p w14:paraId="12588F07" w14:textId="77777777" w:rsidR="00E6133D" w:rsidRPr="00E6133D" w:rsidRDefault="00E6133D" w:rsidP="00E6133D">
      <w:pPr>
        <w:rPr>
          <w:rFonts w:ascii="Arial" w:hAnsi="Arial" w:cs="Arial"/>
          <w:sz w:val="20"/>
          <w:szCs w:val="20"/>
        </w:rPr>
      </w:pPr>
    </w:p>
    <w:p w14:paraId="4FE9AAEF" w14:textId="77777777" w:rsidR="00A209CB" w:rsidRPr="00A209CB" w:rsidRDefault="00A209CB" w:rsidP="00A209CB">
      <w:pPr>
        <w:rPr>
          <w:rFonts w:ascii="Arial" w:hAnsi="Arial" w:cs="Arial"/>
          <w:sz w:val="20"/>
          <w:szCs w:val="20"/>
          <w:vertAlign w:val="superscript"/>
          <w:lang w:val="sv-SE"/>
        </w:rPr>
      </w:pPr>
      <w:r w:rsidRPr="00A209CB">
        <w:rPr>
          <w:rFonts w:ascii="Arial" w:hAnsi="Arial" w:cs="Arial"/>
          <w:sz w:val="20"/>
          <w:szCs w:val="20"/>
          <w:lang w:val="sv-SE"/>
        </w:rPr>
        <w:t>Max Lindmark</w:t>
      </w:r>
      <w:r w:rsidRPr="00A209CB">
        <w:rPr>
          <w:rFonts w:ascii="Arial" w:hAnsi="Arial" w:cs="Arial"/>
          <w:sz w:val="20"/>
          <w:szCs w:val="20"/>
          <w:vertAlign w:val="superscript"/>
          <w:lang w:val="sv-SE"/>
        </w:rPr>
        <w:t>a,1</w:t>
      </w:r>
      <w:r w:rsidRPr="00A209CB">
        <w:rPr>
          <w:rFonts w:ascii="Arial" w:hAnsi="Arial" w:cs="Arial"/>
          <w:sz w:val="20"/>
          <w:szCs w:val="20"/>
          <w:lang w:val="sv-SE"/>
        </w:rPr>
        <w:t xml:space="preserve">, Jan </w:t>
      </w:r>
      <w:proofErr w:type="spellStart"/>
      <w:r w:rsidRPr="00A209CB">
        <w:rPr>
          <w:rFonts w:ascii="Arial" w:hAnsi="Arial" w:cs="Arial"/>
          <w:sz w:val="20"/>
          <w:szCs w:val="20"/>
          <w:lang w:val="sv-SE"/>
        </w:rPr>
        <w:t>Ohlberger</w:t>
      </w:r>
      <w:r w:rsidRPr="00A209CB">
        <w:rPr>
          <w:rFonts w:ascii="Arial" w:hAnsi="Arial" w:cs="Arial"/>
          <w:sz w:val="20"/>
          <w:szCs w:val="20"/>
          <w:vertAlign w:val="superscript"/>
          <w:lang w:val="sv-SE"/>
        </w:rPr>
        <w:t>b</w:t>
      </w:r>
      <w:proofErr w:type="spellEnd"/>
      <w:r w:rsidRPr="00A209CB">
        <w:rPr>
          <w:rFonts w:ascii="Arial" w:hAnsi="Arial" w:cs="Arial"/>
          <w:sz w:val="20"/>
          <w:szCs w:val="20"/>
          <w:lang w:val="sv-SE"/>
        </w:rPr>
        <w:t xml:space="preserve">, Anna </w:t>
      </w:r>
      <w:proofErr w:type="spellStart"/>
      <w:r w:rsidRPr="00A209CB">
        <w:rPr>
          <w:rFonts w:ascii="Arial" w:hAnsi="Arial" w:cs="Arial"/>
          <w:sz w:val="20"/>
          <w:szCs w:val="20"/>
          <w:lang w:val="sv-SE"/>
        </w:rPr>
        <w:t>Gårdmark</w:t>
      </w:r>
      <w:r w:rsidRPr="00A209CB">
        <w:rPr>
          <w:rFonts w:ascii="Arial" w:hAnsi="Arial" w:cs="Arial"/>
          <w:sz w:val="20"/>
          <w:szCs w:val="20"/>
          <w:vertAlign w:val="superscript"/>
          <w:lang w:val="sv-SE"/>
        </w:rPr>
        <w:t>c</w:t>
      </w:r>
      <w:proofErr w:type="spellEnd"/>
    </w:p>
    <w:p w14:paraId="6A73B9E9" w14:textId="6A440E68" w:rsidR="00E6133D" w:rsidRPr="00E6133D" w:rsidRDefault="00E6133D" w:rsidP="00E6133D">
      <w:pPr>
        <w:rPr>
          <w:rFonts w:ascii="Arial" w:hAnsi="Arial" w:cs="Arial"/>
          <w:sz w:val="20"/>
          <w:szCs w:val="20"/>
        </w:rPr>
      </w:pPr>
    </w:p>
    <w:p w14:paraId="27775AC1" w14:textId="77777777" w:rsidR="00FB554F" w:rsidRPr="00FB554F" w:rsidRDefault="00FB554F" w:rsidP="00FB554F">
      <w:pPr>
        <w:rPr>
          <w:rFonts w:ascii="Arial" w:hAnsi="Arial" w:cs="Arial"/>
          <w:sz w:val="20"/>
          <w:szCs w:val="20"/>
        </w:rPr>
      </w:pPr>
      <w:r w:rsidRPr="00FB554F">
        <w:rPr>
          <w:rFonts w:ascii="Arial" w:hAnsi="Arial" w:cs="Arial"/>
          <w:sz w:val="20"/>
          <w:szCs w:val="20"/>
          <w:vertAlign w:val="superscript"/>
        </w:rPr>
        <w:t xml:space="preserve">a </w:t>
      </w:r>
      <w:r w:rsidRPr="00FB554F">
        <w:rPr>
          <w:rFonts w:ascii="Arial" w:hAnsi="Arial" w:cs="Arial"/>
          <w:sz w:val="20"/>
          <w:szCs w:val="20"/>
        </w:rPr>
        <w:t xml:space="preserve">Swedish University of Agricultural Sciences, Department of Aquatic Resources, Institute of Coastal Research, </w:t>
      </w:r>
      <w:proofErr w:type="spellStart"/>
      <w:r w:rsidRPr="00FB554F">
        <w:rPr>
          <w:rFonts w:ascii="Arial" w:hAnsi="Arial" w:cs="Arial"/>
          <w:sz w:val="20"/>
          <w:szCs w:val="20"/>
        </w:rPr>
        <w:t>Skolgatan</w:t>
      </w:r>
      <w:proofErr w:type="spellEnd"/>
      <w:r w:rsidRPr="00FB554F">
        <w:rPr>
          <w:rFonts w:ascii="Arial" w:hAnsi="Arial" w:cs="Arial"/>
          <w:sz w:val="20"/>
          <w:szCs w:val="20"/>
        </w:rPr>
        <w:t xml:space="preserve"> 6, </w:t>
      </w:r>
      <w:proofErr w:type="spellStart"/>
      <w:r w:rsidRPr="00FB554F">
        <w:rPr>
          <w:rFonts w:ascii="Arial" w:hAnsi="Arial" w:cs="Arial"/>
          <w:sz w:val="20"/>
          <w:szCs w:val="20"/>
        </w:rPr>
        <w:t>Öregrund</w:t>
      </w:r>
      <w:proofErr w:type="spellEnd"/>
      <w:r w:rsidRPr="00FB554F">
        <w:rPr>
          <w:rFonts w:ascii="Arial" w:hAnsi="Arial" w:cs="Arial"/>
          <w:sz w:val="20"/>
          <w:szCs w:val="20"/>
        </w:rPr>
        <w:t xml:space="preserve"> 742 42, Sweden</w:t>
      </w:r>
    </w:p>
    <w:p w14:paraId="28E170F3" w14:textId="77777777" w:rsidR="00FB554F" w:rsidRPr="00FB554F" w:rsidRDefault="00FB554F" w:rsidP="00FB554F">
      <w:pPr>
        <w:rPr>
          <w:rFonts w:ascii="Arial" w:hAnsi="Arial" w:cs="Arial"/>
          <w:sz w:val="20"/>
          <w:szCs w:val="20"/>
        </w:rPr>
      </w:pPr>
      <w:r w:rsidRPr="00FB554F">
        <w:rPr>
          <w:rFonts w:ascii="Arial" w:hAnsi="Arial" w:cs="Arial"/>
          <w:sz w:val="20"/>
          <w:szCs w:val="20"/>
          <w:vertAlign w:val="superscript"/>
        </w:rPr>
        <w:t xml:space="preserve">b </w:t>
      </w:r>
      <w:r w:rsidRPr="00FB554F">
        <w:rPr>
          <w:rFonts w:ascii="Arial" w:hAnsi="Arial" w:cs="Arial"/>
          <w:sz w:val="20"/>
          <w:szCs w:val="20"/>
        </w:rPr>
        <w:t>School of Aquatic and Fishery Sciences (SAFS), University of Washington, Box 355020, Seattle, WA 98195-5020, USA</w:t>
      </w:r>
    </w:p>
    <w:p w14:paraId="6BB6D967" w14:textId="77777777" w:rsidR="00FB554F" w:rsidRPr="00FB554F" w:rsidRDefault="00FB554F" w:rsidP="00FB554F">
      <w:pPr>
        <w:rPr>
          <w:rFonts w:ascii="Arial" w:hAnsi="Arial" w:cs="Arial"/>
          <w:sz w:val="20"/>
          <w:szCs w:val="20"/>
        </w:rPr>
      </w:pPr>
      <w:r w:rsidRPr="00FB554F">
        <w:rPr>
          <w:rFonts w:ascii="Arial" w:hAnsi="Arial" w:cs="Arial"/>
          <w:sz w:val="20"/>
          <w:szCs w:val="20"/>
          <w:vertAlign w:val="superscript"/>
        </w:rPr>
        <w:t xml:space="preserve">c </w:t>
      </w:r>
      <w:r w:rsidRPr="00FB554F">
        <w:rPr>
          <w:rFonts w:ascii="Arial" w:hAnsi="Arial" w:cs="Arial"/>
          <w:sz w:val="20"/>
          <w:szCs w:val="20"/>
        </w:rPr>
        <w:t xml:space="preserve">Swedish University of Agricultural Sciences, Department of Aquatic Resources, </w:t>
      </w:r>
      <w:proofErr w:type="spellStart"/>
      <w:r w:rsidRPr="00FB554F">
        <w:rPr>
          <w:rFonts w:ascii="Arial" w:hAnsi="Arial" w:cs="Arial"/>
          <w:sz w:val="20"/>
          <w:szCs w:val="20"/>
        </w:rPr>
        <w:t>Skolgatan</w:t>
      </w:r>
      <w:proofErr w:type="spellEnd"/>
      <w:r w:rsidRPr="00FB554F">
        <w:rPr>
          <w:rFonts w:ascii="Arial" w:hAnsi="Arial" w:cs="Arial"/>
          <w:sz w:val="20"/>
          <w:szCs w:val="20"/>
        </w:rPr>
        <w:t xml:space="preserve"> 6, SE-742 42 </w:t>
      </w:r>
      <w:proofErr w:type="spellStart"/>
      <w:r w:rsidRPr="00FB554F">
        <w:rPr>
          <w:rFonts w:ascii="Arial" w:hAnsi="Arial" w:cs="Arial"/>
          <w:sz w:val="20"/>
          <w:szCs w:val="20"/>
        </w:rPr>
        <w:t>Öregrund</w:t>
      </w:r>
      <w:proofErr w:type="spellEnd"/>
      <w:r w:rsidRPr="00FB554F">
        <w:rPr>
          <w:rFonts w:ascii="Arial" w:hAnsi="Arial" w:cs="Arial"/>
          <w:sz w:val="20"/>
          <w:szCs w:val="20"/>
        </w:rPr>
        <w:t xml:space="preserve">, Sweden </w:t>
      </w:r>
    </w:p>
    <w:p w14:paraId="20DFDABE" w14:textId="1A5755A4" w:rsidR="00E6133D" w:rsidRPr="00F908FD" w:rsidRDefault="00E6133D" w:rsidP="00E6133D">
      <w:pPr>
        <w:rPr>
          <w:rFonts w:ascii="Arial" w:hAnsi="Arial" w:cs="Arial"/>
          <w:sz w:val="20"/>
          <w:szCs w:val="20"/>
        </w:rPr>
      </w:pPr>
      <w:r w:rsidRPr="00E6133D">
        <w:rPr>
          <w:rFonts w:ascii="Arial" w:hAnsi="Arial" w:cs="Arial"/>
          <w:sz w:val="20"/>
          <w:szCs w:val="20"/>
        </w:rPr>
        <w:t>*</w:t>
      </w:r>
      <w:r w:rsidR="00DF4752" w:rsidRPr="00DF4752">
        <w:rPr>
          <w:rFonts w:ascii="Times New Roman" w:hAnsi="Times New Roman" w:cstheme="minorHAnsi"/>
          <w:sz w:val="24"/>
          <w:szCs w:val="24"/>
        </w:rPr>
        <w:t xml:space="preserve"> </w:t>
      </w:r>
      <w:r w:rsidR="00DF4752" w:rsidRPr="00DF4752">
        <w:rPr>
          <w:rFonts w:ascii="Arial" w:hAnsi="Arial" w:cs="Arial"/>
          <w:sz w:val="20"/>
          <w:szCs w:val="20"/>
        </w:rPr>
        <w:t>Max Lindmark, Swedish University of Agricultural Sciences, Department of Aquatic Resources, In</w:t>
      </w:r>
      <w:r w:rsidR="00DF4752" w:rsidRPr="00F908FD">
        <w:rPr>
          <w:rFonts w:ascii="Arial" w:hAnsi="Arial" w:cs="Arial"/>
          <w:sz w:val="20"/>
          <w:szCs w:val="20"/>
        </w:rPr>
        <w:t xml:space="preserve">stitute of Marine Research, </w:t>
      </w:r>
      <w:proofErr w:type="spellStart"/>
      <w:r w:rsidR="00DF4752" w:rsidRPr="00F908FD">
        <w:rPr>
          <w:rFonts w:ascii="Arial" w:hAnsi="Arial" w:cs="Arial"/>
          <w:sz w:val="20"/>
          <w:szCs w:val="20"/>
        </w:rPr>
        <w:t>Turistgatan</w:t>
      </w:r>
      <w:proofErr w:type="spellEnd"/>
      <w:r w:rsidR="00DF4752" w:rsidRPr="00F908FD">
        <w:rPr>
          <w:rFonts w:ascii="Arial" w:hAnsi="Arial" w:cs="Arial"/>
          <w:sz w:val="20"/>
          <w:szCs w:val="20"/>
        </w:rPr>
        <w:t xml:space="preserve"> 5, </w:t>
      </w:r>
      <w:proofErr w:type="spellStart"/>
      <w:r w:rsidR="00DF4752" w:rsidRPr="00F908FD">
        <w:rPr>
          <w:rFonts w:ascii="Arial" w:hAnsi="Arial" w:cs="Arial"/>
          <w:sz w:val="20"/>
          <w:szCs w:val="20"/>
        </w:rPr>
        <w:t>Lysekil</w:t>
      </w:r>
      <w:proofErr w:type="spellEnd"/>
      <w:r w:rsidR="00DF4752" w:rsidRPr="00F908FD">
        <w:rPr>
          <w:rFonts w:ascii="Arial" w:hAnsi="Arial" w:cs="Arial"/>
          <w:sz w:val="20"/>
          <w:szCs w:val="20"/>
        </w:rPr>
        <w:t xml:space="preserve"> 453 30, Sweden, Tel.: +46(0)104784137</w:t>
      </w:r>
    </w:p>
    <w:p w14:paraId="46D7756D" w14:textId="692846FD" w:rsidR="00E6133D" w:rsidRPr="00F908FD" w:rsidRDefault="00E6133D" w:rsidP="00E6133D">
      <w:pPr>
        <w:rPr>
          <w:rFonts w:ascii="Arial" w:hAnsi="Arial" w:cs="Arial"/>
          <w:sz w:val="20"/>
          <w:szCs w:val="20"/>
        </w:rPr>
      </w:pPr>
      <w:r w:rsidRPr="00F908FD">
        <w:rPr>
          <w:rFonts w:ascii="Arial" w:hAnsi="Arial" w:cs="Arial"/>
          <w:b/>
          <w:sz w:val="20"/>
          <w:szCs w:val="20"/>
        </w:rPr>
        <w:t xml:space="preserve">Email: </w:t>
      </w:r>
      <w:hyperlink r:id="rId9" w:history="1">
        <w:r w:rsidR="00DF4752" w:rsidRPr="00F908FD">
          <w:rPr>
            <w:rStyle w:val="Hyperlink"/>
            <w:rFonts w:ascii="Arial" w:hAnsi="Arial" w:cs="Arial"/>
            <w:sz w:val="20"/>
            <w:szCs w:val="20"/>
          </w:rPr>
          <w:t>max.lindmark@slu.se</w:t>
        </w:r>
      </w:hyperlink>
    </w:p>
    <w:p w14:paraId="1A4002EE" w14:textId="141BB5AB"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406567" w:rsidRPr="00406567">
        <w:rPr>
          <w:rFonts w:ascii="Arial" w:hAnsi="Arial" w:cs="Arial"/>
          <w:sz w:val="20"/>
          <w:szCs w:val="20"/>
        </w:rPr>
        <w:t>ML conceived the study; ML, JO, AG designed research; ML performed research with input from JO and AG; ML, JO, AG wrote the paper and contributed to revisions of the manuscript.</w:t>
      </w:r>
    </w:p>
    <w:p w14:paraId="2B866AC1" w14:textId="7FF399CB" w:rsidR="00D7648D" w:rsidRPr="00D7648D" w:rsidRDefault="00BD6D93" w:rsidP="00D7648D">
      <w:pPr>
        <w:rPr>
          <w:rFonts w:ascii="Arial" w:hAnsi="Arial" w:cs="Arial"/>
          <w:color w:val="0000FF" w:themeColor="hyperlink"/>
          <w:sz w:val="20"/>
          <w:szCs w:val="20"/>
          <w:u w:val="single"/>
          <w:lang w:val="en-SE"/>
        </w:rPr>
      </w:pPr>
      <w:r>
        <w:rPr>
          <w:rFonts w:ascii="Arial" w:hAnsi="Arial" w:cs="Arial"/>
          <w:b/>
          <w:sz w:val="20"/>
          <w:szCs w:val="20"/>
        </w:rPr>
        <w:t>Preprint Servers:</w:t>
      </w:r>
      <w:r w:rsidR="004C04AD" w:rsidRPr="004C04AD">
        <w:rPr>
          <w:rFonts w:ascii="Arial" w:hAnsi="Arial" w:cs="Arial"/>
          <w:bCs/>
          <w:sz w:val="20"/>
          <w:szCs w:val="20"/>
        </w:rPr>
        <w:t xml:space="preserve"> </w:t>
      </w:r>
      <w:proofErr w:type="spellStart"/>
      <w:r w:rsidR="004C04AD" w:rsidRPr="004C04AD">
        <w:rPr>
          <w:rFonts w:ascii="Arial" w:hAnsi="Arial" w:cs="Arial"/>
          <w:bCs/>
          <w:sz w:val="20"/>
          <w:szCs w:val="20"/>
        </w:rPr>
        <w:t>bioRxiv</w:t>
      </w:r>
      <w:proofErr w:type="spellEnd"/>
      <w:r w:rsidR="004C04AD">
        <w:rPr>
          <w:rFonts w:ascii="Arial" w:hAnsi="Arial" w:cs="Arial"/>
          <w:bCs/>
          <w:sz w:val="20"/>
          <w:szCs w:val="20"/>
        </w:rPr>
        <w:t>:</w:t>
      </w:r>
      <w:r>
        <w:rPr>
          <w:rFonts w:ascii="Arial" w:hAnsi="Arial" w:cs="Arial"/>
          <w:b/>
          <w:sz w:val="20"/>
          <w:szCs w:val="20"/>
        </w:rPr>
        <w:t xml:space="preserve"> </w:t>
      </w:r>
      <w:r w:rsidR="00160E89" w:rsidRPr="00160E89">
        <w:rPr>
          <w:rFonts w:ascii="Arial" w:hAnsi="Arial" w:cs="Arial"/>
          <w:color w:val="0000FF" w:themeColor="hyperlink"/>
          <w:sz w:val="20"/>
          <w:szCs w:val="20"/>
          <w:u w:val="single"/>
          <w:lang w:val="en-SE"/>
        </w:rPr>
        <w:t>https://www.biorxiv.org/content/10.1101/2021.01.21.427580v1</w:t>
      </w:r>
    </w:p>
    <w:p w14:paraId="7A5DDA98" w14:textId="3CDBA153"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A90646">
        <w:rPr>
          <w:rFonts w:ascii="Arial" w:hAnsi="Arial" w:cs="Arial"/>
          <w:sz w:val="20"/>
          <w:szCs w:val="20"/>
        </w:rPr>
        <w:t>N</w:t>
      </w:r>
      <w:r w:rsidR="004D1BC3">
        <w:rPr>
          <w:rFonts w:ascii="Arial" w:hAnsi="Arial" w:cs="Arial"/>
          <w:sz w:val="20"/>
          <w:szCs w:val="20"/>
        </w:rPr>
        <w:t>o</w:t>
      </w:r>
    </w:p>
    <w:p w14:paraId="61606AE0" w14:textId="125F923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1819A5" w:rsidRPr="001819A5">
        <w:rPr>
          <w:rFonts w:ascii="Arial" w:hAnsi="Arial" w:cs="Arial"/>
          <w:sz w:val="20"/>
          <w:szCs w:val="20"/>
        </w:rPr>
        <w:t>BIOLOGICAL SCIENCES, Ecology</w:t>
      </w:r>
    </w:p>
    <w:p w14:paraId="18812061" w14:textId="45782F06"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D05A92" w:rsidRPr="00D05A92">
        <w:rPr>
          <w:rFonts w:ascii="Arial" w:hAnsi="Arial" w:cs="Arial"/>
          <w:sz w:val="20"/>
          <w:szCs w:val="20"/>
        </w:rPr>
        <w:t>body growth, metabolic rate, consumption rate, temperature-size rule, metabolic theory of ecology</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9FF5C3B"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70542">
        <w:rPr>
          <w:rFonts w:ascii="Arial" w:hAnsi="Arial" w:cs="Arial"/>
          <w:sz w:val="20"/>
          <w:szCs w:val="20"/>
        </w:rPr>
        <w:t>4</w:t>
      </w:r>
    </w:p>
    <w:p w14:paraId="1022AED8"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p>
    <w:p w14:paraId="38191477" w14:textId="6E59DB65" w:rsidR="00AB0A2A" w:rsidRPr="00AB0A2A" w:rsidRDefault="00AB0A2A" w:rsidP="00AB0A2A">
      <w:pPr>
        <w:keepNext/>
        <w:pBdr>
          <w:top w:val="nil"/>
          <w:left w:val="nil"/>
          <w:bottom w:val="nil"/>
          <w:right w:val="nil"/>
          <w:between w:val="nil"/>
        </w:pBdr>
        <w:spacing w:before="240" w:after="60"/>
        <w:rPr>
          <w:rFonts w:ascii="Arial" w:hAnsi="Arial" w:cs="Arial"/>
          <w:color w:val="000000"/>
          <w:sz w:val="20"/>
          <w:szCs w:val="20"/>
        </w:rPr>
      </w:pPr>
      <w:r w:rsidRPr="00AB0A2A">
        <w:rPr>
          <w:rFonts w:ascii="Arial" w:hAnsi="Arial" w:cs="Arial"/>
          <w:color w:val="000000"/>
          <w:sz w:val="20"/>
          <w:szCs w:val="20"/>
        </w:rPr>
        <w: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growth and size structure of aquatic ectotherms.</w:t>
      </w:r>
    </w:p>
    <w:p w14:paraId="45398465"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308AA3E9" w14:textId="77777777" w:rsidR="008D124A" w:rsidRPr="008D124A" w:rsidRDefault="008D124A" w:rsidP="008D124A">
      <w:pPr>
        <w:keepNext/>
        <w:pBdr>
          <w:top w:val="nil"/>
          <w:left w:val="nil"/>
          <w:bottom w:val="nil"/>
          <w:right w:val="nil"/>
          <w:between w:val="nil"/>
        </w:pBdr>
        <w:spacing w:before="240" w:after="60"/>
        <w:rPr>
          <w:rFonts w:ascii="Arial" w:hAnsi="Arial" w:cs="Arial"/>
          <w:color w:val="000000"/>
          <w:sz w:val="20"/>
          <w:szCs w:val="20"/>
        </w:rPr>
      </w:pPr>
      <w:r w:rsidRPr="008D124A">
        <w:rPr>
          <w:rFonts w:ascii="Arial" w:hAnsi="Arial" w:cs="Arial"/>
          <w:color w:val="000000"/>
          <w:sz w:val="20"/>
          <w:szCs w:val="20"/>
        </w:rPr>
        <w:t>Predicting organism responses to a warming climate</w:t>
      </w:r>
      <w:r w:rsidRPr="008D124A" w:rsidDel="00091D21">
        <w:rPr>
          <w:rFonts w:ascii="Arial" w:hAnsi="Arial" w:cs="Arial"/>
          <w:color w:val="000000"/>
          <w:sz w:val="20"/>
          <w:szCs w:val="20"/>
        </w:rPr>
        <w:t xml:space="preserve"> </w:t>
      </w:r>
      <w:r w:rsidRPr="008D124A">
        <w:rPr>
          <w:rFonts w:ascii="Arial" w:hAnsi="Arial" w:cs="Arial"/>
          <w:color w:val="000000"/>
          <w:sz w:val="20"/>
          <w:szCs w:val="20"/>
        </w:rPr>
        <w:t>requires understanding how physiological processes such as feeding, metabolism, and growth depend on body size and temperature. Common growth models predict declining optimum growth temperatures with body size if energetic costs (metabolism) increase faster than gains (feeding) with body size. However, the generality of these features has not been evaluated at the within-species level. By collating data on fish through a systematic literature review, we find support for both declining net energy gain and declining optimum growth temperatures with body size. This implies large individuals within populations may be the first to suffer poor growth due to warming, with consequences for fisheries yield and food web structure in warmer climates.</w:t>
      </w:r>
    </w:p>
    <w:p w14:paraId="2A72CFB6" w14:textId="30DEBC0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3AADDA38" w14:textId="4677A20C" w:rsidR="00203D30" w:rsidRPr="00203D30" w:rsidRDefault="00203D30" w:rsidP="00203D30">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Individual body growth is a fundamental process powered by metabolism, and thus depends on body size and temperature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iuhid3u3f","properties":{"formattedCitation":"(1)","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(1)</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It affects individual fitness and life history traits, such as maturation size, population growth rates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hNb1pqTJ","properties":{"formattedCitation":"(2)","plainCitation":"(2)","noteIndex":0},"citationItems":[{"id":"YiXZEqqf/YKfIOhUu","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ultimately energy transfer across trophic levels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{"citationID":"7z2MSq6f","properties":{"formattedCitation":"(3, 4)","plainCitation":"(3, 4)","noteIndex":0},"citationItems":[{"id":821,"uris":["http://zotero.org/users/6116610/items/QMRZW56H"],"uri":["http://zotero.org/users/6116610/items/QMRZW56H"],"itemData":{"id":821,"type":"article-journal","container-title":"Proceedings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iXZEqqf/LwMY8r2g","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(3, 4)</w:t>
      </w:r>
      <w:r w:rsidRPr="00203D30">
        <w:rPr>
          <w:rFonts w:ascii="Arial" w:hAnsi="Arial" w:cs="Arial"/>
          <w:color w:val="000000"/>
          <w:sz w:val="20"/>
          <w:szCs w:val="20"/>
        </w:rPr>
        <w:fldChar w:fldCharType="end"/>
      </w:r>
      <w:r w:rsidRPr="00203D30">
        <w:rPr>
          <w:rFonts w:ascii="Arial" w:hAnsi="Arial" w:cs="Arial"/>
          <w:color w:val="000000"/>
          <w:sz w:val="20"/>
          <w:szCs w:val="20"/>
        </w:rPr>
        <w:t>. Therefore, understanding how growth scales with body size and temperature is important for predicting the impacts of global warming on the structure and functioning of ecosystems.</w:t>
      </w:r>
    </w:p>
    <w:p w14:paraId="7F00D4F1" w14:textId="77777777" w:rsidR="000203EB" w:rsidRDefault="000203EB" w:rsidP="000203EB">
      <w:pPr>
        <w:keepNext/>
        <w:pBdr>
          <w:top w:val="nil"/>
          <w:left w:val="nil"/>
          <w:bottom w:val="nil"/>
          <w:right w:val="nil"/>
          <w:between w:val="nil"/>
        </w:pBdr>
        <w:spacing w:before="240" w:after="60"/>
        <w:contextualSpacing/>
        <w:rPr>
          <w:rFonts w:ascii="Arial" w:hAnsi="Arial" w:cs="Arial"/>
          <w:color w:val="000000"/>
          <w:sz w:val="20"/>
          <w:szCs w:val="20"/>
        </w:rPr>
      </w:pPr>
    </w:p>
    <w:p w14:paraId="3A9964CB" w14:textId="797DB734" w:rsidR="00203D30" w:rsidRPr="00203D30" w:rsidRDefault="00203D30" w:rsidP="000203EB">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Global warming is predicted to lead to declining body sizes of organisms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{"citationID":"AtK57ZpM","properties":{"formattedCitation":"(5, 6)","plainCitation":"(5, 6)","noteIndex":0},"citationItems":[{"id":535,"uris":["http://zotero.org/users/6116610/items/BYIQJ2UA"],"uri":["http://zotero.org/users/6116610/items/BYIQJ2UA"],"itemData":{"id":535,"type":"article-journal","abstract":"Understanding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(5, 6)</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The temperature size-rule (‘TSR’) states that warmer rearing temperatures lead to faster developmental times (and larger initial size-at-age or size-at-life-stage), but smaller adult body sizes in ectotherms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{"citationID":"a1scho2gss1","properties":{"formattedCitation":"(7, 8)","plainCitation":"(7, 8)","noteIndex":0},"citationItems":[{"id":860,"uris":["http://zotero.org/users/6116610/items/RAL83LAC"],"uri":["http://zotero.org/users/6116610/items/RAL83LAC"],"itemData":{"id":860,"type":"chapter","container-title":"Advances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(7, 8)</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This relationship is found in numerous experimental studies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j5l3flk6h","properties":{"formattedCitation":"(7)","plainCitation":"(7)","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(7)</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is reflected in latitudinal gradients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ustyVCi6","properties":{"formattedCitation":"(9)","plainCitation":"(9)","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(9)</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is stronger in aquatic than terrestrial organisms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{"citationID":"a1c0ek54g04","properties":{"formattedCitation":"(9, 10)","plainCitation":"(9, 10)","noteIndex":0},"citationItems":[{"id":942,"uris":["http://zotero.org/users/6116610/items/AZTYYBDD"],"uri":["http://zotero.org/users/6116610/items/AZTYYBDD"],"itemData":{"id":942,"type":"article-journal","abstract":"Most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(9, 10)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Support for the TSR exists in fishes, in particular in young fish, where reconstructed individual growth histories often reveal positive correlations between growth rates and temperature in natural systems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ddgmn6hn","properties":{"formattedCitation":"(11\\uc0\\u8211{}14)","plainCitation":"(11–14)","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(11–14)</w:t>
      </w:r>
      <w:r w:rsidRPr="00203D30">
        <w:rPr>
          <w:rFonts w:ascii="Arial" w:hAnsi="Arial" w:cs="Arial"/>
          <w:color w:val="000000"/>
          <w:sz w:val="20"/>
          <w:szCs w:val="20"/>
        </w:rPr>
        <w:fldChar w:fldCharType="end"/>
      </w:r>
      <w:r w:rsidRPr="00203D30">
        <w:rPr>
          <w:rFonts w:ascii="Arial" w:hAnsi="Arial" w:cs="Arial"/>
          <w:color w:val="000000"/>
          <w:sz w:val="20"/>
          <w:szCs w:val="20"/>
          <w:lang w:val="sv-SE"/>
        </w:rPr>
        <w:t xml:space="preserve">. </w:t>
      </w:r>
      <w:r w:rsidRPr="00203D30">
        <w:rPr>
          <w:rFonts w:ascii="Arial" w:hAnsi="Arial" w:cs="Arial"/>
          <w:color w:val="000000"/>
          <w:sz w:val="20"/>
          <w:szCs w:val="20"/>
        </w:rPr>
        <w:t xml:space="preserve">However, whether the positive effect of warming on growth is indeed limited to small individuals within a species, as predicted by the temperature size-rule, is less clear. Negative correlations between maximum size, asymptotic size or size-at-age of old fish and temperature have been found in commercially exploited fish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{"citationID":"EeHrKXza","properties":{"formattedCitation":"(13, 15, 16)","plainCitation":"(13, 15, 16)","noteIndex":0},"citationItems":[{"id":2504,"uris":["http://zotero.org/users/6116610/items/6SNS68MD"],"uri":["http://zotero.org/users/6116610/items/6SNS68MD"],"itemData":{"id":2504,"type":"article-journal","abstract":"Increasing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sv-SE"/>
        </w:rPr>
        <w:t>(13, 15, 16)</w:t>
      </w:r>
      <w:r w:rsidRPr="00203D30">
        <w:rPr>
          <w:rFonts w:ascii="Arial" w:hAnsi="Arial" w:cs="Arial"/>
          <w:color w:val="000000"/>
          <w:sz w:val="20"/>
          <w:szCs w:val="20"/>
        </w:rPr>
        <w:fldChar w:fldCharType="end"/>
      </w:r>
      <w:r w:rsidRPr="00203D30">
        <w:rPr>
          <w:rFonts w:ascii="Arial" w:hAnsi="Arial" w:cs="Arial"/>
          <w:color w:val="000000"/>
          <w:sz w:val="20"/>
          <w:szCs w:val="20"/>
          <w:lang w:val="sv-SE"/>
        </w:rPr>
        <w:t xml:space="preserve">. </w:t>
      </w:r>
      <w:r w:rsidRPr="00203D30">
        <w:rPr>
          <w:rFonts w:ascii="Arial" w:hAnsi="Arial" w:cs="Arial"/>
          <w:color w:val="000000"/>
          <w:sz w:val="20"/>
          <w:szCs w:val="20"/>
        </w:rPr>
        <w:t xml:space="preserve">However, other studies, including large scale experiments, controlled experiments and latitudinal studies or observational data on unexploited species, have failed to find negative relationships between maximum size, growth of old fish or </w:t>
      </w:r>
      <w:r w:rsidRPr="00203D30">
        <w:rPr>
          <w:rFonts w:ascii="Arial" w:hAnsi="Arial" w:cs="Arial"/>
          <w:color w:val="000000"/>
          <w:sz w:val="20"/>
          <w:szCs w:val="20"/>
        </w:rPr>
        <w:lastRenderedPageBreak/>
        <w:t xml:space="preserve">mean size and temperature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{"citationID":"MXEDix4O","properties":{"formattedCitation":"(14, 17\\uc0\\u8211{}20)","plainCitation":"(14, 17–20)","noteIndex":0},"citationItems":[{"id":819,"uris":["http://zotero.org/users/6116610/items/Y392ZER2"],"uri":["http://zotero.org/users/6116610/items/Y392ZER2"],"itemData":{"id":819,"type":"article-journal","container-title":"Functional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(14, 17–20)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differences between species may be related to life history traits and depend on local environmental conditions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{"citationID":"a1lcv8c2mco","properties":{"formattedCitation":"(20, 21)","plainCitation":"(20, 21)","noteIndex":0},"citationItems":[{"id":2333,"uris":["http://zotero.org/users/6116610/items/UJ46S5D7"],"uri":["http://zotero.org/users/6116610/items/UJ46S5D7"],"itemData":{"id":2333,"type":"article-journal","abstract":"Aim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(20, 21)</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w:t>
      </w:r>
    </w:p>
    <w:p w14:paraId="1CE50D32" w14:textId="77777777" w:rsidR="009E77FF" w:rsidRDefault="009E77FF" w:rsidP="00203D30">
      <w:pPr>
        <w:keepNext/>
        <w:pBdr>
          <w:top w:val="nil"/>
          <w:left w:val="nil"/>
          <w:bottom w:val="nil"/>
          <w:right w:val="nil"/>
          <w:between w:val="nil"/>
        </w:pBdr>
        <w:spacing w:before="240" w:after="60"/>
        <w:contextualSpacing/>
        <w:rPr>
          <w:rFonts w:ascii="Arial" w:hAnsi="Arial" w:cs="Arial"/>
          <w:color w:val="000000"/>
          <w:sz w:val="20"/>
          <w:szCs w:val="20"/>
        </w:rPr>
      </w:pPr>
    </w:p>
    <w:p w14:paraId="29BCA068" w14:textId="7A4DAC38" w:rsidR="00203D30" w:rsidRPr="00203D30" w:rsidRDefault="00203D30" w:rsidP="00203D30">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While the support for TSR is mixed, and the underlying mechanisms are not well understood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{"citationID":"Q6C728q6","properties":{"formattedCitation":"(8, 22, 23)","plainCitation":"(8, 22, 23)","noteIndex":0},"citationItems":[{"id":807,"uris":["http://zotero.org/users/6116610/items/Z98IGZ3S"],"uri":["http://zotero.org/users/6116610/items/Z98IGZ3S"],"itemData":{"id":807,"type":"article-journal","abstract":"Accumulating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en-GB"/>
        </w:rPr>
        <w:t>(8, 22, 23)</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theoretical growth models, such as Pütter growth models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ec33dmjl4","properties":{"formattedCitation":"(24)","plainCitation":"(24)","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including the von Bertalanffy growth model (VBGM)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p79l52h45","properties":{"formattedCitation":"(25)","plainCitation":"(25)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(25)</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commonly predict declines in asymptotic body mass with temperature and declines in optimum growth temperature with body mass, in line with the TSR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CaB8paFe","properties":{"formattedCitation":"(26\\uc0\\u8211{}28)","plainCitation":"(26–28)","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(26–28)</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Yet, the physiological basis of these models has been questioned, as the commonly applied scaling parameters (mass exponents) tend to differ from empirical estimates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{"citationID":"lIXKc2Mm","properties":{"formattedCitation":"(29, 30)","plainCitation":"(29, 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en-GB"/>
        </w:rPr>
        <w:t>(29, 30)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qpecugma4","properties":{"formattedCitation":"(31\\uc0\\u8211{}34)","plainCitation":"(31–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(31–34)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{"citationID":"ftCheSWv","properties":{"formattedCitation":"(32, 35)","plainCitation":"(32, 35)","noteIndex":0},"citationItems":[{"id":177,"uris":["http://zotero.org/users/6116610/items/4RNEVDMA"],"uri":["http://zotero.org/users/6116610/items/4RNEVDMA"],"itemData":{"id":177,"type":"article-journal","container-title":"Journal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lang w:val="en-GB"/>
        </w:rPr>
        <w:t>(32, 35)</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including physiologically structured population models (PSPMs)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YD2Z7X2y","properties":{"formattedCitation":"(36)","plainCitation":"(36)","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(36)</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size-spectrum models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CXHy4Ayv","properties":{"formattedCitation":"(37\\uc0\\u8211{}39)","plainCitation":"(37–39)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(37–39)</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D931EF4" w14:textId="77777777" w:rsidR="00E5699D" w:rsidRDefault="00E5699D" w:rsidP="00203D30">
      <w:pPr>
        <w:keepNext/>
        <w:pBdr>
          <w:top w:val="nil"/>
          <w:left w:val="nil"/>
          <w:bottom w:val="nil"/>
          <w:right w:val="nil"/>
          <w:between w:val="nil"/>
        </w:pBdr>
        <w:spacing w:before="240" w:after="60"/>
        <w:contextualSpacing/>
        <w:rPr>
          <w:rFonts w:ascii="Arial" w:hAnsi="Arial" w:cs="Arial"/>
          <w:color w:val="000000"/>
          <w:sz w:val="20"/>
          <w:szCs w:val="20"/>
        </w:rPr>
      </w:pPr>
    </w:p>
    <w:p w14:paraId="44627565" w14:textId="515C252B" w:rsidR="00203D30" w:rsidRPr="00203D30" w:rsidRDefault="00203D30" w:rsidP="00203D30">
      <w:pPr>
        <w:keepNext/>
        <w:pBdr>
          <w:top w:val="nil"/>
          <w:left w:val="nil"/>
          <w:bottom w:val="nil"/>
          <w:right w:val="nil"/>
          <w:between w:val="nil"/>
        </w:pBdr>
        <w:spacing w:before="240" w:after="60"/>
        <w:contextualSpacing/>
        <w:rPr>
          <w:rFonts w:ascii="Arial" w:hAnsi="Arial" w:cs="Arial"/>
          <w:color w:val="000000"/>
          <w:sz w:val="20"/>
          <w:szCs w:val="20"/>
        </w:rPr>
      </w:pPr>
      <w:r w:rsidRPr="00203D30">
        <w:rPr>
          <w:rFonts w:ascii="Arial" w:hAnsi="Arial" w:cs="Arial"/>
          <w:color w:val="000000"/>
          <w:sz w:val="20"/>
          <w:szCs w:val="20"/>
        </w:rPr>
        <w:t xml:space="preserve">Moreover, the effect of body mass and temperature on growth dynamics should be evaluated over ontogeny at the intraspecific level (within species), which better represents the underlying process than interspecific data (among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sUn4ve09","properties":{"formattedCitation":"(30)","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For instance, we do not expect an interspecific relationship between optimum growth temperature and body mass, but within species it may have a large effect on growth dynamics. Despite this, intraspecific body mass and temperature scaling is often inferred from interspecific data, and we know surprisingly little about average relationship between consumption and metabolic exponents within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KJBOnxtm","properties":{"formattedCitation":"(30)","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(30)</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Importantly, how physiological rates depend on mass and temperature within species can differ from the same relationships across species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k6r101b8m","properties":{"formattedCitation":"(40\\uc0\\u8211{}42)","plainCitation":"(40–42)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(40–42)</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Across species, rates are often assumed and found to scale as power functions of mass with exponents of 3/4 for whole organism rates (-1/4 for mass-specific rates), exponentially with temperature, and with independent mass and temperature effects (e.g., in the Arrhenius fractal supply model (AFS) applied in the metabolic theory of ecology, MTE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{"citationID":"a2hoh6khnhp","properties":{"formattedCitation":"(1, 43, 44)","plainCitation":"(1, 43, 44)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(1, 43, 44)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In contrast, within species deviations from a general 3/4 mass exponent are common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{"citationID":"08XsdlXm","properties":{"formattedCitation":"(42, 45, 46)","plainCitation":"(42, 45, 46)","noteIndex":0},"citationItems":[{"id":486,"uris":["http://zotero.org/users/6116610/items/6S42PU4A"],"uri":["http://zotero.org/users/6116610/items/6S42PU4A"],"itemData":{"id":486,"type":"article-journal","container-title":"Journal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(42, 45, 46)</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rates are typically unimodal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{"citationID":"a1h34ogh0jf","properties":{"formattedCitation":"(41, 47\\uc0\\u8211{}49)","plainCitation":"(41, 47–49)","noteIndex":0},"citationItems":[{"id":998,"uris":["http://zotero.org/users/6116610/items/BWZZIL6R"],"uri":["http://zotero.org/users/6116610/items/BWZZIL6R"],"itemData":{"id":998,"type":"article-journal","container-title":"Proceedings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(41, 47–49)</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and the effects of mass and temperature can be interactive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{"citationID":"a2ds6oeno86","properties":{"formattedCitation":"(40, 50\\uc0\\u8211{}53)","plainCitation":"(40, 50–53)","noteIndex":0},"citationItems":[{"id":456,"uris":["http://zotero.org/users/6116610/items/PPCB4FWS"],"uri":["http://zotero.org/users/6116610/items/PPCB4FWS"],"itemData":{"id":456,"type":"article-journal","container-title":"Physiological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203D30">
        <w:rPr>
          <w:rFonts w:ascii="Arial" w:hAnsi="Arial" w:cs="Arial"/>
          <w:color w:val="000000"/>
          <w:sz w:val="20"/>
          <w:szCs w:val="20"/>
        </w:rPr>
        <w:fldChar w:fldCharType="separate"/>
      </w:r>
      <w:r w:rsidR="00492802" w:rsidRPr="00492802">
        <w:rPr>
          <w:rFonts w:ascii="Arial" w:hAnsi="Arial" w:cs="Arial"/>
          <w:color w:val="000000"/>
          <w:sz w:val="20"/>
          <w:lang w:val="en-GB"/>
        </w:rPr>
        <w:t>(40, 50–53)</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(but see </w:t>
      </w:r>
      <w:proofErr w:type="spellStart"/>
      <w:r w:rsidRPr="00203D30">
        <w:rPr>
          <w:rFonts w:ascii="Arial" w:hAnsi="Arial" w:cs="Arial"/>
          <w:color w:val="000000"/>
          <w:sz w:val="20"/>
          <w:szCs w:val="20"/>
        </w:rPr>
        <w:t>Jerde</w:t>
      </w:r>
      <w:proofErr w:type="spellEnd"/>
      <w:r w:rsidRPr="00203D30">
        <w:rPr>
          <w:rFonts w:ascii="Arial" w:hAnsi="Arial" w:cs="Arial"/>
          <w:color w:val="000000"/>
          <w:sz w:val="20"/>
          <w:szCs w:val="20"/>
        </w:rPr>
        <w:t xml:space="preserve"> </w:t>
      </w:r>
      <w:r w:rsidRPr="00203D30">
        <w:rPr>
          <w:rFonts w:ascii="Arial" w:hAnsi="Arial" w:cs="Arial"/>
          <w:i/>
          <w:iCs/>
          <w:color w:val="000000"/>
          <w:sz w:val="20"/>
          <w:szCs w:val="20"/>
        </w:rPr>
        <w:t>et al</w:t>
      </w:r>
      <w:r w:rsidRPr="00203D30">
        <w:rPr>
          <w:rFonts w:ascii="Arial" w:hAnsi="Arial" w:cs="Arial"/>
          <w:color w:val="000000"/>
          <w:sz w:val="20"/>
          <w:szCs w:val="20"/>
        </w:rPr>
        <w:t xml:space="preserve">.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9rtddnkms","properties":{"formattedCitation":"(42)","plainCitation":"(42)","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(42)</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Alternative approaches that overcome these obstacles include fitting multiple regression models where coefficients for mass and temperature are estimated jointly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fdbvuik6j","properties":{"formattedCitation":"(44)","plainCitation":"(44)","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(44)</w:t>
      </w:r>
      <w:r w:rsidRPr="00203D30">
        <w:rPr>
          <w:rFonts w:ascii="Arial" w:hAnsi="Arial" w:cs="Arial"/>
          <w:color w:val="000000"/>
          <w:sz w:val="20"/>
          <w:szCs w:val="20"/>
        </w:rPr>
        <w:fldChar w:fldCharType="end"/>
      </w:r>
      <w:r w:rsidRPr="00203D30">
        <w:rPr>
          <w:rFonts w:ascii="Arial" w:hAnsi="Arial" w:cs="Arial"/>
          <w:color w:val="000000"/>
          <w:sz w:val="20"/>
          <w:szCs w:val="20"/>
        </w:rPr>
        <w:t xml:space="preserve">, as well as fitting non-linear or polynomial models that can capture the de-activation of biological rates at higher temperatures </w:t>
      </w:r>
      <w:r w:rsidRPr="00203D3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{"citationID":"aevhktmqu","properties":{"formattedCitation":"(47, 48, 54)","plainCitation":"(47, 48, 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203D30">
        <w:rPr>
          <w:rFonts w:ascii="Arial" w:hAnsi="Arial" w:cs="Arial"/>
          <w:color w:val="000000"/>
          <w:sz w:val="20"/>
          <w:szCs w:val="20"/>
        </w:rPr>
        <w:fldChar w:fldCharType="separate"/>
      </w:r>
      <w:r w:rsidR="00492802">
        <w:rPr>
          <w:rFonts w:ascii="Arial" w:hAnsi="Arial" w:cs="Arial"/>
          <w:color w:val="000000"/>
          <w:sz w:val="20"/>
          <w:szCs w:val="20"/>
        </w:rPr>
        <w:t>(47, 48, 54)</w:t>
      </w:r>
      <w:r w:rsidRPr="00203D30">
        <w:rPr>
          <w:rFonts w:ascii="Arial" w:hAnsi="Arial" w:cs="Arial"/>
          <w:color w:val="000000"/>
          <w:sz w:val="20"/>
          <w:szCs w:val="20"/>
        </w:rPr>
        <w:fldChar w:fldCharType="end"/>
      </w:r>
      <w:r w:rsidRPr="00203D30">
        <w:rPr>
          <w:rFonts w:ascii="Arial" w:hAnsi="Arial" w:cs="Arial"/>
          <w:color w:val="000000"/>
          <w:sz w:val="20"/>
          <w:szCs w:val="20"/>
        </w:rPr>
        <w:t>. This requires intraspecific data with variation in both mass and temperature.</w:t>
      </w:r>
    </w:p>
    <w:p w14:paraId="005D4147" w14:textId="77777777" w:rsidR="00AD368E" w:rsidRDefault="00AD368E" w:rsidP="00203D30">
      <w:pPr>
        <w:keepNext/>
        <w:pBdr>
          <w:top w:val="nil"/>
          <w:left w:val="nil"/>
          <w:bottom w:val="nil"/>
          <w:right w:val="nil"/>
          <w:between w:val="nil"/>
        </w:pBdr>
        <w:spacing w:before="240" w:after="60"/>
        <w:contextualSpacing/>
        <w:rPr>
          <w:rFonts w:ascii="Arial" w:hAnsi="Arial" w:cs="Arial"/>
          <w:bCs/>
          <w:color w:val="000000"/>
          <w:sz w:val="20"/>
          <w:szCs w:val="20"/>
        </w:rPr>
      </w:pPr>
    </w:p>
    <w:p w14:paraId="672C2236" w14:textId="19522B8B" w:rsidR="00980C22" w:rsidRDefault="00203D30" w:rsidP="00203D30">
      <w:pPr>
        <w:keepNext/>
        <w:pBdr>
          <w:top w:val="nil"/>
          <w:left w:val="nil"/>
          <w:bottom w:val="nil"/>
          <w:right w:val="nil"/>
          <w:between w:val="nil"/>
        </w:pBdr>
        <w:spacing w:before="240" w:after="60"/>
        <w:contextualSpacing/>
        <w:rPr>
          <w:rFonts w:ascii="Arial" w:hAnsi="Arial" w:cs="Arial"/>
          <w:b/>
          <w:color w:val="000000"/>
          <w:sz w:val="20"/>
          <w:szCs w:val="20"/>
        </w:rPr>
      </w:pPr>
      <w:r w:rsidRPr="00203D30">
        <w:rPr>
          <w:rFonts w:ascii="Arial" w:hAnsi="Arial" w:cs="Arial"/>
          <w:bCs/>
          <w:color w:val="000000"/>
          <w:sz w:val="20"/>
          <w:szCs w:val="20"/>
        </w:rPr>
        <w:t>In this</w:t>
      </w:r>
      <w:r w:rsidRPr="00203D30">
        <w:rPr>
          <w:rFonts w:ascii="Arial" w:hAnsi="Arial" w:cs="Arial"/>
          <w:color w:val="000000"/>
          <w:sz w:val="20"/>
          <w:szCs w:val="20"/>
        </w:rPr>
        <w:t xml:space="preserve"> study, we analyze how maximum consumption, metabolism and growth rate of fish scale intraspecifically with mass and temperature. We performed a systematic literature review by searching the Web of Science Core Collection to compile datasets on individual-level maximum consumption, metabolism and growth 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 and metabolism are used to quantify average changes in net energy gain (and hence, growth, assumed proportional to net energy gain) over temperature and body mass. Lastly, we compare our predicted changes in optimum growth temperature over body mass with an independent </w:t>
      </w:r>
      <w:r w:rsidRPr="00203D30">
        <w:rPr>
          <w:rFonts w:ascii="Arial" w:hAnsi="Arial" w:cs="Arial"/>
          <w:color w:val="000000"/>
          <w:sz w:val="20"/>
          <w:szCs w:val="20"/>
        </w:rPr>
        <w:lastRenderedPageBreak/>
        <w:t>experimental dataset on optimum growth temperatures across individuals of different sizes within species.</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35B4C4BA" w14:textId="0F934731" w:rsidR="00D13800" w:rsidRP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bCs/>
          <w:color w:val="000000"/>
          <w:sz w:val="20"/>
          <w:szCs w:val="20"/>
        </w:rPr>
        <w:t xml:space="preserve">We identified that </w:t>
      </w:r>
      <w:r w:rsidRPr="00D13800">
        <w:rPr>
          <w:rFonts w:ascii="Arial" w:hAnsi="Arial" w:cs="Arial"/>
          <w:color w:val="000000"/>
          <w:sz w:val="20"/>
          <w:szCs w:val="20"/>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Pütter-type growth models, that optimum growth temperature declines with body size (Fig. 3) </w:t>
      </w:r>
      <w:r w:rsidRPr="00D1380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h5g0u4ocv","properties":{"formattedCitation":"(26)","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D13800">
        <w:rPr>
          <w:rFonts w:ascii="Arial" w:hAnsi="Arial" w:cs="Arial"/>
          <w:color w:val="000000"/>
          <w:sz w:val="20"/>
          <w:szCs w:val="20"/>
        </w:rPr>
        <w:fldChar w:fldCharType="separate"/>
      </w:r>
      <w:r w:rsidR="00492802">
        <w:rPr>
          <w:rFonts w:ascii="Arial" w:hAnsi="Arial" w:cs="Arial"/>
          <w:color w:val="000000"/>
          <w:sz w:val="20"/>
          <w:szCs w:val="20"/>
        </w:rPr>
        <w:t>(26)</w:t>
      </w:r>
      <w:r w:rsidRPr="00D13800">
        <w:rPr>
          <w:rFonts w:ascii="Arial" w:hAnsi="Arial" w:cs="Arial"/>
          <w:color w:val="000000"/>
          <w:sz w:val="20"/>
          <w:szCs w:val="20"/>
        </w:rPr>
        <w:fldChar w:fldCharType="end"/>
      </w:r>
      <w:r w:rsidRPr="00D13800">
        <w:rPr>
          <w:rFonts w:ascii="Arial" w:hAnsi="Arial" w:cs="Arial"/>
          <w:color w:val="000000"/>
          <w:sz w:val="20"/>
          <w:szCs w:val="20"/>
        </w:rPr>
        <w:t>. The prediction of declining optimum</w:t>
      </w:r>
      <w:r w:rsidRPr="00D13800" w:rsidDel="007D714A">
        <w:rPr>
          <w:rFonts w:ascii="Arial" w:hAnsi="Arial" w:cs="Arial"/>
          <w:color w:val="000000"/>
          <w:sz w:val="20"/>
          <w:szCs w:val="20"/>
        </w:rPr>
        <w:t xml:space="preserve"> </w:t>
      </w:r>
      <w:r w:rsidRPr="00D13800">
        <w:rPr>
          <w:rFonts w:ascii="Arial" w:hAnsi="Arial" w:cs="Arial"/>
          <w:color w:val="000000"/>
          <w:sz w:val="20"/>
          <w:szCs w:val="20"/>
        </w:rPr>
        <w:t>growth temperatures with size was confirmed by our analysis of independent experimental growth rate data. We find that within species the optimum growth temperature declines with body size by 0.31</w:t>
      </w:r>
      <m:oMath>
        <m:r>
          <m:rPr>
            <m:sty m:val="p"/>
          </m:rPr>
          <w:rPr>
            <w:rFonts w:ascii="Cambria Math" w:hAnsi="Cambria Math" w:cs="Arial"/>
            <w:color w:val="000000"/>
            <w:sz w:val="20"/>
            <w:szCs w:val="20"/>
          </w:rPr>
          <m:t>℃</m:t>
        </m:r>
      </m:oMath>
      <w:r w:rsidRPr="00D13800">
        <w:rPr>
          <w:rFonts w:ascii="Arial" w:hAnsi="Arial" w:cs="Arial"/>
          <w:color w:val="000000"/>
          <w:sz w:val="20"/>
          <w:szCs w:val="20"/>
        </w:rPr>
        <w:t xml:space="preserve"> per unit increase in the natural log of relative body mass (Fig. 4). Below we present the underlying results in more detail. </w:t>
      </w:r>
    </w:p>
    <w:p w14:paraId="25CE734E" w14:textId="77777777" w:rsidR="002A7007" w:rsidRDefault="002A7007"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72EBD607" w14:textId="3AFD3FEA" w:rsid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We found that the average intraspecific mass exponent for mass-specific consumption rate is smaller (-0.38 [-0.46, -0.30</w:t>
      </w:r>
      <m:oMath>
        <m:r>
          <w:rPr>
            <w:rFonts w:ascii="Cambria Math" w:hAnsi="Cambria Math" w:cs="Arial"/>
            <w:color w:val="000000"/>
            <w:sz w:val="20"/>
            <w:szCs w:val="20"/>
          </w:rPr>
          <m:t>]</m:t>
        </m:r>
      </m:oMath>
      <w:r w:rsidRPr="00D13800">
        <w:rPr>
          <w:rFonts w:ascii="Arial" w:hAnsi="Arial" w:cs="Arial"/>
          <w:color w:val="000000"/>
          <w:sz w:val="20"/>
          <w:szCs w:val="20"/>
        </w:rPr>
        <w:t>) than that for metabolic rate (-0.21 [-0.26, -0.16]), based on the non-overlapping Bayesian 95% credible intervals (Fig. 1). It is also probable that the mass-specific scaling exponents differ from -1/4 (that is pre</w:t>
      </w:r>
      <w:proofErr w:type="spellStart"/>
      <w:r w:rsidRPr="00D13800">
        <w:rPr>
          <w:rFonts w:ascii="Arial" w:hAnsi="Arial" w:cs="Arial"/>
          <w:color w:val="000000"/>
          <w:sz w:val="20"/>
          <w:szCs w:val="20"/>
        </w:rPr>
        <w:t>dicted</w:t>
      </w:r>
      <w:proofErr w:type="spellEnd"/>
      <w:r w:rsidRPr="00D13800">
        <w:rPr>
          <w:rFonts w:ascii="Arial" w:hAnsi="Arial" w:cs="Arial"/>
          <w:color w:val="000000"/>
          <w:sz w:val="20"/>
          <w:szCs w:val="20"/>
        </w:rPr>
        <w:t xml:space="preserve"> by the MTE), because &gt; 99% of the posterior distribution of the mass exponent of maximum consumption is below -1/4, and 95% of the posterior distribution of the mass exponent of metabolic rate is above -1/4. Activation energies of maximum consumption rate and metabolism are both similar (0.69 [0.54, 0.85] and 0.62 [0.57, 0.67] respectively; Fig. 1) and largely fall within the prediction from the MTE (0.6-0.7 eV) </w:t>
      </w:r>
      <w:r w:rsidRPr="00D1380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fshiNkN2","properties":{"formattedCitation":"(1)","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D13800">
        <w:rPr>
          <w:rFonts w:ascii="Arial" w:hAnsi="Arial" w:cs="Arial"/>
          <w:color w:val="000000"/>
          <w:sz w:val="20"/>
          <w:szCs w:val="20"/>
        </w:rPr>
        <w:fldChar w:fldCharType="separate"/>
      </w:r>
      <w:r w:rsidR="00492802">
        <w:rPr>
          <w:rFonts w:ascii="Arial" w:hAnsi="Arial" w:cs="Arial"/>
          <w:color w:val="000000"/>
          <w:sz w:val="20"/>
          <w:szCs w:val="20"/>
        </w:rPr>
        <w:t>(1)</w:t>
      </w:r>
      <w:r w:rsidRPr="00D13800">
        <w:rPr>
          <w:rFonts w:ascii="Arial" w:hAnsi="Arial" w:cs="Arial"/>
          <w:color w:val="000000"/>
          <w:sz w:val="20"/>
          <w:szCs w:val="20"/>
        </w:rPr>
        <w:fldChar w:fldCharType="end"/>
      </w:r>
      <w:r w:rsidRPr="00D13800">
        <w:rPr>
          <w:rFonts w:ascii="Arial" w:hAnsi="Arial" w:cs="Arial"/>
          <w:color w:val="000000"/>
          <w:sz w:val="20"/>
          <w:szCs w:val="20"/>
        </w:rPr>
        <w:t>). The global intraspecific intercept for routine and resting metabolic rate is estimated to be -1.93 [-2.11, -1.74], and for standard metabolic rate it is -2.49 [-2.81, -2.17] (</w:t>
      </w:r>
      <w:r w:rsidRPr="00D13800">
        <w:rPr>
          <w:rFonts w:ascii="Arial" w:hAnsi="Arial" w:cs="Arial"/>
          <w:i/>
          <w:iCs/>
          <w:color w:val="000000"/>
          <w:sz w:val="20"/>
          <w:szCs w:val="20"/>
        </w:rPr>
        <w:t>SI Appendix,</w:t>
      </w:r>
      <w:r w:rsidRPr="00D13800">
        <w:rPr>
          <w:rFonts w:ascii="Arial" w:hAnsi="Arial" w:cs="Arial"/>
          <w:iCs/>
          <w:color w:val="000000"/>
          <w:sz w:val="20"/>
          <w:szCs w:val="20"/>
        </w:rPr>
        <w:t xml:space="preserve"> Fig. S7</w:t>
      </w:r>
      <w:r w:rsidRPr="00D13800">
        <w:rPr>
          <w:rFonts w:ascii="Arial" w:hAnsi="Arial" w:cs="Arial"/>
          <w:color w:val="000000"/>
          <w:sz w:val="20"/>
          <w:szCs w:val="20"/>
        </w:rPr>
        <w:t>). Models where all coefficients varied by species were favored in terms of WAIC (M5 and M1, for consumption and metabolism, respectively) (</w:t>
      </w:r>
      <w:r w:rsidRPr="00D13800">
        <w:rPr>
          <w:rFonts w:ascii="Arial" w:hAnsi="Arial" w:cs="Arial"/>
          <w:i/>
          <w:iCs/>
          <w:color w:val="000000"/>
          <w:sz w:val="20"/>
          <w:szCs w:val="20"/>
        </w:rPr>
        <w:t>SI Appendix</w:t>
      </w:r>
      <w:r w:rsidRPr="00D13800">
        <w:rPr>
          <w:rFonts w:ascii="Arial" w:hAnsi="Arial" w:cs="Arial"/>
          <w:color w:val="000000"/>
          <w:sz w:val="20"/>
          <w:szCs w:val="20"/>
        </w:rPr>
        <w:t xml:space="preserve">, Table S4). We found statistical support for a species-varying mass and temperature interaction for metabolic rate. 98% of the posterior distribution of the global interaction coefficient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3</m:t>
                </m:r>
              </m:sub>
            </m:sSub>
          </m:sub>
        </m:sSub>
      </m:oMath>
      <w:r w:rsidRPr="00D13800">
        <w:rPr>
          <w:rFonts w:ascii="Arial" w:hAnsi="Arial" w:cs="Arial"/>
          <w:color w:val="000000"/>
          <w:sz w:val="20"/>
          <w:szCs w:val="20"/>
        </w:rPr>
        <w:t xml:space="preserve"> </w:t>
      </w:r>
      <w:r w:rsidRPr="00D13800">
        <w:rPr>
          <w:rFonts w:ascii="Arial" w:hAnsi="Arial" w:cs="Arial"/>
          <w:iCs/>
          <w:color w:val="000000"/>
          <w:sz w:val="20"/>
          <w:szCs w:val="20"/>
        </w:rPr>
        <w:t>is above 0 (</w:t>
      </w:r>
      <w:r w:rsidRPr="00D13800">
        <w:rPr>
          <w:rFonts w:ascii="Arial" w:hAnsi="Arial" w:cs="Arial"/>
          <w:i/>
          <w:iCs/>
          <w:color w:val="000000"/>
          <w:sz w:val="20"/>
          <w:szCs w:val="20"/>
        </w:rPr>
        <w:t>SI Appendix,</w:t>
      </w:r>
      <w:r w:rsidRPr="00D13800">
        <w:rPr>
          <w:rFonts w:ascii="Arial" w:hAnsi="Arial" w:cs="Arial"/>
          <w:iCs/>
          <w:color w:val="000000"/>
          <w:sz w:val="20"/>
          <w:szCs w:val="20"/>
        </w:rPr>
        <w:t xml:space="preserve"> Fig. S5)</w:t>
      </w:r>
      <w:r w:rsidRPr="00D13800">
        <w:rPr>
          <w:rFonts w:ascii="Arial" w:hAnsi="Arial" w:cs="Arial"/>
          <w:color w:val="000000"/>
          <w:sz w:val="20"/>
          <w:szCs w:val="20"/>
        </w:rPr>
        <w:t xml:space="preserve">. The estimated coefficient is 0.018 [0.0008, 0.0367] on the Arrhenius temperature scale, which corresponds to a decline in the mass scaling exponent of metabolic rate by 0.0026 </w:t>
      </w:r>
      <m:oMath>
        <m:sSup>
          <m:sSupPr>
            <m:ctrlPr>
              <w:rPr>
                <w:rFonts w:ascii="Cambria Math" w:hAnsi="Cambria Math" w:cs="Arial"/>
                <w:i/>
                <w:color w:val="000000"/>
                <w:sz w:val="20"/>
                <w:szCs w:val="20"/>
              </w:rPr>
            </m:ctrlPr>
          </m:sSupPr>
          <m:e>
            <m:r>
              <w:rPr>
                <w:rFonts w:ascii="Cambria Math" w:hAnsi="Cambria Math" w:cs="Arial"/>
                <w:color w:val="000000"/>
                <w:sz w:val="20"/>
                <w:szCs w:val="20"/>
              </w:rPr>
              <m:t>℃</m:t>
            </m:r>
          </m:e>
          <m:sup>
            <m:r>
              <w:rPr>
                <w:rFonts w:ascii="Cambria Math" w:hAnsi="Cambria Math" w:cs="Arial"/>
                <w:color w:val="000000"/>
                <w:sz w:val="20"/>
                <w:szCs w:val="20"/>
              </w:rPr>
              <m:t>-1</m:t>
            </m:r>
          </m:sup>
        </m:sSup>
      </m:oMath>
      <w:r w:rsidRPr="00D13800">
        <w:rPr>
          <w:rFonts w:ascii="Arial" w:hAnsi="Arial" w:cs="Arial"/>
          <w:color w:val="000000"/>
          <w:sz w:val="20"/>
          <w:szCs w:val="20"/>
        </w:rPr>
        <w:t xml:space="preserve">. The selected model for maximum consumption rate did not include an interaction term (M5). </w:t>
      </w:r>
    </w:p>
    <w:p w14:paraId="4D22FAF1" w14:textId="77777777" w:rsidR="004E567A" w:rsidRPr="00D13800" w:rsidRDefault="004E567A"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5C7ECF2A" w14:textId="61FA4C63" w:rsidR="00D13800" w:rsidRP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 xml:space="preserve">We estimated the parameters of the Sharpe-Schoolfield equation (Eq. 4) for temperature-dependence of consumption including data beyond peak temperature as: activation energy, </w:t>
      </w:r>
      <m:oMath>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oMath>
      <w:r w:rsidRPr="00D13800">
        <w:rPr>
          <w:rFonts w:ascii="Arial" w:hAnsi="Arial" w:cs="Arial"/>
          <w:color w:val="000000"/>
          <w:sz w:val="20"/>
          <w:szCs w:val="20"/>
        </w:rPr>
        <w:t xml:space="preserve"> = 0.58 [0.45, 0.74], rate at reference temperature,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i/>
                    <w:color w:val="000000"/>
                    <w:sz w:val="20"/>
                    <w:szCs w:val="20"/>
                  </w:rPr>
                </m:ctrlPr>
              </m:sSubPr>
              <m:e>
                <m:r>
                  <w:rPr>
                    <w:rFonts w:ascii="Cambria Math" w:hAnsi="Cambria Math" w:cs="Arial"/>
                    <w:color w:val="000000"/>
                    <w:sz w:val="20"/>
                    <w:szCs w:val="20"/>
                  </w:rPr>
                  <m:t>0</m:t>
                </m:r>
              </m:e>
              <m:sub>
                <m:r>
                  <w:rPr>
                    <w:rFonts w:ascii="Cambria Math" w:hAnsi="Cambria Math" w:cs="Arial"/>
                    <w:color w:val="000000"/>
                    <w:sz w:val="20"/>
                    <w:szCs w:val="20"/>
                  </w:rPr>
                  <m:t>j</m:t>
                </m:r>
              </m:sub>
            </m:sSub>
          </m:sub>
        </m:sSub>
      </m:oMath>
      <w:r w:rsidRPr="00D13800">
        <w:rPr>
          <w:rFonts w:ascii="Arial" w:hAnsi="Arial" w:cs="Arial"/>
          <w:color w:val="000000"/>
          <w:sz w:val="20"/>
          <w:szCs w:val="20"/>
        </w:rPr>
        <w:t xml:space="preserve"> = 0.70 [0.52, 0.89], temper</w:t>
      </w:r>
      <w:proofErr w:type="spellStart"/>
      <w:r w:rsidRPr="00D13800">
        <w:rPr>
          <w:rFonts w:ascii="Arial" w:hAnsi="Arial" w:cs="Arial"/>
          <w:color w:val="000000"/>
          <w:sz w:val="20"/>
          <w:szCs w:val="20"/>
        </w:rPr>
        <w:t>ature</w:t>
      </w:r>
      <w:proofErr w:type="spellEnd"/>
      <w:r w:rsidRPr="00D13800">
        <w:rPr>
          <w:rFonts w:ascii="Arial" w:hAnsi="Arial" w:cs="Arial"/>
          <w:color w:val="000000"/>
          <w:sz w:val="20"/>
          <w:szCs w:val="20"/>
        </w:rPr>
        <w:t xml:space="preserve"> at which </w:t>
      </w:r>
      <w:r w:rsidRPr="00D13800">
        <w:rPr>
          <w:rFonts w:ascii="Arial" w:hAnsi="Arial" w:cs="Arial"/>
          <w:iCs/>
          <w:color w:val="000000"/>
          <w:sz w:val="20"/>
          <w:szCs w:val="20"/>
        </w:rPr>
        <w:t>the rate is reduced to half (of the rate in the absence of deactivation) due to high temperatures,</w:t>
      </w:r>
      <w:r w:rsidRPr="00D13800">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h</m:t>
            </m:r>
          </m:sub>
        </m:sSub>
      </m:oMath>
      <w:r w:rsidRPr="00D13800">
        <w:rPr>
          <w:rFonts w:ascii="Arial" w:hAnsi="Arial" w:cs="Arial"/>
          <w:color w:val="000000"/>
          <w:sz w:val="20"/>
          <w:szCs w:val="20"/>
        </w:rPr>
        <w:t xml:space="preserve"> = 4.03 [2.82, 4.98], and the rate of the decline past the peak, </w:t>
      </w:r>
      <m:oMath>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h</m:t>
            </m:r>
          </m:sub>
        </m:sSub>
      </m:oMath>
      <w:r w:rsidRPr="00D13800">
        <w:rPr>
          <w:rFonts w:ascii="Arial" w:hAnsi="Arial" w:cs="Arial"/>
          <w:color w:val="000000"/>
          <w:sz w:val="20"/>
          <w:szCs w:val="20"/>
        </w:rPr>
        <w:t xml:space="preserve"> = 2.64 [2.17, 3.22]. This shows that the relationship between consumption rate and temperature is unimodal and asymmetric, where the decline in consumption rate at high temperatures is steeper than the increase at low temperatures (Fig. 2). </w:t>
      </w:r>
    </w:p>
    <w:p w14:paraId="268940BE" w14:textId="77777777" w:rsidR="000D210C" w:rsidRDefault="000D210C"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07DE6B95" w14:textId="6C979EB5" w:rsidR="00D13800" w:rsidRPr="00D13800"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 xml:space="preserve">The above results provide empirical support for the two criteria outlined in Morita et al., </w:t>
      </w:r>
      <w:r w:rsidRPr="00D13800">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756rfjq1b","properties":{"formattedCitation":"(26)","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D13800">
        <w:rPr>
          <w:rFonts w:ascii="Arial" w:hAnsi="Arial" w:cs="Arial"/>
          <w:color w:val="000000"/>
          <w:sz w:val="20"/>
          <w:szCs w:val="20"/>
        </w:rPr>
        <w:fldChar w:fldCharType="separate"/>
      </w:r>
      <w:r w:rsidR="00492802">
        <w:rPr>
          <w:rFonts w:ascii="Arial" w:hAnsi="Arial" w:cs="Arial"/>
          <w:color w:val="000000"/>
          <w:sz w:val="20"/>
          <w:szCs w:val="20"/>
        </w:rPr>
        <w:t>(26)</w:t>
      </w:r>
      <w:r w:rsidRPr="00D13800">
        <w:rPr>
          <w:rFonts w:ascii="Arial" w:hAnsi="Arial" w:cs="Arial"/>
          <w:color w:val="000000"/>
          <w:sz w:val="20"/>
          <w:szCs w:val="20"/>
        </w:rPr>
        <w:fldChar w:fldCharType="end"/>
      </w:r>
      <w:r w:rsidRPr="00D13800">
        <w:rPr>
          <w:rFonts w:ascii="Arial" w:hAnsi="Arial" w:cs="Arial"/>
          <w:color w:val="000000"/>
          <w:sz w:val="20"/>
          <w:szCs w:val="20"/>
        </w:rPr>
        <w:t xml:space="preserve"> that result in declining optimum temperatures with size, i.e. (</w:t>
      </w:r>
      <w:proofErr w:type="spellStart"/>
      <w:r w:rsidRPr="00D13800">
        <w:rPr>
          <w:rFonts w:ascii="Arial" w:hAnsi="Arial" w:cs="Arial"/>
          <w:color w:val="000000"/>
          <w:sz w:val="20"/>
          <w:szCs w:val="20"/>
        </w:rPr>
        <w:t>i</w:t>
      </w:r>
      <w:proofErr w:type="spellEnd"/>
      <w:r w:rsidRPr="00D13800">
        <w:rPr>
          <w:rFonts w:ascii="Arial" w:hAnsi="Arial" w:cs="Arial"/>
          <w:color w:val="000000"/>
          <w:sz w:val="20"/>
          <w:szCs w:val="20"/>
        </w:rPr>
        <w:t xml:space="preserve">) smaller whole organism mass exponent for consumption than metabolism (Fig. 1) and (ii) that growth reaches an optimum over temperature. In our case, the second criterion is met because consumption reaches a peak over temperature (Fig. 2). We illustrate the consequence of these findings in Fig. 3, which shows that the optimum temperature for net energy gain is reached at a lower temperature for a smaller fish because of the difference in exponents and because net gain is unimodally related to temperature. </w:t>
      </w:r>
      <w:r w:rsidRPr="00D13800">
        <w:rPr>
          <w:rFonts w:ascii="Arial" w:hAnsi="Arial" w:cs="Arial"/>
          <w:color w:val="000000"/>
          <w:sz w:val="20"/>
          <w:szCs w:val="20"/>
        </w:rPr>
        <w:lastRenderedPageBreak/>
        <w:t>Assuming growth is proportional to net energy gain, this predicts that optimum growth temperature declines with body size.</w:t>
      </w:r>
    </w:p>
    <w:p w14:paraId="6C2FF5B4" w14:textId="77777777" w:rsidR="000D210C" w:rsidRDefault="000D210C" w:rsidP="00D13800">
      <w:pPr>
        <w:keepNext/>
        <w:pBdr>
          <w:top w:val="nil"/>
          <w:left w:val="nil"/>
          <w:bottom w:val="nil"/>
          <w:right w:val="nil"/>
          <w:between w:val="nil"/>
        </w:pBdr>
        <w:spacing w:before="240" w:after="60"/>
        <w:contextualSpacing/>
        <w:jc w:val="both"/>
        <w:rPr>
          <w:rFonts w:ascii="Arial" w:hAnsi="Arial" w:cs="Arial"/>
          <w:color w:val="000000"/>
          <w:sz w:val="20"/>
          <w:szCs w:val="20"/>
        </w:rPr>
      </w:pPr>
    </w:p>
    <w:p w14:paraId="52B4E9C0" w14:textId="7A85703E" w:rsidR="00980C22" w:rsidRDefault="00D13800" w:rsidP="00D13800">
      <w:pPr>
        <w:keepNext/>
        <w:pBdr>
          <w:top w:val="nil"/>
          <w:left w:val="nil"/>
          <w:bottom w:val="nil"/>
          <w:right w:val="nil"/>
          <w:between w:val="nil"/>
        </w:pBdr>
        <w:spacing w:before="240" w:after="60"/>
        <w:contextualSpacing/>
        <w:jc w:val="both"/>
        <w:rPr>
          <w:rFonts w:ascii="Arial" w:hAnsi="Arial" w:cs="Arial"/>
          <w:color w:val="000000"/>
          <w:sz w:val="20"/>
          <w:szCs w:val="20"/>
        </w:rPr>
      </w:pPr>
      <w:r w:rsidRPr="00D13800">
        <w:rPr>
          <w:rFonts w:ascii="Arial" w:hAnsi="Arial" w:cs="Arial"/>
          <w:color w:val="000000"/>
          <w:sz w:val="20"/>
          <w:szCs w:val="20"/>
        </w:rPr>
        <w:t>Using independent data from growth trials across a range of body sizes and temperatures, we also find strong statistical support for a decline in optimum growth temperature with body mass within species, because 92% of the posterior density of the global slope estimate (</w:t>
      </w:r>
      <m:oMath>
        <m:sSub>
          <m:sSubPr>
            <m:ctrlPr>
              <w:rPr>
                <w:rFonts w:ascii="Cambria Math" w:hAnsi="Cambria Math" w:cs="Arial"/>
                <w:bCs/>
                <w:i/>
                <w:iCs/>
                <w:color w:val="000000"/>
                <w:sz w:val="20"/>
                <w:szCs w:val="20"/>
              </w:rPr>
            </m:ctrlPr>
          </m:sSubPr>
          <m:e>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β</m:t>
                </m:r>
              </m:sub>
            </m:sSub>
          </m:e>
          <m:sub>
            <m:r>
              <w:rPr>
                <w:rFonts w:ascii="Cambria Math" w:hAnsi="Cambria Math" w:cs="Arial"/>
                <w:color w:val="000000"/>
                <w:sz w:val="20"/>
                <w:szCs w:val="20"/>
              </w:rPr>
              <m:t>1</m:t>
            </m:r>
          </m:sub>
        </m:sSub>
      </m:oMath>
      <w:r w:rsidRPr="00D13800">
        <w:rPr>
          <w:rFonts w:ascii="Arial" w:hAnsi="Arial" w:cs="Arial"/>
          <w:color w:val="000000"/>
          <w:sz w:val="20"/>
          <w:szCs w:val="20"/>
        </w:rPr>
        <w:t>) is below 0. The models with and without species-varying slopes were indistinguishable in terms of WAIC (</w:t>
      </w:r>
      <w:r w:rsidRPr="00D13800">
        <w:rPr>
          <w:rFonts w:ascii="Arial" w:hAnsi="Arial" w:cs="Arial"/>
          <w:i/>
          <w:iCs/>
          <w:color w:val="000000"/>
          <w:sz w:val="20"/>
          <w:szCs w:val="20"/>
        </w:rPr>
        <w:t>SI Appendix</w:t>
      </w:r>
      <w:r w:rsidRPr="00D13800">
        <w:rPr>
          <w:rFonts w:ascii="Arial" w:hAnsi="Arial" w:cs="Arial"/>
          <w:color w:val="000000"/>
          <w:sz w:val="20"/>
          <w:szCs w:val="20"/>
        </w:rPr>
        <w:t>, Table S5), and we present the results for the species-varying intercept and slope model, due to slightly better model diagnostics (</w:t>
      </w:r>
      <w:r w:rsidRPr="00D13800">
        <w:rPr>
          <w:rFonts w:ascii="Arial" w:hAnsi="Arial" w:cs="Arial"/>
          <w:i/>
          <w:iCs/>
          <w:color w:val="000000"/>
          <w:sz w:val="20"/>
          <w:szCs w:val="20"/>
        </w:rPr>
        <w:t>SI Appendix</w:t>
      </w:r>
      <w:r w:rsidRPr="00D13800">
        <w:rPr>
          <w:rFonts w:ascii="Arial" w:hAnsi="Arial" w:cs="Arial"/>
          <w:color w:val="000000"/>
          <w:sz w:val="20"/>
          <w:szCs w:val="20"/>
        </w:rPr>
        <w:t xml:space="preserve">, Fig. S24-27). The global relationship is given by the model: </w:t>
      </w:r>
      <m:oMath>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m:t>
            </m:r>
          </m:sub>
        </m:sSub>
        <m:r>
          <w:rPr>
            <w:rFonts w:ascii="Cambria Math" w:hAnsi="Cambria Math" w:cs="Arial"/>
            <w:color w:val="000000"/>
            <w:sz w:val="20"/>
            <w:szCs w:val="20"/>
          </w:rPr>
          <m:t>=-0.074-0.31×m</m:t>
        </m:r>
      </m:oMath>
      <w:r w:rsidRPr="00D13800">
        <w:rPr>
          <w:rFonts w:ascii="Arial" w:hAnsi="Arial" w:cs="Arial"/>
          <w:color w:val="000000"/>
          <w:sz w:val="20"/>
          <w:szCs w:val="20"/>
        </w:rPr>
        <w:t xml:space="preserve">, where </w:t>
      </w:r>
      <m:oMath>
        <m:r>
          <w:rPr>
            <w:rFonts w:ascii="Cambria Math" w:hAnsi="Cambria Math" w:cs="Arial"/>
            <w:color w:val="000000"/>
            <w:sz w:val="20"/>
            <w:szCs w:val="20"/>
          </w:rPr>
          <m:t>m</m:t>
        </m:r>
      </m:oMath>
      <w:r w:rsidRPr="00D13800">
        <w:rPr>
          <w:rFonts w:ascii="Arial" w:hAnsi="Arial" w:cs="Arial"/>
          <w:color w:val="000000"/>
          <w:sz w:val="20"/>
          <w:szCs w:val="20"/>
        </w:rPr>
        <w:t xml:space="preserve"> is the natural log of the rescaled body mass, calculated as the sp</w:t>
      </w:r>
      <w:proofErr w:type="spellStart"/>
      <w:r w:rsidRPr="00D13800">
        <w:rPr>
          <w:rFonts w:ascii="Arial" w:hAnsi="Arial" w:cs="Arial"/>
          <w:color w:val="000000"/>
          <w:sz w:val="20"/>
          <w:szCs w:val="20"/>
        </w:rPr>
        <w:t>ecies</w:t>
      </w:r>
      <w:proofErr w:type="spellEnd"/>
      <w:r w:rsidRPr="00D13800">
        <w:rPr>
          <w:rFonts w:ascii="Arial" w:hAnsi="Arial" w:cs="Arial"/>
          <w:color w:val="000000"/>
          <w:sz w:val="20"/>
          <w:szCs w:val="20"/>
        </w:rPr>
        <w:t>-specific ratio of mass to maturation mass.</w:t>
      </w: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7D023BBC" w14:textId="31DD7D1C" w:rsid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In this study, we systematically analyzed the intraspecific scaling of consumption, metabolism and growth with body mass and temperature. We found strong evidence for declining optimum growth temperatures as individuals grow in size based on two independent approaches. First, we find differences in the intraspecific mass-scaling of consumption and metabolism, and a unimodal temperature dependence of consumption, which lead to predicted declines in optimum temperature for net energy gain (and hence growth) with size. Second, we confirm this prediction using intraspecific growth rate data of fish. Our analysis thus demonstrates the importance of understanding intraspecific scaling relationships when predicting responses of fish populations to climate warming.</w:t>
      </w:r>
    </w:p>
    <w:p w14:paraId="191562A8" w14:textId="77777777" w:rsidR="00C822FB" w:rsidRPr="000D210C" w:rsidRDefault="00C822FB" w:rsidP="000D210C">
      <w:pPr>
        <w:pBdr>
          <w:top w:val="nil"/>
          <w:left w:val="nil"/>
          <w:bottom w:val="nil"/>
          <w:right w:val="nil"/>
          <w:between w:val="nil"/>
        </w:pBdr>
        <w:spacing w:after="0"/>
        <w:contextualSpacing/>
        <w:rPr>
          <w:rFonts w:ascii="Arial" w:hAnsi="Arial" w:cs="Arial"/>
          <w:color w:val="000000"/>
          <w:sz w:val="20"/>
          <w:szCs w:val="20"/>
        </w:rPr>
      </w:pPr>
    </w:p>
    <w:p w14:paraId="59BA84A5" w14:textId="48659D11"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That warming increases growth and development rates but reduces maximum or adult size is well known from experimental studies, also referred to as the temperature-size rule (TSR). Yet, the mechanisms underlying the TSR remain poorly understood. Pütter-type growth models, including the von Bertalanffy growth equation (VBGE), predict that the asymptotic size declines with warming if the ratio of the coefficients for energy gains and losses (</w:t>
      </w:r>
      <m:oMath>
        <m:r>
          <w:rPr>
            <w:rFonts w:ascii="Cambria Math" w:hAnsi="Cambria Math" w:cs="Arial"/>
            <w:color w:val="000000"/>
            <w:sz w:val="20"/>
            <w:szCs w:val="20"/>
          </w:rPr>
          <m:t>H/K</m:t>
        </m:r>
      </m:oMath>
      <w:r w:rsidRPr="000D210C">
        <w:rPr>
          <w:rFonts w:ascii="Arial" w:hAnsi="Arial" w:cs="Arial"/>
          <w:color w:val="000000"/>
          <w:sz w:val="20"/>
          <w:szCs w:val="20"/>
        </w:rPr>
        <w:t xml:space="preserve"> in Eq. 7)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OZFFsIa5","properties":{"formattedCitation":"(27)","plainCitation":"(27)","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(27)</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declines with temperature. However, the assumptions underlying the VBGE were recently questioned because of the lack of empirical basis for the scaling exponents and the effects of those on the predicted effects of temperature on asymptotic size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{"citationID":"8nPXwCq6","properties":{"formattedCitation":"(29, 30)","plainCitation":"(29, 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(29, 30)</w:t>
      </w:r>
      <w:r w:rsidRPr="000D210C">
        <w:rPr>
          <w:rFonts w:ascii="Arial" w:hAnsi="Arial" w:cs="Arial"/>
          <w:color w:val="000000"/>
          <w:sz w:val="20"/>
          <w:szCs w:val="20"/>
        </w:rPr>
        <w:fldChar w:fldCharType="end"/>
      </w:r>
      <w:r w:rsidRPr="000D210C">
        <w:rPr>
          <w:rFonts w:ascii="Arial" w:hAnsi="Arial" w:cs="Arial"/>
          <w:color w:val="000000"/>
          <w:sz w:val="20"/>
          <w:szCs w:val="20"/>
        </w:rPr>
        <w:t>. Specifically, the allometric exponent of energy gains (</w:t>
      </w:r>
      <m:oMath>
        <m:r>
          <w:rPr>
            <w:rFonts w:ascii="Cambria Math" w:hAnsi="Cambria Math" w:cs="Arial"/>
            <w:color w:val="000000"/>
            <w:sz w:val="20"/>
            <w:szCs w:val="20"/>
          </w:rPr>
          <m:t>a)</m:t>
        </m:r>
      </m:oMath>
      <w:r w:rsidRPr="000D210C">
        <w:rPr>
          <w:rFonts w:ascii="Arial" w:hAnsi="Arial" w:cs="Arial"/>
          <w:color w:val="000000"/>
          <w:sz w:val="20"/>
          <w:szCs w:val="20"/>
        </w:rPr>
        <w:t xml:space="preserve"> is assumed to be smaller than that of energetic costs (</w:t>
      </w:r>
      <m:oMath>
        <m:r>
          <w:rPr>
            <w:rFonts w:ascii="Cambria Math" w:hAnsi="Cambria Math" w:cs="Arial"/>
            <w:color w:val="000000"/>
            <w:sz w:val="20"/>
            <w:szCs w:val="20"/>
          </w:rPr>
          <m:t>b</m:t>
        </m:r>
      </m:oMath>
      <w:r w:rsidRPr="000D210C">
        <w:rPr>
          <w:rFonts w:ascii="Arial" w:hAnsi="Arial" w:cs="Arial"/>
          <w:color w:val="000000"/>
          <w:sz w:val="20"/>
          <w:szCs w:val="20"/>
        </w:rPr>
        <w:t>) (Eq. 7). This is based on the assumption that anabolism scales with the same power as surfaces to volumes (</w:t>
      </w:r>
      <m:oMath>
        <m:r>
          <w:rPr>
            <w:rFonts w:ascii="Cambria Math" w:hAnsi="Cambria Math" w:cs="Arial"/>
            <w:color w:val="000000"/>
            <w:sz w:val="20"/>
            <w:szCs w:val="20"/>
          </w:rPr>
          <m:t>a=2/3</m:t>
        </m:r>
      </m:oMath>
      <w:r w:rsidRPr="000D210C">
        <w:rPr>
          <w:rFonts w:ascii="Arial" w:hAnsi="Arial" w:cs="Arial"/>
          <w:color w:val="000000"/>
          <w:sz w:val="20"/>
          <w:szCs w:val="20"/>
        </w:rPr>
        <w:t>) and catabolism, or maintenance metabolism, is pro</w:t>
      </w:r>
      <w:proofErr w:type="spellStart"/>
      <w:r w:rsidRPr="000D210C">
        <w:rPr>
          <w:rFonts w:ascii="Arial" w:hAnsi="Arial" w:cs="Arial"/>
          <w:color w:val="000000"/>
          <w:sz w:val="20"/>
          <w:szCs w:val="20"/>
        </w:rPr>
        <w:t>portional</w:t>
      </w:r>
      <w:proofErr w:type="spellEnd"/>
      <w:r w:rsidRPr="000D210C">
        <w:rPr>
          <w:rFonts w:ascii="Arial" w:hAnsi="Arial" w:cs="Arial"/>
          <w:color w:val="000000"/>
          <w:sz w:val="20"/>
          <w:szCs w:val="20"/>
        </w:rPr>
        <w:t xml:space="preserve"> to body mass (</w:t>
      </w:r>
      <m:oMath>
        <m:r>
          <w:rPr>
            <w:rFonts w:ascii="Cambria Math" w:hAnsi="Cambria Math" w:cs="Arial"/>
            <w:color w:val="000000"/>
            <w:sz w:val="20"/>
            <w:szCs w:val="20"/>
          </w:rPr>
          <m:t>b=1</m:t>
        </m:r>
      </m:oMath>
      <w:r w:rsidRPr="000D210C">
        <w:rPr>
          <w:rFonts w:ascii="Arial" w:hAnsi="Arial" w:cs="Arial"/>
          <w:color w:val="000000"/>
          <w:sz w:val="20"/>
          <w:szCs w:val="20"/>
        </w:rPr>
        <w:t xml:space="preserv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{"citationID":"a2e98fb1k76","properties":{"formattedCitation":"(25, 55)","plainCitation":"(25, 55)","noteIndex":0},"citationItems":[{"id":436,"uris":["http://zotero.org/users/6116610/items/95Y5YZXG"],"uri":["http://zotero.org/users/6116610/items/95Y5YZXG"],"itemData":{"id":436,"type":"article-journal","container-title":"The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(25, 55)</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In contrast, maintenance costs are commonly thought to instead be proportional to standard metabolic rate, which in turn often is proportional to intake rates at the interspecific level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{"citationID":"Jt1v541f","properties":{"formattedCitation":"(1, 30)","plainCitation":"(1, 30)","noteIndex":0},"citationItems":[{"id":914,"uris":["http://zotero.org/users/6116610/items/D84IXDI8"],"uri":["http://zotero.org/users/6116610/items/D84IXDI8"],"itemData":{"id":914,"type":"article-journal","abstract":"Metabolism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(1, 30)</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This leads to </w:t>
      </w:r>
      <m:oMath>
        <m:r>
          <w:rPr>
            <w:rFonts w:ascii="Cambria Math" w:hAnsi="Cambria Math" w:cs="Arial"/>
            <w:color w:val="000000"/>
            <w:sz w:val="20"/>
            <w:szCs w:val="20"/>
          </w:rPr>
          <m:t>a≈b</m:t>
        </m:r>
      </m:oMath>
      <w:r w:rsidRPr="000D210C">
        <w:rPr>
          <w:rFonts w:ascii="Arial" w:hAnsi="Arial" w:cs="Arial"/>
          <w:color w:val="000000"/>
          <w:sz w:val="20"/>
          <w:szCs w:val="20"/>
        </w:rPr>
        <w:t>, resulting in unrealistic growth trajectories and temperature depe</w:t>
      </w:r>
      <w:proofErr w:type="spellStart"/>
      <w:r w:rsidRPr="000D210C">
        <w:rPr>
          <w:rFonts w:ascii="Arial" w:hAnsi="Arial" w:cs="Arial"/>
          <w:color w:val="000000"/>
          <w:sz w:val="20"/>
          <w:szCs w:val="20"/>
        </w:rPr>
        <w:t>ndences</w:t>
      </w:r>
      <w:proofErr w:type="spellEnd"/>
      <w:r w:rsidRPr="000D210C">
        <w:rPr>
          <w:rFonts w:ascii="Arial" w:hAnsi="Arial" w:cs="Arial"/>
          <w:color w:val="000000"/>
          <w:sz w:val="20"/>
          <w:szCs w:val="20"/>
        </w:rPr>
        <w:t xml:space="preserve"> of growth dynamics in Pütter models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{"citationID":"kwb5izzq","properties":{"formattedCitation":"(29, 30)","plainCitation":"(29, 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(29, 30)</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However, similar to how the existence of large fishes in tropical waters does not invalidate the hypothesis that old individuals of large-bodied fish may reach smaller sizes with warming, interspecific scaling parameters cannot reject or support these model predictions on growth within species. We show that the average intraspecific whole-organism mass scaling exponent of metabolism is larger than that of maximum consumption, i.e., the inequality </w:t>
      </w:r>
      <m:oMath>
        <m:r>
          <w:rPr>
            <w:rFonts w:ascii="Cambria Math" w:hAnsi="Cambria Math" w:cs="Arial"/>
            <w:color w:val="000000"/>
            <w:sz w:val="20"/>
            <w:szCs w:val="20"/>
          </w:rPr>
          <m:t>a&lt;b</m:t>
        </m:r>
      </m:oMath>
      <w:r w:rsidRPr="000D210C">
        <w:rPr>
          <w:rFonts w:ascii="Arial" w:hAnsi="Arial" w:cs="Arial"/>
          <w:color w:val="000000"/>
          <w:sz w:val="20"/>
          <w:szCs w:val="20"/>
        </w:rPr>
        <w:t xml:space="preserve"> holds at the intraspecific level. This implies that on average within species of fish, energetic costs increase faster with body mass than gains (all else equal). Importantly, when accounting for this difference in the exponents, and the unimodal thermal response of consumption, the thermal response of net energy gain is characterized by the optimum temperature being a function of body size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VsUTBfkL","properties":{"formattedCitation":"(26)","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(26)</w:t>
      </w:r>
      <w:r w:rsidRPr="000D210C">
        <w:rPr>
          <w:rFonts w:ascii="Arial" w:hAnsi="Arial" w:cs="Arial"/>
          <w:color w:val="000000"/>
          <w:sz w:val="20"/>
          <w:szCs w:val="20"/>
        </w:rPr>
        <w:fldChar w:fldCharType="end"/>
      </w:r>
      <w:r w:rsidRPr="000D210C">
        <w:rPr>
          <w:rFonts w:ascii="Arial" w:hAnsi="Arial" w:cs="Arial"/>
          <w:color w:val="000000"/>
          <w:sz w:val="20"/>
          <w:szCs w:val="20"/>
        </w:rPr>
        <w:t>. Therefore, empirically derived intraspecific parameterizations of simple growth models result in predictions in line with the TSR, in this case via declines in optimum growth temperatures over ontogeny rather than declines in asymptotic sizes.</w:t>
      </w:r>
    </w:p>
    <w:p w14:paraId="43B1848F" w14:textId="77777777" w:rsidR="000A0E58" w:rsidRDefault="000A0E58" w:rsidP="000D210C">
      <w:pPr>
        <w:pBdr>
          <w:top w:val="nil"/>
          <w:left w:val="nil"/>
          <w:bottom w:val="nil"/>
          <w:right w:val="nil"/>
          <w:between w:val="nil"/>
        </w:pBdr>
        <w:spacing w:after="0"/>
        <w:contextualSpacing/>
        <w:rPr>
          <w:rFonts w:ascii="Arial" w:hAnsi="Arial" w:cs="Arial"/>
          <w:color w:val="000000"/>
          <w:sz w:val="20"/>
          <w:szCs w:val="20"/>
        </w:rPr>
      </w:pPr>
    </w:p>
    <w:p w14:paraId="637F96C4" w14:textId="209440F1"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Declines in optimum growth temperatures over ontogeny as a mechanism for TSR-like growth dynamics do not rely on the assumption that the ratio of the coefficients for energy gains and losses declines with temperature. In fact, we find that when using data from sub-peak </w:t>
      </w:r>
      <w:r w:rsidRPr="000D210C">
        <w:rPr>
          <w:rFonts w:ascii="Arial" w:hAnsi="Arial" w:cs="Arial"/>
          <w:color w:val="000000"/>
          <w:sz w:val="20"/>
          <w:szCs w:val="20"/>
        </w:rPr>
        <w:lastRenderedPageBreak/>
        <w:t xml:space="preserve">temperatures only, the average intraspecific predictions about the activation energy of metabolism and consumption do not differ substantially, which implies there is no clear loss or gain of energetic efficiency with warming within species. This is in contrast to other studies, e.g. Lemoine &amp; </w:t>
      </w:r>
      <w:proofErr w:type="spellStart"/>
      <w:r w:rsidRPr="000D210C">
        <w:rPr>
          <w:rFonts w:ascii="Arial" w:hAnsi="Arial" w:cs="Arial"/>
          <w:color w:val="000000"/>
          <w:sz w:val="20"/>
          <w:szCs w:val="20"/>
        </w:rPr>
        <w:t>Burkepile</w:t>
      </w:r>
      <w:proofErr w:type="spellEnd"/>
      <w:r w:rsidRPr="000D210C">
        <w:rPr>
          <w:rFonts w:ascii="Arial" w:hAnsi="Arial" w:cs="Arial"/>
          <w:color w:val="000000"/>
          <w:sz w:val="20"/>
          <w:szCs w:val="20"/>
        </w:rPr>
        <w:t xml:space="preserv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id93qki8c","properties":{"formattedCitation":"(56)","plainCitation":"(56)","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(56)</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and </w:t>
      </w:r>
      <w:proofErr w:type="spellStart"/>
      <w:r w:rsidRPr="000D210C">
        <w:rPr>
          <w:rFonts w:ascii="Arial" w:hAnsi="Arial" w:cs="Arial"/>
          <w:color w:val="000000"/>
          <w:sz w:val="20"/>
          <w:szCs w:val="20"/>
        </w:rPr>
        <w:t>Rall</w:t>
      </w:r>
      <w:proofErr w:type="spellEnd"/>
      <w:r w:rsidRPr="000D210C">
        <w:rPr>
          <w:rFonts w:ascii="Arial" w:hAnsi="Arial" w:cs="Arial"/>
          <w:color w:val="000000"/>
          <w:sz w:val="20"/>
          <w:szCs w:val="20"/>
        </w:rPr>
        <w:t xml:space="preserve"> </w:t>
      </w:r>
      <w:r w:rsidRPr="000D210C">
        <w:rPr>
          <w:rFonts w:ascii="Arial" w:hAnsi="Arial" w:cs="Arial"/>
          <w:i/>
          <w:iCs/>
          <w:color w:val="000000"/>
          <w:sz w:val="20"/>
          <w:szCs w:val="20"/>
        </w:rPr>
        <w:t xml:space="preserve">et al.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wUlREXCl","properties":{"formattedCitation":"(57)","plainCitation":"(57)","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Pestic","given":"Olivera"},{"family":"Ehnes","given":"Roswitha B."},{"family":"Emmerson","given":"Mark"},{"family":"Brose","given":"Ulrich"}],"issued":{"date-parts":[["2010"]]}},"suppress-author":true}],"schema":"https://github.com/citation-style-language/schema/raw/master/csl-citation.json"}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(57)</w:t>
      </w:r>
      <w:r w:rsidRPr="000D210C">
        <w:rPr>
          <w:rFonts w:ascii="Arial" w:hAnsi="Arial" w:cs="Arial"/>
          <w:color w:val="000000"/>
          <w:sz w:val="20"/>
          <w:szCs w:val="20"/>
        </w:rPr>
        <w:fldChar w:fldCharType="end"/>
      </w:r>
      <w:r w:rsidRPr="000D210C">
        <w:rPr>
          <w:rFonts w:ascii="Arial" w:hAnsi="Arial" w:cs="Arial"/>
          <w:i/>
          <w:iCs/>
          <w:color w:val="000000"/>
          <w:sz w:val="20"/>
          <w:szCs w:val="20"/>
        </w:rPr>
        <w:t xml:space="preserve">. </w:t>
      </w:r>
      <w:r w:rsidRPr="000D210C">
        <w:rPr>
          <w:rFonts w:ascii="Arial" w:hAnsi="Arial" w:cs="Arial"/>
          <w:color w:val="000000"/>
          <w:sz w:val="20"/>
          <w:szCs w:val="20"/>
        </w:rPr>
        <w:t xml:space="preserve">However, it is in line with the finding that growth rates increase with temperature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{"citationID":"iATo7vTO","properties":{"formattedCitation":"(e.g. 58)","plainCitation":"(e.g. 58)","noteIndex":0},"citationItems":[{"id":9,"uris":["http://zotero.org/users/6116610/items/ESHK6M5C"],"uri":["http://zotero.org/users/6116610/items/ESHK6M5C"],"itemData":{"id":9,"type":"article-journal","container-title":"The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(e.g. 58)</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which is difficult to reconcile from a bioenergetics perspective if warming always reduced net energy gain. Our analysis instead suggests that the mismatch between gains and losses occurs when accounting for unimodal consumption rates over temperature. The match, or mismatch, between the temperature dependence of feeding vs. metabolic rates is a central question in ecology that extends from experiments to meta-analyses to food web </w:t>
      </w:r>
      <w:r w:rsidRPr="000D210C">
        <w:rPr>
          <w:rFonts w:ascii="Arial" w:hAnsi="Arial" w:cs="Arial"/>
          <w:color w:val="000000"/>
          <w:sz w:val="20"/>
          <w:szCs w:val="20"/>
          <w:lang w:val="en-GB"/>
        </w:rPr>
        <w:t xml:space="preserve">models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{"citationID":"MUXSddhE","properties":{"formattedCitation":"(56, 57, 59\\uc0\\u8211{}61)","plainCitation":"(56, 57, 59–61)","noteIndex":0},"citationItems":[{"id":74,"uris":["http://zotero.org/users/6116610/items/3SH8GYG3"],"uri":["http://zotero.org/users/6116610/items/3SH8GYG3"],"itemData":{"id":74,"type":"article-journal","container-title":"The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Pestic","given":"Olivera"},{"family":"Ehnes","given":"Roswitha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0D210C">
        <w:rPr>
          <w:rFonts w:ascii="Arial" w:hAnsi="Arial" w:cs="Arial"/>
          <w:color w:val="000000"/>
          <w:sz w:val="20"/>
          <w:szCs w:val="20"/>
        </w:rPr>
        <w:fldChar w:fldCharType="separate"/>
      </w:r>
      <w:r w:rsidR="00492802" w:rsidRPr="00492802">
        <w:rPr>
          <w:rFonts w:ascii="Arial" w:hAnsi="Arial" w:cs="Arial"/>
          <w:color w:val="000000"/>
          <w:sz w:val="20"/>
          <w:lang w:val="en-GB"/>
        </w:rPr>
        <w:t>(56, 57, 59–61)</w:t>
      </w:r>
      <w:r w:rsidRPr="000D210C">
        <w:rPr>
          <w:rFonts w:ascii="Arial" w:hAnsi="Arial" w:cs="Arial"/>
          <w:color w:val="000000"/>
          <w:sz w:val="20"/>
          <w:szCs w:val="20"/>
        </w:rPr>
        <w:fldChar w:fldCharType="end"/>
      </w:r>
      <w:r w:rsidRPr="000D210C">
        <w:rPr>
          <w:rFonts w:ascii="Arial" w:hAnsi="Arial" w:cs="Arial"/>
          <w:color w:val="000000"/>
          <w:sz w:val="20"/>
          <w:szCs w:val="20"/>
        </w:rPr>
        <w:t>. Our study highlights the importance of accounting for non-linear thermal responses for two main reasons. First, the thermal response of net energy 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2323FAB0" w14:textId="77777777" w:rsidR="0035434A" w:rsidRDefault="0035434A" w:rsidP="000D210C">
      <w:pPr>
        <w:pBdr>
          <w:top w:val="nil"/>
          <w:left w:val="nil"/>
          <w:bottom w:val="nil"/>
          <w:right w:val="nil"/>
          <w:between w:val="nil"/>
        </w:pBdr>
        <w:spacing w:after="0"/>
        <w:contextualSpacing/>
        <w:rPr>
          <w:rFonts w:ascii="Arial" w:hAnsi="Arial" w:cs="Arial"/>
          <w:color w:val="000000"/>
          <w:sz w:val="20"/>
          <w:szCs w:val="20"/>
        </w:rPr>
      </w:pPr>
    </w:p>
    <w:p w14:paraId="30C7BB77" w14:textId="36209E99"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Life-stage dependent optimum growth temperatures have previously been suggested as a component of the TSR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mHG6NtVF","properties":{"formattedCitation":"(8)","plainCitation":"(8)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(8)</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Although previous studies have found declines in optimum growth temperatures with body size in some species of fishes and other aquatic ectotherms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Z3NRTCQR","properties":{"formattedCitation":"(62\\uc0\\u8211{}66)","plainCitation":"(62–66)","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Pr="000D210C">
        <w:rPr>
          <w:rFonts w:ascii="Arial" w:hAnsi="Arial" w:cs="Arial"/>
          <w:color w:val="000000"/>
          <w:sz w:val="20"/>
          <w:szCs w:val="20"/>
        </w:rPr>
        <w:fldChar w:fldCharType="separate"/>
      </w:r>
      <w:r w:rsidR="00492802" w:rsidRPr="00492802">
        <w:rPr>
          <w:rFonts w:ascii="Arial" w:hAnsi="Arial" w:cs="Arial"/>
          <w:color w:val="000000"/>
          <w:sz w:val="20"/>
          <w:lang w:val="en-GB"/>
        </w:rPr>
        <w:t>(62–66)</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others have not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{"citationID":"a1naaj2b9nn","properties":{"formattedCitation":"(67, 68)","plainCitation":"(67, 68)","noteIndex":0},"citationItems":[{"id":965,"uris":["http://zotero.org/users/6116610/items/YG8DMK3F"],"uri":["http://zotero.org/users/6116610/items/YG8DMK3F"],"itemData":{"id":965,"type":"article-journal","abstract":"The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(67, 68)</w:t>
      </w:r>
      <w:r w:rsidRPr="000D210C">
        <w:rPr>
          <w:rFonts w:ascii="Arial" w:hAnsi="Arial" w:cs="Arial"/>
          <w:color w:val="000000"/>
          <w:sz w:val="20"/>
          <w:szCs w:val="20"/>
        </w:rPr>
        <w:fldChar w:fldCharType="end"/>
      </w:r>
      <w:r w:rsidRPr="000D210C">
        <w:rPr>
          <w:rFonts w:ascii="Arial" w:hAnsi="Arial" w:cs="Arial"/>
          <w:color w:val="000000"/>
          <w:sz w:val="20"/>
          <w:szCs w:val="20"/>
        </w:rPr>
        <w:t>. Using systematically collated growth data from experiments with variation in both size and temperature treatments (13 species), we find that for an average fish, the optimum growth temperature declines as it grows in size. This finding emerges despite the small range of body sizes used in the experiments (only 10% of observations are larger than 50% of maturation size) (</w:t>
      </w:r>
      <w:r w:rsidRPr="000D210C">
        <w:rPr>
          <w:rFonts w:ascii="Arial" w:hAnsi="Arial" w:cs="Arial"/>
          <w:i/>
          <w:iCs/>
          <w:color w:val="000000"/>
          <w:sz w:val="20"/>
          <w:szCs w:val="20"/>
        </w:rPr>
        <w:t>SI Appendix,</w:t>
      </w:r>
      <w:r w:rsidRPr="000D210C">
        <w:rPr>
          <w:rFonts w:ascii="Arial" w:hAnsi="Arial" w:cs="Arial"/>
          <w:color w:val="000000"/>
          <w:sz w:val="20"/>
          <w:szCs w:val="20"/>
        </w:rPr>
        <w:t xml:space="preserve"> Fig. S2). Individuals of such small relative size likely invest little energy in reproduction, which suggests that physiological constraints contribute to reduced growth performance of large compared to small fish, in addition to increasing investment into reproduction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cbqejfjrq","properties":{"formattedCitation":"(69)","plainCitation":"(69)","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(69)</w:t>
      </w:r>
      <w:r w:rsidRPr="000D210C">
        <w:rPr>
          <w:rFonts w:ascii="Arial" w:hAnsi="Arial" w:cs="Arial"/>
          <w:color w:val="000000"/>
          <w:sz w:val="20"/>
          <w:szCs w:val="20"/>
        </w:rPr>
        <w:fldChar w:fldCharType="end"/>
      </w:r>
      <w:r w:rsidRPr="000D210C">
        <w:rPr>
          <w:rFonts w:ascii="Arial" w:hAnsi="Arial" w:cs="Arial"/>
          <w:color w:val="000000"/>
          <w:sz w:val="20"/>
          <w:szCs w:val="20"/>
        </w:rPr>
        <w:t>.</w:t>
      </w:r>
    </w:p>
    <w:p w14:paraId="40CABB37" w14:textId="77777777" w:rsidR="00FE0D3F" w:rsidRDefault="00FE0D3F" w:rsidP="000D210C">
      <w:pPr>
        <w:pBdr>
          <w:top w:val="nil"/>
          <w:left w:val="nil"/>
          <w:bottom w:val="nil"/>
          <w:right w:val="nil"/>
          <w:between w:val="nil"/>
        </w:pBdr>
        <w:spacing w:after="0"/>
        <w:contextualSpacing/>
        <w:rPr>
          <w:rFonts w:ascii="Arial" w:hAnsi="Arial" w:cs="Arial"/>
          <w:color w:val="000000"/>
          <w:sz w:val="20"/>
          <w:szCs w:val="20"/>
        </w:rPr>
      </w:pPr>
    </w:p>
    <w:p w14:paraId="796F8B09" w14:textId="1E423B58"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Translating results from experimental data to natural systems is challenging because maximal feeding rates, unlimited food supply, lack of predation, and constant temperatures do not reflect natural conditions, yet affect growth rates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{"citationID":"a2h2qtonseq","properties":{"formattedCitation":"(67, 70, 71)","plainCitation":"(67, 70, 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(67, 70, 71)</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In addition, total metabolic costs in the wild also include additional costs for foraging and predator avoidance. It is, however, typically found and assumed that standard metabolic rate and natural feeding levels are proportional to routine metabolic rate and maximum consumption rate, respectively, and thus exhibit the same mass-scaling relationships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{"citationID":"W1VeeMr0","properties":{"formattedCitation":"(32, 72)","plainCitation":"(32, 72)","noteIndex":0},"citationItems":[{"id":177,"uris":["http://zotero.org/users/6116610/items/4RNEVDMA"],"uri":["http://zotero.org/users/6116610/items/4RNEVDMA"],"itemData":{"id":177,"type":"article-journal","container-title":"Journal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(32, 72)</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Intraspecific growth rates may not appear to be unimodally related to temperature when measured over a temperature gradient across populations within a species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fe713taf5","properties":{"formattedCitation":"(20)","plainCitation":"(20)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(20)</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because each population can be adapted to local climate conditions and thus display different temperature optima. However, each population likely has a thermal optimum for growth, which differs between individuals of different size. Hence, each population might have a unimodal relationship with temperature as it warms. This highlights the importance of understanding the time scale of environmental change in relation to that of immediate physiological responses, acclimation, adaptation and community reorganization for the specific prediction about climate change impacts. </w:t>
      </w:r>
    </w:p>
    <w:p w14:paraId="59384DDE" w14:textId="77777777" w:rsidR="00E04AE8" w:rsidRDefault="00E04AE8" w:rsidP="000D210C">
      <w:pPr>
        <w:pBdr>
          <w:top w:val="nil"/>
          <w:left w:val="nil"/>
          <w:bottom w:val="nil"/>
          <w:right w:val="nil"/>
          <w:between w:val="nil"/>
        </w:pBdr>
        <w:spacing w:after="0"/>
        <w:contextualSpacing/>
        <w:rPr>
          <w:rFonts w:ascii="Arial" w:hAnsi="Arial" w:cs="Arial"/>
          <w:color w:val="000000"/>
          <w:sz w:val="20"/>
          <w:szCs w:val="20"/>
        </w:rPr>
      </w:pPr>
    </w:p>
    <w:p w14:paraId="4735CB0F" w14:textId="4690FA67"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In natural systems, climate warming may also result in stronger food limitation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{"citationID":"29ixWCVp","properties":{"formattedCitation":"(71, 73)","plainCitation":"(71, 73)","noteIndex":0},"citationItems":[{"id":76,"uris":["http://zotero.org/users/6116610/items/35CDZ7HL"],"uri":["http://zotero.org/users/6116610/items/35CDZ7HL"],"itemData":{"id":76,"type":"article-journal","abstract":"Global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(71, 73)</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Hence, as optimum growth temperatures decline not only with size but also food availability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{"citationID":"agg4qk1hhu","properties":{"formattedCitation":"(67, 74)","plainCitation":"(67, 74)","noteIndex":0},"citationItems":[{"id":965,"uris":["http://zotero.org/users/6116610/items/YG8DMK3F"],"uri":["http://zotero.org/users/6116610/items/YG8DMK3F"],"itemData":{"id":965,"type":"article-journal","abstract":"The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(67, 74)</w:t>
      </w:r>
      <w:r w:rsidRPr="000D210C">
        <w:rPr>
          <w:rFonts w:ascii="Arial" w:hAnsi="Arial" w:cs="Arial"/>
          <w:color w:val="000000"/>
          <w:sz w:val="20"/>
          <w:szCs w:val="20"/>
        </w:rPr>
        <w:fldChar w:fldCharType="end"/>
      </w:r>
      <w:r w:rsidRPr="000D210C">
        <w:rPr>
          <w:rFonts w:ascii="Arial" w:hAnsi="Arial" w:cs="Arial"/>
          <w:color w:val="000000"/>
          <w:sz w:val="20"/>
          <w:szCs w:val="20"/>
        </w:rPr>
        <w:t>, and realized consumption rates are a fraction of the maximum consumption rate (20-70%) (</w:t>
      </w:r>
      <w:proofErr w:type="spellStart"/>
      <w:r w:rsidRPr="000D210C">
        <w:rPr>
          <w:rFonts w:ascii="Arial" w:hAnsi="Arial" w:cs="Arial"/>
          <w:color w:val="000000"/>
          <w:sz w:val="20"/>
          <w:szCs w:val="20"/>
        </w:rPr>
        <w:t>Kitchell</w:t>
      </w:r>
      <w:proofErr w:type="spellEnd"/>
      <w:r w:rsidRPr="000D210C">
        <w:rPr>
          <w:rFonts w:ascii="Arial" w:hAnsi="Arial" w:cs="Arial"/>
          <w:color w:val="000000"/>
          <w:sz w:val="20"/>
          <w:szCs w:val="20"/>
        </w:rPr>
        <w:t xml:space="preserve"> </w:t>
      </w:r>
      <w:r w:rsidRPr="000D210C">
        <w:rPr>
          <w:rFonts w:ascii="Arial" w:hAnsi="Arial" w:cs="Arial"/>
          <w:i/>
          <w:iCs/>
          <w:color w:val="000000"/>
          <w:sz w:val="20"/>
          <w:szCs w:val="20"/>
        </w:rPr>
        <w:t>et al.</w:t>
      </w:r>
      <w:r w:rsidRPr="000D210C">
        <w:rPr>
          <w:rFonts w:ascii="Arial" w:hAnsi="Arial" w:cs="Arial"/>
          <w:color w:val="000000"/>
          <w:sz w:val="20"/>
          <w:szCs w:val="20"/>
        </w:rPr>
        <w:t xml:space="preserve"> 1977; </w:t>
      </w:r>
      <w:proofErr w:type="spellStart"/>
      <w:r w:rsidRPr="000D210C">
        <w:rPr>
          <w:rFonts w:ascii="Arial" w:hAnsi="Arial" w:cs="Arial"/>
          <w:color w:val="000000"/>
          <w:sz w:val="20"/>
          <w:szCs w:val="20"/>
        </w:rPr>
        <w:t>Neuenfeldt</w:t>
      </w:r>
      <w:proofErr w:type="spellEnd"/>
      <w:r w:rsidRPr="000D210C">
        <w:rPr>
          <w:rFonts w:ascii="Arial" w:hAnsi="Arial" w:cs="Arial"/>
          <w:color w:val="000000"/>
          <w:sz w:val="20"/>
          <w:szCs w:val="20"/>
        </w:rPr>
        <w:t xml:space="preserve"> </w:t>
      </w:r>
      <w:r w:rsidRPr="000D210C">
        <w:rPr>
          <w:rFonts w:ascii="Arial" w:hAnsi="Arial" w:cs="Arial"/>
          <w:i/>
          <w:iCs/>
          <w:color w:val="000000"/>
          <w:sz w:val="20"/>
          <w:szCs w:val="20"/>
        </w:rPr>
        <w:t>et al.</w:t>
      </w:r>
      <w:r w:rsidRPr="000D210C">
        <w:rPr>
          <w:rFonts w:ascii="Arial" w:hAnsi="Arial" w:cs="Arial"/>
          <w:color w:val="000000"/>
          <w:sz w:val="20"/>
          <w:szCs w:val="20"/>
        </w:rPr>
        <w:t xml:space="preserve"> 2019), species may be negatively impacted by warming even when controlled experiments show they can maintain growth capacity at these temperatures. Supporting this point is the observation that warming already has negative or lack of positive effects on body growth in populations living at the edge of their physiological tolerance in terms of growth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{"citationID":"BwYHLP4y","properties":{"formattedCitation":"(12, 14)","plainCitation":"(12, 14)","noteIndex":0},"citationItems":[{"id":54,"uris":["http://zotero.org/users/6116610/items/58B8SJXA"],"uri":["http://zotero.org/users/6116610/items/58B8SJXA"],"itemData":{"id":54,"type":"article-journal","container-title":"Nature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(12, 14)</w:t>
      </w:r>
      <w:r w:rsidRPr="000D210C">
        <w:rPr>
          <w:rFonts w:ascii="Arial" w:hAnsi="Arial" w:cs="Arial"/>
          <w:color w:val="000000"/>
          <w:sz w:val="20"/>
          <w:szCs w:val="20"/>
        </w:rPr>
        <w:fldChar w:fldCharType="end"/>
      </w:r>
      <w:r w:rsidRPr="000D210C">
        <w:rPr>
          <w:rFonts w:ascii="Arial" w:hAnsi="Arial" w:cs="Arial"/>
          <w:color w:val="000000"/>
          <w:sz w:val="20"/>
          <w:szCs w:val="20"/>
        </w:rPr>
        <w:t>.</w:t>
      </w:r>
    </w:p>
    <w:p w14:paraId="1014045C" w14:textId="77777777" w:rsidR="00A25284" w:rsidRDefault="00A25284" w:rsidP="000D210C">
      <w:pPr>
        <w:pBdr>
          <w:top w:val="nil"/>
          <w:left w:val="nil"/>
          <w:bottom w:val="nil"/>
          <w:right w:val="nil"/>
          <w:between w:val="nil"/>
        </w:pBdr>
        <w:spacing w:after="0"/>
        <w:contextualSpacing/>
        <w:rPr>
          <w:rFonts w:ascii="Arial" w:hAnsi="Arial" w:cs="Arial"/>
          <w:color w:val="000000"/>
          <w:sz w:val="20"/>
          <w:szCs w:val="20"/>
        </w:rPr>
      </w:pPr>
    </w:p>
    <w:p w14:paraId="75BBE2C6" w14:textId="0216544B" w:rsidR="000D210C" w:rsidRPr="000D210C" w:rsidRDefault="000D210C" w:rsidP="000D210C">
      <w:pPr>
        <w:pBdr>
          <w:top w:val="nil"/>
          <w:left w:val="nil"/>
          <w:bottom w:val="nil"/>
          <w:right w:val="nil"/>
          <w:between w:val="nil"/>
        </w:pBdr>
        <w:spacing w:after="0"/>
        <w:contextualSpacing/>
        <w:rPr>
          <w:rFonts w:ascii="Arial" w:hAnsi="Arial" w:cs="Arial"/>
          <w:color w:val="000000"/>
          <w:sz w:val="20"/>
          <w:szCs w:val="20"/>
        </w:rPr>
      </w:pPr>
      <w:r w:rsidRPr="000D210C">
        <w:rPr>
          <w:rFonts w:ascii="Arial" w:hAnsi="Arial" w:cs="Arial"/>
          <w:color w:val="000000"/>
          <w:sz w:val="20"/>
          <w:szCs w:val="20"/>
        </w:rPr>
        <w:t xml:space="preserve">Whether the largest fish of a population will be the first to experience negative effects of warming, as suggested by our finding that optimum growth temperature declines with body size, depends </w:t>
      </w:r>
      <w:r w:rsidRPr="000D210C">
        <w:rPr>
          <w:rFonts w:ascii="Arial" w:hAnsi="Arial" w:cs="Arial"/>
          <w:color w:val="000000"/>
          <w:sz w:val="20"/>
          <w:szCs w:val="20"/>
        </w:rPr>
        <w:lastRenderedPageBreak/>
        <w:t xml:space="preserve">on the environmental temperatures they typically experience compared to smaller conspecifics. They may for instance inhabit colder temperatures compared to small fish due to ontogenetic habitat shifts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{"citationID":"44Rz5uDy","properties":{"formattedCitation":"(75, 76)","plainCitation":"(75, 76)","noteIndex":0},"citationItems":[{"id":815,"uris":["http://zotero.org/users/6116610/items/DFGXN47I"],"uri":["http://zotero.org/users/6116610/items/DFGXN47I"],"itemData":{"id":815,"type":"article-journal","abstract":"The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(75, 76)</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see also </w:t>
      </w:r>
      <w:proofErr w:type="spellStart"/>
      <w:r w:rsidRPr="000D210C">
        <w:rPr>
          <w:rFonts w:ascii="Arial" w:hAnsi="Arial" w:cs="Arial"/>
          <w:color w:val="000000"/>
          <w:sz w:val="20"/>
          <w:szCs w:val="20"/>
        </w:rPr>
        <w:t>Heincke’s</w:t>
      </w:r>
      <w:proofErr w:type="spellEnd"/>
      <w:r w:rsidRPr="000D210C">
        <w:rPr>
          <w:rFonts w:ascii="Arial" w:hAnsi="Arial" w:cs="Arial"/>
          <w:color w:val="000000"/>
          <w:sz w:val="20"/>
          <w:szCs w:val="20"/>
        </w:rPr>
        <w:t xml:space="preserve"> law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{"citationID":"a1c28avd77q","properties":{"formattedCitation":"(77, 78)","plainCitation":"(77, 78)","noteIndex":0},"citationItems":[{"id":814,"uris":["http://zotero.org/users/6116610/items/R4H8NZVA"],"uri":["http://zotero.org/users/6116610/items/R4H8NZVA"],"itemData":{"id":814,"type":"article-journal","title":"Rapp.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(77, 78)</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That said, there is already empirical evidence of the largest individuals in natural populations being the first to suffer from negative impacts of warming from heatwaves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dl9ihohg5","properties":{"formattedCitation":"(79)","plainCitation":"(79)","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rPr>
        <w:t>(79)</w:t>
      </w:r>
      <w:r w:rsidRPr="000D210C">
        <w:rPr>
          <w:rFonts w:ascii="Arial" w:hAnsi="Arial" w:cs="Arial"/>
          <w:color w:val="000000"/>
          <w:sz w:val="20"/>
          <w:szCs w:val="20"/>
        </w:rPr>
        <w:fldChar w:fldCharType="end"/>
      </w:r>
      <w:r w:rsidRPr="000D210C">
        <w:rPr>
          <w:rFonts w:ascii="Arial" w:hAnsi="Arial" w:cs="Arial"/>
          <w:color w:val="000000"/>
          <w:sz w:val="20"/>
          <w:szCs w:val="20"/>
        </w:rPr>
        <w:t xml:space="preserve">, or not being able to benefit from warming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{"citationID":"ab767006mr","properties":{"formattedCitation":"(14, 18)","plainCitation":"(14, 18)","noteIndex":0},"citationItems":[{"id":783,"uris":["http://zotero.org/users/6116610/items/FZ6DLIUR"],"uri":["http://zotero.org/users/6116610/items/FZ6DLIUR"],"itemData":{"id":783,"type":"article-journal","abstract":"A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scale experiments. However, it is unknown if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body size responses are representative of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 and long</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term growth responses differ. We addressed these questions using a unique setup with multidecadal artificial heating of an enclosed coastal bay in the Baltic Sea and an adjacent reference area (both with unexploited populations), using before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after control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impact paired time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series analyses. We assembled individual growth trajectories of ~13,000 unique individuals of Eurasian perch and found that body growth increased substantially after warming, but the extent depended on body size: Only among small</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492802">
        <w:rPr>
          <w:rFonts w:ascii="Cambria Math" w:hAnsi="Cambria Math" w:cs="Cambria Math"/>
          <w:color w:val="000000"/>
          <w:sz w:val="20"/>
          <w:szCs w:val="20"/>
        </w:rPr>
        <w:instrText>‐</w:instrText>
      </w:r>
      <w:r w:rsidR="00492802">
        <w:rPr>
          <w:rFonts w:ascii="Arial" w:hAnsi="Arial" w:cs="Arial"/>
          <w:color w:val="000000"/>
          <w:sz w:val="20"/>
          <w:szCs w:val="20"/>
        </w:rPr>
        <w:instrText xml:space="preserv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(14, 18)</w:t>
      </w:r>
      <w:r w:rsidRPr="000D210C">
        <w:rPr>
          <w:rFonts w:ascii="Arial" w:hAnsi="Arial" w:cs="Arial"/>
          <w:color w:val="000000"/>
          <w:sz w:val="20"/>
          <w:szCs w:val="20"/>
        </w:rPr>
        <w:fldChar w:fldCharType="end"/>
      </w:r>
      <w:r w:rsidRPr="000D210C">
        <w:rPr>
          <w:rFonts w:ascii="Arial" w:hAnsi="Arial" w:cs="Arial"/>
          <w:color w:val="000000"/>
          <w:sz w:val="20"/>
          <w:szCs w:val="20"/>
        </w:rPr>
        <w:t>. Hence, assuming that warming affects all individuals of a population equally</w:t>
      </w:r>
      <w:r w:rsidRPr="000D210C" w:rsidDel="00881DFC">
        <w:rPr>
          <w:rFonts w:ascii="Arial" w:hAnsi="Arial" w:cs="Arial"/>
          <w:color w:val="000000"/>
          <w:sz w:val="20"/>
          <w:szCs w:val="20"/>
        </w:rPr>
        <w:t xml:space="preserve"> </w:t>
      </w:r>
      <w:r w:rsidRPr="000D210C">
        <w:rPr>
          <w:rFonts w:ascii="Arial" w:hAnsi="Arial" w:cs="Arial"/>
          <w:color w:val="000000"/>
          <w:sz w:val="20"/>
          <w:szCs w:val="20"/>
        </w:rPr>
        <w:t xml:space="preserve">is a simplification that can bias predictions of the biological impacts of climate change. </w:t>
      </w:r>
    </w:p>
    <w:p w14:paraId="7F94F2DE" w14:textId="77777777" w:rsidR="001C7931" w:rsidRDefault="001C7931" w:rsidP="000D210C">
      <w:pPr>
        <w:pBdr>
          <w:top w:val="nil"/>
          <w:left w:val="nil"/>
          <w:bottom w:val="nil"/>
          <w:right w:val="nil"/>
          <w:between w:val="nil"/>
        </w:pBdr>
        <w:spacing w:after="0"/>
        <w:contextualSpacing/>
        <w:rPr>
          <w:rFonts w:ascii="Arial" w:hAnsi="Arial" w:cs="Arial"/>
          <w:color w:val="000000"/>
          <w:sz w:val="20"/>
          <w:szCs w:val="20"/>
        </w:rPr>
      </w:pPr>
    </w:p>
    <w:p w14:paraId="7550C69C" w14:textId="1EAF6D5A" w:rsidR="00E6133D" w:rsidRDefault="000D210C" w:rsidP="000D210C">
      <w:pPr>
        <w:pBdr>
          <w:top w:val="nil"/>
          <w:left w:val="nil"/>
          <w:bottom w:val="nil"/>
          <w:right w:val="nil"/>
          <w:between w:val="nil"/>
        </w:pBdr>
        <w:spacing w:after="0"/>
        <w:contextualSpacing/>
        <w:rPr>
          <w:rFonts w:ascii="Arial" w:hAnsi="Arial" w:cs="Arial"/>
          <w:b/>
          <w:color w:val="000000"/>
          <w:sz w:val="20"/>
          <w:szCs w:val="20"/>
        </w:rPr>
      </w:pPr>
      <w:r w:rsidRPr="000D210C">
        <w:rPr>
          <w:rFonts w:ascii="Arial" w:hAnsi="Arial" w:cs="Arial"/>
          <w:color w:val="000000"/>
          <w:sz w:val="20"/>
          <w:szCs w:val="20"/>
        </w:rPr>
        <w:t xml:space="preserve">The interspecific scaling of fundamental ecological processes with body mass and temperature has been used to predict the effects of warming on body size, size structure, and population and community dynamics </w:t>
      </w:r>
      <w:r w:rsidRPr="000D210C">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{"citationID":"qmh1BDvi","properties":{"formattedCitation":"(26, 59, 80, 81)","plainCitation":"(26, 59, 80, 81)","noteIndex":0},"citationItems":[{"id":74,"uris":["http://zotero.org/users/6116610/items/3SH8GYG3"],"uri":["http://zotero.org/users/6116610/items/3SH8GYG3"],"itemData":{"id":74,"type":"article-journal","container-title":"The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0D210C">
        <w:rPr>
          <w:rFonts w:ascii="Arial" w:hAnsi="Arial" w:cs="Arial"/>
          <w:color w:val="000000"/>
          <w:sz w:val="20"/>
          <w:szCs w:val="20"/>
        </w:rPr>
        <w:fldChar w:fldCharType="separate"/>
      </w:r>
      <w:r w:rsidR="00492802">
        <w:rPr>
          <w:rFonts w:ascii="Arial" w:hAnsi="Arial" w:cs="Arial"/>
          <w:color w:val="000000"/>
          <w:sz w:val="20"/>
          <w:szCs w:val="20"/>
          <w:lang w:val="en-GB"/>
        </w:rPr>
        <w:t>(26, 59, 80, 81)</w:t>
      </w:r>
      <w:r w:rsidRPr="000D210C">
        <w:rPr>
          <w:rFonts w:ascii="Arial" w:hAnsi="Arial" w:cs="Arial"/>
          <w:color w:val="000000"/>
          <w:sz w:val="20"/>
          <w:szCs w:val="20"/>
        </w:rPr>
        <w:fldChar w:fldCharType="end"/>
      </w:r>
      <w:r w:rsidRPr="000D210C">
        <w:rPr>
          <w:rFonts w:ascii="Arial" w:hAnsi="Arial" w:cs="Arial"/>
          <w:color w:val="000000"/>
          <w:sz w:val="20"/>
          <w:szCs w:val="20"/>
        </w:rPr>
        <w:t>. We argue that a contributing factor to the discrepancy between mechanistic growth models, general scaling theory, and empirical data has been the lack of data synthesis at the intraspecific level. The approach presented here can help overcome limitations of small data sets by borrowing information across species in a single modelling framework, while accounting for the intraspecific scaling of rates. Accounting for the faster increase in whole-organism metabolism than consumption with body size, the unimodal thermal response of consumption, and resulting size-dependence of optimum growth temperatures is essential for understanding what causes observed growth responses to global warming. Acknowledging these mechanisms is also important for improving predictions on the consequences of warming effects on fish growth for food web functioning, fisheries yields and global food production in warmer climates.</w:t>
      </w: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545C70B4"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r w:rsidRPr="00DC0259">
        <w:rPr>
          <w:rFonts w:ascii="Arial" w:hAnsi="Arial" w:cs="Arial"/>
          <w:b/>
          <w:color w:val="000000"/>
          <w:sz w:val="20"/>
          <w:szCs w:val="20"/>
        </w:rPr>
        <w:t>Data acquisition</w:t>
      </w:r>
    </w:p>
    <w:p w14:paraId="795C99A1" w14:textId="204F3E9A"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We searched the literature for experimental studies evaluating the temperature response of individual maximum consumption rate (feeding rate at unlimited food supply, </w:t>
      </w:r>
      <w:r w:rsidRPr="00DC0259">
        <w:rPr>
          <w:rFonts w:ascii="Arial" w:hAnsi="Arial" w:cs="Arial"/>
          <w:i/>
          <w:color w:val="000000"/>
          <w:sz w:val="20"/>
          <w:szCs w:val="20"/>
        </w:rPr>
        <w:t>ad libitum</w:t>
      </w:r>
      <w:r w:rsidRPr="00DC0259">
        <w:rPr>
          <w:rFonts w:ascii="Arial" w:hAnsi="Arial" w:cs="Arial"/>
          <w:color w:val="000000"/>
          <w:sz w:val="20"/>
          <w:szCs w:val="20"/>
        </w:rPr>
        <w:t xml:space="preserve">), resting, routine and standard oxygen consumption rate as a proxy for metabolic rate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3egpneUb","properties":{"formattedCitation":"(82)","plainCitation":"(82)","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(82)</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and growth rates across individuals of different sizes within species. We used three different searches on the Web of Science Core Collection (see </w:t>
      </w:r>
      <w:r w:rsidRPr="00DC0259">
        <w:rPr>
          <w:rFonts w:ascii="Arial" w:hAnsi="Arial" w:cs="Arial"/>
          <w:i/>
          <w:iCs/>
          <w:color w:val="000000"/>
          <w:sz w:val="20"/>
          <w:szCs w:val="20"/>
        </w:rPr>
        <w:t>SI Appendix</w:t>
      </w:r>
      <w:r w:rsidRPr="00DC0259">
        <w:rPr>
          <w:rFonts w:ascii="Arial" w:hAnsi="Arial" w:cs="Arial"/>
          <w:color w:val="000000"/>
          <w:sz w:val="20"/>
          <w:szCs w:val="20"/>
        </w:rPr>
        <w:t xml:space="preserve">, for details). In order to estimate how these </w:t>
      </w:r>
      <w:proofErr w:type="gramStart"/>
      <w:r w:rsidRPr="00DC0259">
        <w:rPr>
          <w:rFonts w:ascii="Arial" w:hAnsi="Arial" w:cs="Arial"/>
          <w:color w:val="000000"/>
          <w:sz w:val="20"/>
          <w:szCs w:val="20"/>
        </w:rPr>
        <w:t>rates</w:t>
      </w:r>
      <w:proofErr w:type="gramEnd"/>
      <w:r w:rsidRPr="00DC0259">
        <w:rPr>
          <w:rFonts w:ascii="Arial" w:hAnsi="Arial" w:cs="Arial"/>
          <w:color w:val="000000"/>
          <w:sz w:val="20"/>
          <w:szCs w:val="20"/>
        </w:rPr>
        <w:t xml:space="preserve"> depend on body size and temperature within species, we selected studies that experimentally varied both body size and temperature (at least two temperature treatments and at least two body masses). The average number of unique temperature treatments (temperature rounded to nearest </w:t>
      </w:r>
      <m:oMath>
        <m:r>
          <w:rPr>
            <w:rFonts w:ascii="Cambria Math" w:hAnsi="Cambria Math" w:cs="Arial"/>
            <w:color w:val="000000"/>
            <w:sz w:val="20"/>
            <w:szCs w:val="20"/>
          </w:rPr>
          <m:t>℃</m:t>
        </m:r>
      </m:oMath>
      <w:r w:rsidRPr="00DC0259">
        <w:rPr>
          <w:rFonts w:ascii="Arial" w:hAnsi="Arial" w:cs="Arial"/>
          <w:color w:val="000000"/>
          <w:sz w:val="20"/>
          <w:szCs w:val="20"/>
        </w:rPr>
        <w:t>) by species is 7.2 for growth and 4.3 for consumption and metabolism data). The criteria for both mass and temperature variation in the experiments reduces the number of poten</w:t>
      </w:r>
      <w:proofErr w:type="spellStart"/>
      <w:r w:rsidRPr="00DC0259">
        <w:rPr>
          <w:rFonts w:ascii="Arial" w:hAnsi="Arial" w:cs="Arial"/>
          <w:color w:val="000000"/>
          <w:sz w:val="20"/>
          <w:szCs w:val="20"/>
        </w:rPr>
        <w:t>tial</w:t>
      </w:r>
      <w:proofErr w:type="spellEnd"/>
      <w:r w:rsidRPr="00DC0259">
        <w:rPr>
          <w:rFonts w:ascii="Arial" w:hAnsi="Arial" w:cs="Arial"/>
          <w:color w:val="000000"/>
          <w:sz w:val="20"/>
          <w:szCs w:val="20"/>
        </w:rPr>
        <w:t xml:space="preserve">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we excluded larval studies, which represents a life stage exhibiting different constraints and scaling relationships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247vggmdpk","properties":{"formattedCitation":"(40)","plainCitation":"(40)","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(40)</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w:t>
      </w:r>
    </w:p>
    <w:p w14:paraId="37525E5A" w14:textId="77777777" w:rsidR="007D7992" w:rsidRDefault="007D7992" w:rsidP="00DC0259">
      <w:pPr>
        <w:pBdr>
          <w:top w:val="nil"/>
          <w:left w:val="nil"/>
          <w:bottom w:val="nil"/>
          <w:right w:val="nil"/>
          <w:between w:val="nil"/>
        </w:pBdr>
        <w:contextualSpacing/>
        <w:rPr>
          <w:rFonts w:ascii="Arial" w:hAnsi="Arial" w:cs="Arial"/>
          <w:color w:val="000000"/>
          <w:sz w:val="20"/>
          <w:szCs w:val="20"/>
        </w:rPr>
      </w:pPr>
    </w:p>
    <w:p w14:paraId="707EB96F" w14:textId="4CF187F6"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Studies were included if (</w:t>
      </w:r>
      <w:proofErr w:type="spellStart"/>
      <w:r w:rsidRPr="00DC0259">
        <w:rPr>
          <w:rFonts w:ascii="Arial" w:hAnsi="Arial" w:cs="Arial"/>
          <w:color w:val="000000"/>
          <w:sz w:val="20"/>
          <w:szCs w:val="20"/>
        </w:rPr>
        <w:t>i</w:t>
      </w:r>
      <w:proofErr w:type="spellEnd"/>
      <w:r w:rsidRPr="00DC0259">
        <w:rPr>
          <w:rFonts w:ascii="Arial" w:hAnsi="Arial" w:cs="Arial"/>
          <w:color w:val="000000"/>
          <w:sz w:val="20"/>
          <w:szCs w:val="20"/>
        </w:rPr>
        <w:t>) a unique experimental temperature was recorded for each trial (</w:t>
      </w:r>
      <m:oMath>
        <m:r>
          <w:rPr>
            <w:rFonts w:ascii="Cambria Math" w:hAnsi="Cambria Math" w:cs="Arial"/>
            <w:color w:val="000000"/>
            <w:sz w:val="20"/>
            <w:szCs w:val="20"/>
          </w:rPr>
          <m:t>±</m:t>
        </m:r>
      </m:oMath>
      <w:r w:rsidRPr="00DC0259">
        <w:rPr>
          <w:rFonts w:ascii="Arial" w:hAnsi="Arial" w:cs="Arial"/>
          <w:color w:val="000000"/>
          <w:sz w:val="20"/>
          <w:szCs w:val="20"/>
        </w:rPr>
        <w:t>1</w:t>
      </w:r>
      <m:oMath>
        <m:r>
          <w:rPr>
            <w:rFonts w:ascii="Cambria Math" w:hAnsi="Cambria Math" w:cs="Arial"/>
            <w:color w:val="000000"/>
            <w:sz w:val="20"/>
            <w:szCs w:val="20"/>
          </w:rPr>
          <m:t>°</m:t>
        </m:r>
        <m:r>
          <m:rPr>
            <m:sty m:val="p"/>
          </m:rPr>
          <w:rPr>
            <w:rFonts w:ascii="Cambria Math" w:hAnsi="Cambria Math" w:cs="Arial"/>
            <w:color w:val="000000"/>
            <w:sz w:val="20"/>
            <w:szCs w:val="20"/>
          </w:rPr>
          <m:t>C</m:t>
        </m:r>
      </m:oMath>
      <w:r w:rsidRPr="00DC0259">
        <w:rPr>
          <w:rFonts w:ascii="Arial" w:hAnsi="Arial" w:cs="Arial"/>
          <w:color w:val="000000"/>
          <w:sz w:val="20"/>
          <w:szCs w:val="20"/>
        </w:rPr>
        <w:t xml:space="preserve">), (ii) fish were provided food at </w:t>
      </w:r>
      <w:r w:rsidRPr="00DC0259">
        <w:rPr>
          <w:rFonts w:ascii="Arial" w:hAnsi="Arial" w:cs="Arial"/>
          <w:i/>
          <w:color w:val="000000"/>
          <w:sz w:val="20"/>
          <w:szCs w:val="20"/>
        </w:rPr>
        <w:t>ad libitum</w:t>
      </w:r>
      <w:r w:rsidRPr="00DC0259">
        <w:rPr>
          <w:rFonts w:ascii="Arial" w:hAnsi="Arial" w:cs="Arial"/>
          <w:color w:val="000000"/>
          <w:sz w:val="20"/>
          <w:szCs w:val="20"/>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{"citationID":"amcftootkd","properties":{"formattedCitation":"(42, 83)","plainCitation":"(42, 83)","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(42, 83)</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In cases where we found more than one study for a given rate and species, we selected the most suitable study based on our pre-defined criteria (for details, see </w:t>
      </w:r>
      <w:r w:rsidRPr="00DC0259">
        <w:rPr>
          <w:rFonts w:ascii="Arial" w:hAnsi="Arial" w:cs="Arial"/>
          <w:i/>
          <w:iCs/>
          <w:color w:val="000000"/>
          <w:sz w:val="20"/>
          <w:szCs w:val="20"/>
        </w:rPr>
        <w:t>SI Appendix</w:t>
      </w:r>
      <w:r w:rsidRPr="00DC0259">
        <w:rPr>
          <w:rFonts w:ascii="Arial" w:hAnsi="Arial" w:cs="Arial"/>
          <w:color w:val="000000"/>
          <w:sz w:val="20"/>
          <w:szCs w:val="20"/>
        </w:rPr>
        <w:t>). We ensured that the experiments were conducted at ecologically relevant temperatures (</w:t>
      </w:r>
      <w:r w:rsidRPr="00DC0259">
        <w:rPr>
          <w:rFonts w:ascii="Arial" w:hAnsi="Arial" w:cs="Arial"/>
          <w:i/>
          <w:iCs/>
          <w:color w:val="000000"/>
          <w:sz w:val="20"/>
          <w:szCs w:val="20"/>
        </w:rPr>
        <w:t>SI Appendix,</w:t>
      </w:r>
      <w:r w:rsidRPr="00DC0259">
        <w:rPr>
          <w:rFonts w:ascii="Arial" w:hAnsi="Arial" w:cs="Arial"/>
          <w:color w:val="000000"/>
          <w:sz w:val="20"/>
          <w:szCs w:val="20"/>
        </w:rPr>
        <w:t xml:space="preserve"> Figs. S1, S3). A more detailed description of the search protocol, data selection, acquisition, quality control, collation of additional information and standardizing of rates to common units can be found in </w:t>
      </w:r>
      <w:r w:rsidRPr="00DC0259">
        <w:rPr>
          <w:rFonts w:ascii="Arial" w:hAnsi="Arial" w:cs="Arial"/>
          <w:i/>
          <w:iCs/>
          <w:color w:val="000000"/>
          <w:sz w:val="20"/>
          <w:szCs w:val="20"/>
        </w:rPr>
        <w:t>SI Appendix</w:t>
      </w:r>
      <w:r w:rsidRPr="00DC0259">
        <w:rPr>
          <w:rFonts w:ascii="Arial" w:hAnsi="Arial" w:cs="Arial"/>
          <w:color w:val="000000"/>
          <w:sz w:val="20"/>
          <w:szCs w:val="20"/>
        </w:rPr>
        <w:t>.</w:t>
      </w:r>
    </w:p>
    <w:p w14:paraId="17439A69" w14:textId="77777777" w:rsidR="00831E1B" w:rsidRDefault="00831E1B" w:rsidP="00DC0259">
      <w:pPr>
        <w:pBdr>
          <w:top w:val="nil"/>
          <w:left w:val="nil"/>
          <w:bottom w:val="nil"/>
          <w:right w:val="nil"/>
          <w:between w:val="nil"/>
        </w:pBdr>
        <w:contextualSpacing/>
        <w:rPr>
          <w:rFonts w:ascii="Arial" w:hAnsi="Arial" w:cs="Arial"/>
          <w:color w:val="000000"/>
          <w:sz w:val="20"/>
          <w:szCs w:val="20"/>
        </w:rPr>
      </w:pPr>
    </w:p>
    <w:p w14:paraId="489CD295" w14:textId="56365E26"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lastRenderedPageBreak/>
        <w:t>We compiled four datasets: maximum consumption rate, metabolic rate, growth rate and the optimum growth temperature</w:t>
      </w:r>
      <w:r w:rsidRPr="00DC0259" w:rsidDel="00782F2C">
        <w:rPr>
          <w:rFonts w:ascii="Arial" w:hAnsi="Arial" w:cs="Arial"/>
          <w:color w:val="000000"/>
          <w:sz w:val="20"/>
          <w:szCs w:val="20"/>
        </w:rPr>
        <w:t xml:space="preserve"> </w:t>
      </w:r>
      <w:r w:rsidRPr="00DC0259">
        <w:rPr>
          <w:rFonts w:ascii="Arial" w:hAnsi="Arial" w:cs="Arial"/>
          <w:color w:val="000000"/>
          <w:sz w:val="20"/>
          <w:szCs w:val="20"/>
        </w:rPr>
        <w:t xml:space="preserve">for each combination of body mass group and species. We compiled a total of 746 measurements of maximum consumption rate (of which 666 are below peak), 2699 measurements of metabolic rate and 227 measurements of growth rate (45 optimum temperatures) from published articles for each rate, from 20, 34 and 13 species, respectively, from different taxonomic groups, habitats and lifestyles (Table S1-S2). We requested original data from all corresponding authors of each article. In cases where we did not hear from the corresponding author, we extracted data from tables or figures using Web Plot Digitizer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uvru3095","properties":{"formattedCitation":"(84)","plainCitation":"(84)","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(84)</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w:t>
      </w:r>
    </w:p>
    <w:p w14:paraId="43477053"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p>
    <w:p w14:paraId="26AD03F5"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r w:rsidRPr="00DC0259">
        <w:rPr>
          <w:rFonts w:ascii="Arial" w:hAnsi="Arial" w:cs="Arial"/>
          <w:b/>
          <w:color w:val="000000"/>
          <w:sz w:val="20"/>
          <w:szCs w:val="20"/>
        </w:rPr>
        <w:t>Model fitting</w:t>
      </w:r>
    </w:p>
    <w:p w14:paraId="567DA5BE"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Model description</w:t>
      </w:r>
    </w:p>
    <w:p w14:paraId="2D4C5EC3" w14:textId="4FBD43A3"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To each dataset, w</w:t>
      </w:r>
      <w:r w:rsidRPr="00DC0259">
        <w:rPr>
          <w:rFonts w:ascii="Arial" w:hAnsi="Arial" w:cs="Arial"/>
          <w:bCs/>
          <w:color w:val="000000"/>
          <w:sz w:val="20"/>
          <w:szCs w:val="20"/>
        </w:rPr>
        <w:t xml:space="preserve">e fit hierarchical models with different combinations of species-varying coefficients, meaning they are estimated with shrinkage. This reduces the influence of outliers which could occur in species with small samples sizes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{"citationID":"a13lhriqdmn","properties":{"formattedCitation":"(85, 86)","plainCitation":"(85, 86)","noteIndex":0},"citationItems":[{"id":777,"uris":["http://zotero.org/users/6116610/items/9MH67JKW"],"uri":["http://zotero.org/users/6116610/items/9MH67JKW"],"itemData":{"id":777,"type":"book","abstract":"Data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rPr>
        <w:t>(85, 86)</w:t>
      </w:r>
      <w:r w:rsidRPr="00DC0259">
        <w:rPr>
          <w:rFonts w:ascii="Arial" w:hAnsi="Arial" w:cs="Arial"/>
          <w:color w:val="000000"/>
          <w:sz w:val="20"/>
          <w:szCs w:val="20"/>
        </w:rPr>
        <w:fldChar w:fldCharType="end"/>
      </w:r>
      <w:r w:rsidRPr="00DC0259">
        <w:rPr>
          <w:rFonts w:ascii="Arial" w:hAnsi="Arial" w:cs="Arial"/>
          <w:bCs/>
          <w:color w:val="000000"/>
          <w:sz w:val="20"/>
          <w:szCs w:val="20"/>
        </w:rPr>
        <w:t>. The general form of the model is:</w:t>
      </w:r>
    </w:p>
    <w:p w14:paraId="65DC3887" w14:textId="4CCBC7BF" w:rsidR="00DC0259" w:rsidRPr="00DC0259" w:rsidRDefault="00DC5DC8" w:rsidP="00DB1478">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r>
          <w:rPr>
            <w:rFonts w:ascii="Cambria Math" w:hAnsi="Cambria Math" w:cs="Arial"/>
            <w:color w:val="000000"/>
            <w:sz w:val="20"/>
            <w:szCs w:val="20"/>
          </w:rPr>
          <m:t>~N(</m:t>
        </m:r>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r>
          <w:rPr>
            <w:rFonts w:ascii="Cambria Math" w:hAnsi="Cambria Math" w:cs="Arial"/>
            <w:color w:val="000000"/>
            <w:sz w:val="20"/>
            <w:szCs w:val="20"/>
          </w:rPr>
          <m:t>, σ)</m:t>
        </m:r>
      </m:oMath>
      <w:r w:rsidR="00DC0259" w:rsidRPr="00DC0259">
        <w:rPr>
          <w:rFonts w:ascii="Arial" w:hAnsi="Arial" w:cs="Arial"/>
          <w:color w:val="000000"/>
          <w:sz w:val="20"/>
          <w:szCs w:val="20"/>
        </w:rPr>
        <w:t xml:space="preserve">                                                                 (1)</w:t>
      </w:r>
    </w:p>
    <w:p w14:paraId="4C717D24" w14:textId="2ADC2E6E" w:rsidR="00DC0259" w:rsidRPr="00DC0259" w:rsidRDefault="00DC5DC8" w:rsidP="00DB1478">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r>
          <w:rPr>
            <w:rFonts w:ascii="Cambria Math" w:hAnsi="Cambria Math" w:cs="Arial"/>
            <w:color w:val="000000"/>
            <w:sz w:val="20"/>
            <w:szCs w:val="20"/>
          </w:rPr>
          <m:t>=</m:t>
        </m:r>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r>
          <w:rPr>
            <w:rFonts w:ascii="Cambria Math" w:hAnsi="Cambria Math" w:cs="Arial"/>
            <w:color w:val="000000"/>
            <w:sz w:val="20"/>
            <w:szCs w:val="20"/>
          </w:rPr>
          <m:t>+</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p=1</m:t>
            </m:r>
          </m:sub>
          <m:sup>
            <m:r>
              <w:rPr>
                <w:rFonts w:ascii="Cambria Math" w:hAnsi="Cambria Math" w:cs="Arial"/>
                <w:color w:val="000000"/>
                <w:sz w:val="20"/>
                <w:szCs w:val="20"/>
              </w:rPr>
              <m:t>n</m:t>
            </m:r>
          </m:sup>
          <m:e>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ip</m:t>
                </m:r>
              </m:sub>
            </m:sSub>
            <m:r>
              <w:rPr>
                <w:rFonts w:ascii="Cambria Math" w:hAnsi="Cambria Math" w:cs="Arial"/>
                <w:color w:val="000000"/>
                <w:sz w:val="20"/>
                <w:szCs w:val="20"/>
              </w:rPr>
              <m:t>)</m:t>
            </m:r>
          </m:e>
        </m:nary>
      </m:oMath>
      <w:r w:rsidR="00DC0259" w:rsidRPr="00DC0259">
        <w:rPr>
          <w:rFonts w:ascii="Arial" w:hAnsi="Arial" w:cs="Arial"/>
          <w:color w:val="000000"/>
          <w:sz w:val="20"/>
          <w:szCs w:val="20"/>
        </w:rPr>
        <w:t xml:space="preserve">                                                           (2)</w:t>
      </w:r>
    </w:p>
    <w:p w14:paraId="38DAAFB6" w14:textId="4C5E16FC" w:rsidR="00DC0259" w:rsidRPr="00DC0259" w:rsidRDefault="00DC5DC8" w:rsidP="00DB1478">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r>
          <w:rPr>
            <w:rFonts w:ascii="Cambria Math" w:hAnsi="Cambria Math" w:cs="Arial"/>
            <w:color w:val="000000"/>
            <w:sz w:val="20"/>
            <w:szCs w:val="20"/>
          </w:rPr>
          <m:t>)</m:t>
        </m:r>
      </m:oMath>
      <w:r w:rsidR="00DC0259" w:rsidRPr="00DC0259">
        <w:rPr>
          <w:rFonts w:ascii="Arial" w:hAnsi="Arial" w:cs="Arial"/>
          <w:color w:val="000000"/>
          <w:sz w:val="20"/>
          <w:szCs w:val="20"/>
        </w:rPr>
        <w:t xml:space="preserve">                                                                (3)</w:t>
      </w:r>
    </w:p>
    <w:p w14:paraId="3893A698" w14:textId="6118866C"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where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is the </w:t>
      </w:r>
      <m:oMath>
        <m:r>
          <w:rPr>
            <w:rFonts w:ascii="Cambria Math" w:hAnsi="Cambria Math" w:cs="Arial"/>
            <w:color w:val="000000"/>
            <w:sz w:val="20"/>
            <w:szCs w:val="20"/>
          </w:rPr>
          <m:t>i</m:t>
        </m:r>
      </m:oMath>
      <w:r w:rsidRPr="00DC0259">
        <w:rPr>
          <w:rFonts w:ascii="Arial" w:hAnsi="Arial" w:cs="Arial"/>
          <w:bCs/>
          <w:iCs/>
          <w:color w:val="000000"/>
          <w:sz w:val="20"/>
          <w:szCs w:val="20"/>
        </w:rPr>
        <w:t xml:space="preserve">th observation for species </w:t>
      </w:r>
      <m:oMath>
        <m:r>
          <w:rPr>
            <w:rFonts w:ascii="Cambria Math" w:hAnsi="Cambria Math" w:cs="Arial"/>
            <w:color w:val="000000"/>
            <w:sz w:val="20"/>
            <w:szCs w:val="20"/>
          </w:rPr>
          <m:t>j</m:t>
        </m:r>
      </m:oMath>
      <w:r w:rsidRPr="00DC0259">
        <w:rPr>
          <w:rFonts w:ascii="Arial" w:hAnsi="Arial" w:cs="Arial"/>
          <w:bCs/>
          <w:iCs/>
          <w:color w:val="000000"/>
          <w:sz w:val="20"/>
          <w:szCs w:val="20"/>
        </w:rPr>
        <w:t xml:space="preserve"> for rate </w:t>
      </w:r>
      <w:r w:rsidRPr="00DC0259">
        <w:rPr>
          <w:rFonts w:ascii="Arial" w:hAnsi="Arial" w:cs="Arial"/>
          <w:bCs/>
          <w:i/>
          <w:color w:val="000000"/>
          <w:sz w:val="20"/>
          <w:szCs w:val="20"/>
        </w:rPr>
        <w:t>y</w:t>
      </w:r>
      <w:r w:rsidRPr="00DC0259">
        <w:rPr>
          <w:rFonts w:ascii="Arial" w:hAnsi="Arial" w:cs="Arial"/>
          <w:bCs/>
          <w:iCs/>
          <w:color w:val="000000"/>
          <w:sz w:val="20"/>
          <w:szCs w:val="20"/>
        </w:rPr>
        <w:t xml:space="preserv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oMath>
      <w:r w:rsidRPr="00DC0259">
        <w:rPr>
          <w:rFonts w:ascii="Arial" w:hAnsi="Arial" w:cs="Arial"/>
          <w:bCs/>
          <w:iCs/>
          <w:color w:val="000000"/>
          <w:sz w:val="20"/>
          <w:szCs w:val="20"/>
        </w:rPr>
        <w:t xml:space="preserve"> is a species-varying intercept,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ip</m:t>
            </m:r>
          </m:sub>
        </m:sSub>
      </m:oMath>
      <w:r w:rsidRPr="00DC0259">
        <w:rPr>
          <w:rFonts w:ascii="Arial" w:hAnsi="Arial" w:cs="Arial"/>
          <w:color w:val="000000"/>
          <w:sz w:val="20"/>
          <w:szCs w:val="20"/>
        </w:rPr>
        <w:t xml:space="preserve"> is a predictor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oMath>
      <w:r w:rsidRPr="00DC0259">
        <w:rPr>
          <w:rFonts w:ascii="Arial" w:hAnsi="Arial" w:cs="Arial"/>
          <w:color w:val="000000"/>
          <w:sz w:val="20"/>
          <w:szCs w:val="20"/>
        </w:rPr>
        <w:t xml:space="preserve"> is its coefficient, with </w:t>
      </w:r>
      <m:oMath>
        <m:r>
          <w:rPr>
            <w:rFonts w:ascii="Cambria Math" w:hAnsi="Cambria Math" w:cs="Arial"/>
            <w:color w:val="000000"/>
            <w:sz w:val="20"/>
            <w:szCs w:val="20"/>
          </w:rPr>
          <m:t>p=1,..n</m:t>
        </m:r>
      </m:oMath>
      <w:r w:rsidRPr="00DC0259">
        <w:rPr>
          <w:rFonts w:ascii="Arial" w:hAnsi="Arial" w:cs="Arial"/>
          <w:color w:val="000000"/>
          <w:sz w:val="20"/>
          <w:szCs w:val="20"/>
        </w:rPr>
        <w:t xml:space="preserve">, where </w:t>
      </w:r>
      <m:oMath>
        <m:r>
          <w:rPr>
            <w:rFonts w:ascii="Cambria Math" w:hAnsi="Cambria Math" w:cs="Arial"/>
            <w:color w:val="000000"/>
            <w:sz w:val="20"/>
            <w:szCs w:val="20"/>
          </w:rPr>
          <m:t>n</m:t>
        </m:r>
      </m:oMath>
      <w:r w:rsidRPr="00DC0259">
        <w:rPr>
          <w:rFonts w:ascii="Arial" w:hAnsi="Arial" w:cs="Arial"/>
          <w:color w:val="000000"/>
          <w:sz w:val="20"/>
          <w:szCs w:val="20"/>
        </w:rPr>
        <w:t xml:space="preserve"> is the number of predictors considered in the model (mass, temperature, and their interaction). Predictors are mean centered to improve interpretability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burdf4aj0","properties":{"formattedCitation":"(87)","plainCitation":"(87)","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(87)</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Species-level intercepts follow a normal distribution with hyperparameters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r>
          <w:rPr>
            <w:rFonts w:ascii="Cambria Math" w:hAnsi="Cambria Math" w:cs="Arial"/>
            <w:color w:val="000000"/>
            <w:sz w:val="20"/>
            <w:szCs w:val="20"/>
          </w:rPr>
          <m:t xml:space="preserve"> </m:t>
        </m:r>
      </m:oMath>
      <w:r w:rsidRPr="00DC0259">
        <w:rPr>
          <w:rFonts w:ascii="Arial" w:hAnsi="Arial" w:cs="Arial"/>
          <w:color w:val="000000"/>
          <w:sz w:val="20"/>
          <w:szCs w:val="20"/>
        </w:rPr>
        <w:t xml:space="preserve">(global intercept)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oMath>
      <w:r w:rsidRPr="00DC0259">
        <w:rPr>
          <w:rFonts w:ascii="Arial" w:hAnsi="Arial" w:cs="Arial"/>
          <w:color w:val="000000"/>
          <w:sz w:val="20"/>
          <w:szCs w:val="20"/>
        </w:rPr>
        <w:t xml:space="preserve"> (between-species standard deviation). For most models we also allow the coefficient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oMath>
      <w:r w:rsidRPr="00DC0259">
        <w:rPr>
          <w:rFonts w:ascii="Arial" w:hAnsi="Arial" w:cs="Arial"/>
          <w:color w:val="000000"/>
          <w:sz w:val="20"/>
          <w:szCs w:val="20"/>
        </w:rPr>
        <w:t xml:space="preserve"> to</w:t>
      </w:r>
      <m:oMath>
        <m:r>
          <w:rPr>
            <w:rFonts w:ascii="Cambria Math" w:hAnsi="Cambria Math" w:cs="Arial"/>
            <w:color w:val="000000"/>
            <w:sz w:val="20"/>
            <w:szCs w:val="20"/>
          </w:rPr>
          <m:t xml:space="preserve"> </m:t>
        </m:r>
      </m:oMath>
      <w:r w:rsidRPr="00DC0259">
        <w:rPr>
          <w:rFonts w:ascii="Arial" w:hAnsi="Arial" w:cs="Arial"/>
          <w:bCs/>
          <w:iCs/>
          <w:color w:val="000000"/>
          <w:sz w:val="20"/>
          <w:szCs w:val="20"/>
        </w:rPr>
        <w:t xml:space="preserve">vary between species,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oMath>
      <w:r w:rsidRPr="00DC0259">
        <w:rPr>
          <w:rFonts w:ascii="Arial" w:hAnsi="Arial" w:cs="Arial"/>
          <w:color w:val="000000"/>
          <w:sz w:val="20"/>
          <w:szCs w:val="20"/>
        </w:rPr>
        <w:t xml:space="preserve"> becomes </w:t>
      </w:r>
      <m:oMath>
        <m:sSub>
          <m:sSubPr>
            <m:ctrlPr>
              <w:rPr>
                <w:rFonts w:ascii="Cambria Math" w:hAnsi="Cambria Math" w:cs="Arial"/>
                <w:i/>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pj</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ip</m:t>
            </m:r>
          </m:sub>
        </m:sSub>
      </m:oMath>
      <w:r w:rsidRPr="00DC0259">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ijp</m:t>
            </m:r>
          </m:sub>
        </m:sSub>
      </m:oMath>
      <w:r w:rsidRPr="00DC0259">
        <w:rPr>
          <w:rFonts w:ascii="Arial" w:hAnsi="Arial" w:cs="Arial"/>
          <w:color w:val="000000"/>
          <w:sz w:val="20"/>
          <w:szCs w:val="20"/>
        </w:rPr>
        <w:t xml:space="preserve">, where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p</m:t>
                </m:r>
              </m:sub>
            </m:sSub>
          </m:sub>
        </m:sSub>
        <m:r>
          <w:rPr>
            <w:rFonts w:ascii="Cambria Math" w:hAnsi="Cambria Math" w:cs="Arial"/>
            <w:color w:val="000000"/>
            <w:sz w:val="20"/>
            <w:szCs w:val="20"/>
          </w:rPr>
          <m:t>)</m:t>
        </m:r>
      </m:oMath>
      <w:r w:rsidRPr="00DC0259">
        <w:rPr>
          <w:rFonts w:ascii="Arial" w:hAnsi="Arial" w:cs="Arial"/>
          <w:color w:val="000000"/>
          <w:sz w:val="20"/>
          <w:szCs w:val="20"/>
        </w:rPr>
        <w:t xml:space="preserve">. For each dataset, we evaluate multiple combinations of species-varying coefficients (from varying intercept to </w:t>
      </w:r>
      <m:oMath>
        <m:r>
          <w:rPr>
            <w:rFonts w:ascii="Cambria Math" w:hAnsi="Cambria Math" w:cs="Arial"/>
            <w:color w:val="000000"/>
            <w:sz w:val="20"/>
            <w:szCs w:val="20"/>
          </w:rPr>
          <m:t>n</m:t>
        </m:r>
      </m:oMath>
      <w:r w:rsidRPr="00DC0259">
        <w:rPr>
          <w:rFonts w:ascii="Arial" w:hAnsi="Arial" w:cs="Arial"/>
          <w:color w:val="000000"/>
          <w:sz w:val="20"/>
          <w:szCs w:val="20"/>
        </w:rPr>
        <w:t xml:space="preserve"> varying coefficients). We used a mix of flat, weakly informative, and non-informative priors. For the temperature and mass coefficients we used the predictions from the MTE as the means of the normal prior distributions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5gh5mqlkr","properties":{"formattedCitation":"(1)","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(1)</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but with large standard deviations (see </w:t>
      </w:r>
      <w:r w:rsidRPr="00DC0259">
        <w:rPr>
          <w:rFonts w:ascii="Arial" w:hAnsi="Arial" w:cs="Arial"/>
          <w:i/>
          <w:color w:val="000000"/>
          <w:sz w:val="20"/>
          <w:szCs w:val="20"/>
        </w:rPr>
        <w:t>SI Appendix</w:t>
      </w:r>
      <w:r w:rsidRPr="00DC0259">
        <w:rPr>
          <w:rFonts w:ascii="Arial" w:hAnsi="Arial" w:cs="Arial"/>
          <w:color w:val="000000"/>
          <w:sz w:val="20"/>
          <w:szCs w:val="20"/>
        </w:rPr>
        <w:t>, Table S3). Below we describe how the model in Eqns. 1-3 is applied to each data set.</w:t>
      </w:r>
    </w:p>
    <w:p w14:paraId="136AE804" w14:textId="77777777" w:rsidR="00DC0259" w:rsidRPr="00DC0259" w:rsidRDefault="00DC0259" w:rsidP="00DC0259">
      <w:pPr>
        <w:pBdr>
          <w:top w:val="nil"/>
          <w:left w:val="nil"/>
          <w:bottom w:val="nil"/>
          <w:right w:val="nil"/>
          <w:between w:val="nil"/>
        </w:pBdr>
        <w:contextualSpacing/>
        <w:rPr>
          <w:rFonts w:ascii="Arial" w:hAnsi="Arial" w:cs="Arial"/>
          <w:b/>
          <w:color w:val="000000"/>
          <w:sz w:val="20"/>
          <w:szCs w:val="20"/>
        </w:rPr>
      </w:pPr>
    </w:p>
    <w:p w14:paraId="0753B048"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Mass- and temperature dependence of consumption, metabolism and growth below peak temperatures</w:t>
      </w:r>
    </w:p>
    <w:p w14:paraId="309E70EE" w14:textId="7479E824" w:rsidR="00DC0259" w:rsidRPr="00DC0259" w:rsidRDefault="00DC0259" w:rsidP="00DC0259">
      <w:pPr>
        <w:pBdr>
          <w:top w:val="nil"/>
          <w:left w:val="nil"/>
          <w:bottom w:val="nil"/>
          <w:right w:val="nil"/>
          <w:between w:val="nil"/>
        </w:pBdr>
        <w:contextualSpacing/>
        <w:rPr>
          <w:rFonts w:ascii="Arial" w:hAnsi="Arial" w:cs="Arial"/>
          <w:bCs/>
          <w:color w:val="000000"/>
          <w:sz w:val="20"/>
          <w:szCs w:val="20"/>
        </w:rPr>
      </w:pPr>
      <w:r w:rsidRPr="00DC0259">
        <w:rPr>
          <w:rFonts w:ascii="Arial" w:hAnsi="Arial" w:cs="Arial"/>
          <w:bCs/>
          <w:color w:val="000000"/>
          <w:sz w:val="20"/>
          <w:szCs w:val="20"/>
        </w:rPr>
        <w:t>Peak temperatures (optimum in the case of growth) refer to the temperature at which the rate was maximized, by size group. For data below peak temperatures, we</w:t>
      </w:r>
      <w:r w:rsidRPr="00DC0259">
        <w:rPr>
          <w:rFonts w:ascii="Arial" w:hAnsi="Arial" w:cs="Arial"/>
          <w:color w:val="000000"/>
          <w:sz w:val="20"/>
          <w:szCs w:val="20"/>
        </w:rPr>
        <w:t xml:space="preserve"> assumed that mass-specific maximum consumption rate, metabolism and growth scale allometrically (as a power function of the form </w:t>
      </w:r>
      <m:oMath>
        <m:r>
          <w:rPr>
            <w:rFonts w:ascii="Cambria Math" w:hAnsi="Cambria Math" w:cs="Arial"/>
            <w:color w:val="000000"/>
            <w:sz w:val="20"/>
            <w:szCs w:val="20"/>
          </w:rPr>
          <m:t>I</m:t>
        </m:r>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w:rPr>
                <w:rFonts w:ascii="Cambria Math" w:hAnsi="Cambria Math" w:cs="Arial"/>
                <w:color w:val="000000"/>
                <w:sz w:val="20"/>
                <w:szCs w:val="20"/>
              </w:rPr>
              <m:t>i</m:t>
            </m:r>
          </m:e>
          <m:sub>
            <m:r>
              <m:rPr>
                <m:sty m:val="p"/>
              </m:rPr>
              <w:rPr>
                <w:rFonts w:ascii="Cambria Math" w:hAnsi="Cambria Math" w:cs="Arial"/>
                <w:color w:val="000000"/>
                <w:sz w:val="20"/>
                <w:szCs w:val="20"/>
              </w:rPr>
              <m:t>0</m:t>
            </m:r>
          </m:sub>
        </m:sSub>
        <m:sSup>
          <m:sSupPr>
            <m:ctrlPr>
              <w:rPr>
                <w:rFonts w:ascii="Cambria Math" w:hAnsi="Cambria Math" w:cs="Arial"/>
                <w:color w:val="000000"/>
                <w:sz w:val="20"/>
                <w:szCs w:val="20"/>
              </w:rPr>
            </m:ctrlPr>
          </m:sSupPr>
          <m:e>
            <m:r>
              <w:rPr>
                <w:rFonts w:ascii="Cambria Math" w:hAnsi="Cambria Math" w:cs="Arial"/>
                <w:color w:val="000000"/>
                <w:sz w:val="20"/>
                <w:szCs w:val="20"/>
              </w:rPr>
              <m:t>M</m:t>
            </m:r>
          </m:e>
          <m:sup>
            <m:sSub>
              <m:sSubPr>
                <m:ctrlPr>
                  <w:rPr>
                    <w:rFonts w:ascii="Cambria Math" w:hAnsi="Cambria Math" w:cs="Arial"/>
                    <w:color w:val="000000"/>
                    <w:sz w:val="20"/>
                    <w:szCs w:val="20"/>
                  </w:rPr>
                </m:ctrlPr>
              </m:sSubPr>
              <m:e>
                <m:r>
                  <w:rPr>
                    <w:rFonts w:ascii="Cambria Math" w:hAnsi="Cambria Math" w:cs="Arial"/>
                    <w:color w:val="000000"/>
                    <w:sz w:val="20"/>
                    <w:szCs w:val="20"/>
                  </w:rPr>
                  <m:t>b</m:t>
                </m:r>
              </m:e>
              <m:sub>
                <m:r>
                  <m:rPr>
                    <m:sty m:val="p"/>
                  </m:rPr>
                  <w:rPr>
                    <w:rFonts w:ascii="Cambria Math" w:hAnsi="Cambria Math" w:cs="Arial"/>
                    <w:color w:val="000000"/>
                    <w:sz w:val="20"/>
                    <w:szCs w:val="20"/>
                  </w:rPr>
                  <m:t>0</m:t>
                </m:r>
              </m:sub>
            </m:sSub>
          </m:sup>
        </m:sSup>
      </m:oMath>
      <w:r w:rsidRPr="00DC0259">
        <w:rPr>
          <w:rFonts w:ascii="Arial" w:hAnsi="Arial" w:cs="Arial"/>
          <w:color w:val="000000"/>
          <w:sz w:val="20"/>
          <w:szCs w:val="20"/>
        </w:rPr>
        <w:t>) with mass, and exponentially with temperature. Hence, after log-log (n</w:t>
      </w:r>
      <w:proofErr w:type="spellStart"/>
      <w:r w:rsidRPr="00DC0259">
        <w:rPr>
          <w:rFonts w:ascii="Arial" w:hAnsi="Arial" w:cs="Arial"/>
          <w:color w:val="000000"/>
          <w:sz w:val="20"/>
          <w:szCs w:val="20"/>
        </w:rPr>
        <w:t>atural</w:t>
      </w:r>
      <w:proofErr w:type="spellEnd"/>
      <w:r w:rsidRPr="00DC0259">
        <w:rPr>
          <w:rFonts w:ascii="Arial" w:hAnsi="Arial" w:cs="Arial"/>
          <w:color w:val="000000"/>
          <w:sz w:val="20"/>
          <w:szCs w:val="20"/>
        </w:rPr>
        <w:t xml:space="preserve"> log) transformation of mass and the rate, and temperature in Arrhenius </w:t>
      </w:r>
      <w:r w:rsidRPr="00DC0259">
        <w:rPr>
          <w:rFonts w:ascii="Arial" w:hAnsi="Arial" w:cs="Arial"/>
          <w:iCs/>
          <w:color w:val="000000"/>
          <w:sz w:val="20"/>
          <w:szCs w:val="20"/>
        </w:rPr>
        <w:t>temperature (</w:t>
      </w:r>
      <m:oMath>
        <m:r>
          <w:rPr>
            <w:rFonts w:ascii="Cambria Math" w:hAnsi="Cambria Math" w:cs="Arial"/>
            <w:color w:val="000000"/>
            <w:sz w:val="20"/>
            <w:szCs w:val="20"/>
          </w:rPr>
          <m:t>1/kT</m:t>
        </m:r>
      </m:oMath>
      <w:r w:rsidRPr="00DC0259">
        <w:rPr>
          <w:rFonts w:ascii="Arial" w:hAnsi="Arial" w:cs="Arial"/>
          <w:color w:val="000000"/>
          <w:sz w:val="20"/>
          <w:szCs w:val="20"/>
        </w:rPr>
        <w:t xml:space="preserve"> in</w:t>
      </w:r>
      <w:r w:rsidRPr="00DC0259">
        <w:rPr>
          <w:rFonts w:ascii="Arial" w:hAnsi="Arial" w:cs="Arial"/>
          <w:bCs/>
          <w:iCs/>
          <w:color w:val="000000"/>
          <w:sz w:val="20"/>
          <w:szCs w:val="20"/>
        </w:rPr>
        <w:t xml:space="preserve"> unit </w:t>
      </w:r>
      <m:oMath>
        <m:sSup>
          <m:sSupPr>
            <m:ctrlPr>
              <w:rPr>
                <w:rFonts w:ascii="Cambria Math" w:hAnsi="Cambria Math" w:cs="Arial"/>
                <w:i/>
                <w:color w:val="000000"/>
                <w:sz w:val="20"/>
                <w:szCs w:val="20"/>
              </w:rPr>
            </m:ctrlPr>
          </m:sSupPr>
          <m:e>
            <m:r>
              <m:rPr>
                <m:sty m:val="p"/>
              </m:rPr>
              <w:rPr>
                <w:rFonts w:ascii="Cambria Math" w:hAnsi="Cambria Math" w:cs="Arial"/>
                <w:color w:val="000000"/>
                <w:sz w:val="20"/>
                <w:szCs w:val="20"/>
              </w:rPr>
              <m:t>eV</m:t>
            </m:r>
          </m:e>
          <m:sup>
            <m:r>
              <w:rPr>
                <w:rFonts w:ascii="Cambria Math" w:hAnsi="Cambria Math" w:cs="Arial"/>
                <w:color w:val="000000"/>
                <w:sz w:val="20"/>
                <w:szCs w:val="20"/>
              </w:rPr>
              <m:t>-1</m:t>
            </m:r>
          </m:sup>
        </m:sSup>
      </m:oMath>
      <w:r w:rsidRPr="00DC0259">
        <w:rPr>
          <w:rFonts w:ascii="Arial" w:hAnsi="Arial" w:cs="Arial"/>
          <w:color w:val="000000"/>
          <w:sz w:val="20"/>
          <w:szCs w:val="20"/>
        </w:rPr>
        <w:t xml:space="preserve">, where </w:t>
      </w:r>
      <m:oMath>
        <m:r>
          <w:rPr>
            <w:rFonts w:ascii="Cambria Math" w:hAnsi="Cambria Math" w:cs="Arial"/>
            <w:color w:val="000000"/>
            <w:sz w:val="20"/>
            <w:szCs w:val="20"/>
          </w:rPr>
          <m:t>k</m:t>
        </m:r>
      </m:oMath>
      <w:r w:rsidRPr="00DC0259">
        <w:rPr>
          <w:rFonts w:ascii="Arial" w:hAnsi="Arial" w:cs="Arial"/>
          <w:color w:val="000000"/>
          <w:sz w:val="20"/>
          <w:szCs w:val="20"/>
        </w:rPr>
        <w:t xml:space="preserve"> is Boltzmann’s constant [8.62</w:t>
      </w:r>
      <m:oMath>
        <m:r>
          <w:rPr>
            <w:rFonts w:ascii="Cambria Math" w:hAnsi="Cambria Math" w:cs="Arial"/>
            <w:color w:val="000000"/>
            <w:sz w:val="20"/>
            <w:szCs w:val="20"/>
          </w:rPr>
          <m:t>×</m:t>
        </m:r>
      </m:oMath>
      <w:r w:rsidRPr="00DC0259">
        <w:rPr>
          <w:rFonts w:ascii="Arial" w:hAnsi="Arial" w:cs="Arial"/>
          <w:color w:val="000000"/>
          <w:sz w:val="20"/>
          <w:szCs w:val="20"/>
        </w:rPr>
        <w:t>10</w:t>
      </w:r>
      <w:r w:rsidRPr="00DC0259">
        <w:rPr>
          <w:rFonts w:ascii="Arial" w:hAnsi="Arial" w:cs="Arial"/>
          <w:color w:val="000000"/>
          <w:sz w:val="20"/>
          <w:szCs w:val="20"/>
          <w:vertAlign w:val="superscript"/>
        </w:rPr>
        <w:t>-5</w:t>
      </w:r>
      <w:r w:rsidRPr="00DC0259">
        <w:rPr>
          <w:rFonts w:ascii="Arial" w:hAnsi="Arial" w:cs="Arial"/>
          <w:color w:val="000000"/>
          <w:sz w:val="20"/>
          <w:szCs w:val="20"/>
        </w:rPr>
        <w:t xml:space="preserve"> </w:t>
      </w:r>
      <m:oMath>
        <m:r>
          <m:rPr>
            <m:sty m:val="p"/>
          </m:rPr>
          <w:rPr>
            <w:rFonts w:ascii="Cambria Math" w:hAnsi="Cambria Math" w:cs="Arial"/>
            <w:color w:val="000000"/>
            <w:sz w:val="20"/>
            <w:szCs w:val="20"/>
          </w:rPr>
          <m:t>eV</m:t>
        </m:r>
      </m:oMath>
      <w:r w:rsidRPr="00DC0259">
        <w:rPr>
          <w:rFonts w:ascii="Arial" w:hAnsi="Arial" w:cs="Arial"/>
          <w:color w:val="000000"/>
          <w:sz w:val="20"/>
          <w:szCs w:val="20"/>
        </w:rPr>
        <w:t xml:space="preserve"> </w:t>
      </w:r>
      <m:oMath>
        <m:sSup>
          <m:sSupPr>
            <m:ctrlPr>
              <w:rPr>
                <w:rFonts w:ascii="Cambria Math" w:hAnsi="Cambria Math" w:cs="Arial"/>
                <w:i/>
                <w:color w:val="000000"/>
                <w:sz w:val="20"/>
                <w:szCs w:val="20"/>
                <w:vertAlign w:val="superscript"/>
              </w:rPr>
            </m:ctrlPr>
          </m:sSupPr>
          <m:e>
            <m:r>
              <m:rPr>
                <m:sty m:val="p"/>
              </m:rPr>
              <w:rPr>
                <w:rFonts w:ascii="Cambria Math" w:hAnsi="Cambria Math" w:cs="Arial"/>
                <w:color w:val="000000"/>
                <w:sz w:val="20"/>
                <w:szCs w:val="20"/>
              </w:rPr>
              <m:t>K</m:t>
            </m:r>
            <m:ctrlPr>
              <w:rPr>
                <w:rFonts w:ascii="Cambria Math" w:hAnsi="Cambria Math" w:cs="Arial"/>
                <w:iCs/>
                <w:color w:val="000000"/>
                <w:sz w:val="20"/>
                <w:szCs w:val="20"/>
              </w:rPr>
            </m:ctrlPr>
          </m:e>
          <m:sup>
            <m:r>
              <w:rPr>
                <w:rFonts w:ascii="Cambria Math" w:hAnsi="Cambria Math" w:cs="Arial"/>
                <w:color w:val="000000"/>
                <w:sz w:val="20"/>
                <w:szCs w:val="20"/>
                <w:vertAlign w:val="superscript"/>
              </w:rPr>
              <m:t>-1</m:t>
            </m:r>
          </m:sup>
        </m:sSup>
      </m:oMath>
      <w:r w:rsidRPr="00DC0259">
        <w:rPr>
          <w:rFonts w:ascii="Arial" w:hAnsi="Arial" w:cs="Arial"/>
          <w:color w:val="000000"/>
          <w:sz w:val="20"/>
          <w:szCs w:val="20"/>
        </w:rPr>
        <w:t xml:space="preserve">]), the relationship between the rate and its predictors becomes linear. This is similar to the MTE, except that we estimate all coefficients instead of correcting </w:t>
      </w:r>
      <w:proofErr w:type="gramStart"/>
      <w:r w:rsidRPr="00DC0259">
        <w:rPr>
          <w:rFonts w:ascii="Arial" w:hAnsi="Arial" w:cs="Arial"/>
          <w:color w:val="000000"/>
          <w:sz w:val="20"/>
          <w:szCs w:val="20"/>
        </w:rPr>
        <w:t>rates, and</w:t>
      </w:r>
      <w:proofErr w:type="gramEnd"/>
      <w:r w:rsidRPr="00DC0259">
        <w:rPr>
          <w:rFonts w:ascii="Arial" w:hAnsi="Arial" w:cs="Arial"/>
          <w:color w:val="000000"/>
          <w:sz w:val="20"/>
          <w:szCs w:val="20"/>
        </w:rPr>
        <w:t xml:space="preserve"> allow not only the intercepts but also slopes to vary across species.</w:t>
      </w:r>
      <w:r w:rsidRPr="00DC0259" w:rsidDel="002E21F5">
        <w:rPr>
          <w:rFonts w:ascii="Arial" w:hAnsi="Arial" w:cs="Arial"/>
          <w:color w:val="000000"/>
          <w:sz w:val="20"/>
          <w:szCs w:val="20"/>
        </w:rPr>
        <w:t xml:space="preserve"> </w:t>
      </w:r>
    </w:p>
    <w:p w14:paraId="7A0D5838" w14:textId="77777777" w:rsidR="00E550C7" w:rsidRDefault="00E550C7" w:rsidP="00DC0259">
      <w:pPr>
        <w:pBdr>
          <w:top w:val="nil"/>
          <w:left w:val="nil"/>
          <w:bottom w:val="nil"/>
          <w:right w:val="nil"/>
          <w:between w:val="nil"/>
        </w:pBdr>
        <w:contextualSpacing/>
        <w:rPr>
          <w:rFonts w:ascii="Arial" w:hAnsi="Arial" w:cs="Arial"/>
          <w:bCs/>
          <w:color w:val="000000"/>
          <w:sz w:val="20"/>
          <w:szCs w:val="20"/>
        </w:rPr>
      </w:pPr>
    </w:p>
    <w:p w14:paraId="495F2BD5" w14:textId="56B40719"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color w:val="000000"/>
          <w:sz w:val="20"/>
          <w:szCs w:val="20"/>
        </w:rPr>
        <w:t xml:space="preserve">When applied to Eqns. 1-3,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is the </w:t>
      </w:r>
      <m:oMath>
        <m:r>
          <w:rPr>
            <w:rFonts w:ascii="Cambria Math" w:hAnsi="Cambria Math" w:cs="Arial"/>
            <w:color w:val="000000"/>
            <w:sz w:val="20"/>
            <w:szCs w:val="20"/>
          </w:rPr>
          <m:t>i</m:t>
        </m:r>
      </m:oMath>
      <w:r w:rsidRPr="00DC0259">
        <w:rPr>
          <w:rFonts w:ascii="Arial" w:hAnsi="Arial" w:cs="Arial"/>
          <w:bCs/>
          <w:iCs/>
          <w:color w:val="000000"/>
          <w:sz w:val="20"/>
          <w:szCs w:val="20"/>
        </w:rPr>
        <w:t xml:space="preserve">th observation for species </w:t>
      </w:r>
      <m:oMath>
        <m:r>
          <w:rPr>
            <w:rFonts w:ascii="Cambria Math" w:hAnsi="Cambria Math" w:cs="Arial"/>
            <w:color w:val="000000"/>
            <w:sz w:val="20"/>
            <w:szCs w:val="20"/>
          </w:rPr>
          <m:t>j</m:t>
        </m:r>
      </m:oMath>
      <w:r w:rsidRPr="00DC0259">
        <w:rPr>
          <w:rFonts w:ascii="Arial" w:hAnsi="Arial" w:cs="Arial"/>
          <w:bCs/>
          <w:iCs/>
          <w:color w:val="000000"/>
          <w:sz w:val="20"/>
          <w:szCs w:val="20"/>
        </w:rPr>
        <w:t xml:space="preserve"> of the natural log of the rate (consumption, metabolism or growth), and the predictors are </w:t>
      </w:r>
      <m:oMath>
        <m:sSub>
          <m:sSubPr>
            <m:ctrlPr>
              <w:rPr>
                <w:rFonts w:ascii="Cambria Math" w:hAnsi="Cambria Math" w:cs="Arial"/>
                <w:i/>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oMath>
      <w:r w:rsidRPr="00DC0259">
        <w:rPr>
          <w:rFonts w:ascii="Arial" w:hAnsi="Arial" w:cs="Arial"/>
          <w:color w:val="000000"/>
          <w:sz w:val="20"/>
          <w:szCs w:val="20"/>
        </w:rPr>
        <w:t xml:space="preserve"> (</w:t>
      </w:r>
      <w:r w:rsidRPr="00DC0259">
        <w:rPr>
          <w:rFonts w:ascii="Arial" w:hAnsi="Arial" w:cs="Arial"/>
          <w:iCs/>
          <w:color w:val="000000"/>
          <w:sz w:val="20"/>
          <w:szCs w:val="20"/>
        </w:rPr>
        <w:t xml:space="preserve">natural log of body mass), </w:t>
      </w:r>
      <m:oMath>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A,ij</m:t>
            </m:r>
          </m:sub>
        </m:sSub>
      </m:oMath>
      <w:r w:rsidRPr="00DC0259">
        <w:rPr>
          <w:rFonts w:ascii="Arial" w:hAnsi="Arial" w:cs="Arial"/>
          <w:color w:val="000000"/>
          <w:sz w:val="20"/>
          <w:szCs w:val="20"/>
        </w:rPr>
        <w:t xml:space="preserve"> (Arrhenius </w:t>
      </w:r>
      <w:r w:rsidRPr="00DC0259">
        <w:rPr>
          <w:rFonts w:ascii="Arial" w:hAnsi="Arial" w:cs="Arial"/>
          <w:iCs/>
          <w:color w:val="000000"/>
          <w:sz w:val="20"/>
          <w:szCs w:val="20"/>
        </w:rPr>
        <w:t xml:space="preserve">temperature, </w:t>
      </w:r>
      <m:oMath>
        <m:r>
          <w:rPr>
            <w:rFonts w:ascii="Cambria Math" w:hAnsi="Cambria Math" w:cs="Arial"/>
            <w:color w:val="000000"/>
            <w:sz w:val="20"/>
            <w:szCs w:val="20"/>
          </w:rPr>
          <m:t>1/kT</m:t>
        </m:r>
      </m:oMath>
      <w:r w:rsidRPr="00DC0259">
        <w:rPr>
          <w:rFonts w:ascii="Arial" w:hAnsi="Arial" w:cs="Arial"/>
          <w:color w:val="000000"/>
          <w:sz w:val="20"/>
          <w:szCs w:val="20"/>
        </w:rPr>
        <w:t xml:space="preserve"> in</w:t>
      </w:r>
      <w:r w:rsidRPr="00DC0259">
        <w:rPr>
          <w:rFonts w:ascii="Arial" w:hAnsi="Arial" w:cs="Arial"/>
          <w:bCs/>
          <w:iCs/>
          <w:color w:val="000000"/>
          <w:sz w:val="20"/>
          <w:szCs w:val="20"/>
        </w:rPr>
        <w:t xml:space="preserve"> unit </w:t>
      </w:r>
      <m:oMath>
        <m:sSup>
          <m:sSupPr>
            <m:ctrlPr>
              <w:rPr>
                <w:rFonts w:ascii="Cambria Math" w:hAnsi="Cambria Math" w:cs="Arial"/>
                <w:i/>
                <w:color w:val="000000"/>
                <w:sz w:val="20"/>
                <w:szCs w:val="20"/>
              </w:rPr>
            </m:ctrlPr>
          </m:sSupPr>
          <m:e>
            <m:r>
              <m:rPr>
                <m:sty m:val="p"/>
              </m:rPr>
              <w:rPr>
                <w:rFonts w:ascii="Cambria Math" w:hAnsi="Cambria Math" w:cs="Arial"/>
                <w:color w:val="000000"/>
                <w:sz w:val="20"/>
                <w:szCs w:val="20"/>
              </w:rPr>
              <m:t>eV</m:t>
            </m:r>
          </m:e>
          <m:sup>
            <m:r>
              <w:rPr>
                <w:rFonts w:ascii="Cambria Math" w:hAnsi="Cambria Math" w:cs="Arial"/>
                <w:color w:val="000000"/>
                <w:sz w:val="20"/>
                <w:szCs w:val="20"/>
              </w:rPr>
              <m:t>-1</m:t>
            </m:r>
          </m:sup>
        </m:sSup>
      </m:oMath>
      <w:r w:rsidRPr="00DC0259">
        <w:rPr>
          <w:rFonts w:ascii="Arial" w:hAnsi="Arial" w:cs="Arial"/>
          <w:color w:val="000000"/>
          <w:sz w:val="20"/>
          <w:szCs w:val="20"/>
        </w:rPr>
        <w:t xml:space="preserve">), both of which were </w:t>
      </w:r>
      <w:r w:rsidRPr="00DC0259">
        <w:rPr>
          <w:rFonts w:ascii="Arial" w:hAnsi="Arial" w:cs="Arial"/>
          <w:bCs/>
          <w:iCs/>
          <w:color w:val="000000"/>
          <w:sz w:val="20"/>
          <w:szCs w:val="20"/>
        </w:rPr>
        <w:t>mean-centered</w:t>
      </w:r>
      <w:r w:rsidRPr="00DC0259">
        <w:rPr>
          <w:rFonts w:ascii="Arial" w:hAnsi="Arial" w:cs="Arial"/>
          <w:iCs/>
          <w:color w:val="000000"/>
          <w:sz w:val="20"/>
          <w:szCs w:val="20"/>
        </w:rPr>
        <w:t xml:space="preserve">, </w:t>
      </w:r>
      <w:r w:rsidRPr="00DC0259">
        <w:rPr>
          <w:rFonts w:ascii="Arial" w:hAnsi="Arial" w:cs="Arial"/>
          <w:color w:val="000000"/>
          <w:sz w:val="20"/>
          <w:szCs w:val="20"/>
        </w:rPr>
        <w:t>and their interaction. B</w:t>
      </w:r>
      <w:r w:rsidRPr="00DC0259">
        <w:rPr>
          <w:rFonts w:ascii="Arial" w:hAnsi="Arial" w:cs="Arial"/>
          <w:iCs/>
          <w:color w:val="000000"/>
          <w:sz w:val="20"/>
          <w:szCs w:val="20"/>
        </w:rPr>
        <w:t xml:space="preserve">ody mass </w:t>
      </w:r>
      <w:r w:rsidRPr="00DC0259">
        <w:rPr>
          <w:rFonts w:ascii="Arial" w:hAnsi="Arial" w:cs="Arial"/>
          <w:color w:val="000000"/>
          <w:sz w:val="20"/>
          <w:szCs w:val="20"/>
        </w:rPr>
        <w:t xml:space="preserve">is in </w:t>
      </w:r>
      <m:oMath>
        <m:r>
          <m:rPr>
            <m:sty m:val="p"/>
          </m:rPr>
          <w:rPr>
            <w:rFonts w:ascii="Cambria Math" w:hAnsi="Cambria Math" w:cs="Arial"/>
            <w:color w:val="000000"/>
            <w:sz w:val="20"/>
            <w:szCs w:val="20"/>
          </w:rPr>
          <m:t>g</m:t>
        </m:r>
      </m:oMath>
      <w:r w:rsidRPr="00DC0259">
        <w:rPr>
          <w:rFonts w:ascii="Arial" w:hAnsi="Arial" w:cs="Arial"/>
          <w:color w:val="000000"/>
          <w:sz w:val="20"/>
          <w:szCs w:val="20"/>
        </w:rPr>
        <w:t xml:space="preserve">, </w:t>
      </w:r>
      <w:r w:rsidRPr="00DC0259">
        <w:rPr>
          <w:rFonts w:ascii="Arial" w:hAnsi="Arial" w:cs="Arial"/>
          <w:iCs/>
          <w:color w:val="000000"/>
          <w:sz w:val="20"/>
          <w:szCs w:val="20"/>
        </w:rPr>
        <w:t xml:space="preserve">consumption rate in </w:t>
      </w:r>
      <m:oMath>
        <m:r>
          <m:rPr>
            <m:sty m:val="p"/>
          </m:rPr>
          <w:rPr>
            <w:rFonts w:ascii="Cambria Math" w:hAnsi="Cambria Math" w:cs="Arial"/>
            <w:color w:val="000000"/>
            <w:sz w:val="20"/>
            <w:szCs w:val="20"/>
          </w:rPr>
          <m:t xml:space="preserve">g </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g</m:t>
            </m:r>
          </m:e>
          <m:sup>
            <m:r>
              <m:rPr>
                <m:sty m:val="p"/>
              </m:rPr>
              <w:rPr>
                <w:rFonts w:ascii="Cambria Math" w:hAnsi="Cambria Math" w:cs="Arial"/>
                <w:color w:val="000000"/>
                <w:sz w:val="20"/>
                <w:szCs w:val="20"/>
              </w:rPr>
              <m:t>-1</m:t>
            </m:r>
          </m:sup>
        </m:sSup>
        <m:r>
          <m:rPr>
            <m:sty m:val="p"/>
          </m:rPr>
          <w:rPr>
            <w:rFonts w:ascii="Cambria Math" w:hAnsi="Cambria Math" w:cs="Arial"/>
            <w:color w:val="000000"/>
            <w:sz w:val="20"/>
            <w:szCs w:val="20"/>
          </w:rPr>
          <m:t xml:space="preserve"> </m:t>
        </m:r>
        <m:sSup>
          <m:sSupPr>
            <m:ctrlPr>
              <w:rPr>
                <w:rFonts w:ascii="Cambria Math" w:hAnsi="Cambria Math" w:cs="Arial"/>
                <w:b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bCs/>
          <w:color w:val="000000"/>
          <w:sz w:val="20"/>
          <w:szCs w:val="20"/>
        </w:rPr>
        <w:t xml:space="preserve">, metabolic rate in </w:t>
      </w:r>
      <m:oMath>
        <m:r>
          <m:rPr>
            <m:sty m:val="p"/>
          </m:rPr>
          <w:rPr>
            <w:rFonts w:ascii="Cambria Math" w:hAnsi="Cambria Math" w:cs="Arial"/>
            <w:color w:val="000000"/>
            <w:sz w:val="20"/>
            <w:szCs w:val="20"/>
          </w:rPr>
          <m:t xml:space="preserve">mg </m:t>
        </m:r>
        <m:sSub>
          <m:sSubPr>
            <m:ctrlPr>
              <w:rPr>
                <w:rFonts w:ascii="Cambria Math" w:hAnsi="Cambria Math" w:cs="Arial"/>
                <w:bCs/>
                <w:iCs/>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r>
          <m:rPr>
            <m:sty m:val="p"/>
          </m:rPr>
          <w:rPr>
            <w:rFonts w:ascii="Cambria Math" w:hAnsi="Cambria Math" w:cs="Arial"/>
            <w:color w:val="000000"/>
            <w:sz w:val="20"/>
            <w:szCs w:val="20"/>
          </w:rPr>
          <m:t xml:space="preserve"> </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g</m:t>
            </m:r>
          </m:e>
          <m:sup>
            <m:r>
              <m:rPr>
                <m:sty m:val="p"/>
              </m:rPr>
              <w:rPr>
                <w:rFonts w:ascii="Cambria Math" w:hAnsi="Cambria Math" w:cs="Arial"/>
                <w:color w:val="000000"/>
                <w:sz w:val="20"/>
                <w:szCs w:val="20"/>
              </w:rPr>
              <m:t>-1</m:t>
            </m:r>
          </m:sup>
        </m:sSup>
        <m:sSup>
          <m:sSupPr>
            <m:ctrlPr>
              <w:rPr>
                <w:rFonts w:ascii="Cambria Math" w:hAnsi="Cambria Math" w:cs="Arial"/>
                <w:bCs/>
                <w:iCs/>
                <w:color w:val="000000"/>
                <w:sz w:val="20"/>
                <w:szCs w:val="20"/>
              </w:rPr>
            </m:ctrlPr>
          </m:sSupPr>
          <m:e>
            <m:r>
              <m:rPr>
                <m:sty m:val="p"/>
              </m:rPr>
              <w:rPr>
                <w:rFonts w:ascii="Cambria Math" w:hAnsi="Cambria Math" w:cs="Arial"/>
                <w:color w:val="000000"/>
                <w:sz w:val="20"/>
                <w:szCs w:val="20"/>
              </w:rPr>
              <m:t>h</m:t>
            </m:r>
          </m:e>
          <m:sup>
            <m:r>
              <m:rPr>
                <m:sty m:val="p"/>
              </m:rPr>
              <w:rPr>
                <w:rFonts w:ascii="Cambria Math" w:hAnsi="Cambria Math" w:cs="Arial"/>
                <w:color w:val="000000"/>
                <w:sz w:val="20"/>
                <w:szCs w:val="20"/>
              </w:rPr>
              <m:t>-1</m:t>
            </m:r>
          </m:sup>
        </m:sSup>
      </m:oMath>
      <w:r w:rsidRPr="00DC0259">
        <w:rPr>
          <w:rFonts w:ascii="Arial" w:hAnsi="Arial" w:cs="Arial"/>
          <w:bCs/>
          <w:iCs/>
          <w:color w:val="000000"/>
          <w:sz w:val="20"/>
          <w:szCs w:val="20"/>
        </w:rPr>
        <w:t xml:space="preserve"> and </w:t>
      </w:r>
      <w:r w:rsidRPr="00DC0259">
        <w:rPr>
          <w:rFonts w:ascii="Arial" w:hAnsi="Arial" w:cs="Arial"/>
          <w:color w:val="000000"/>
          <w:sz w:val="20"/>
          <w:szCs w:val="20"/>
        </w:rPr>
        <w:t xml:space="preserve">specific growth rate in unit </w:t>
      </w:r>
      <m:oMath>
        <m:r>
          <m:rPr>
            <m:sty m:val="p"/>
          </m:rPr>
          <w:rPr>
            <w:rFonts w:ascii="Cambria Math" w:hAnsi="Cambria Math" w:cs="Arial"/>
            <w:color w:val="000000"/>
            <w:sz w:val="20"/>
            <w:szCs w:val="20"/>
          </w:rPr>
          <m:t xml:space="preserve">% </m:t>
        </m:r>
        <m:sSup>
          <m:sSupPr>
            <m:ctrlPr>
              <w:rPr>
                <w:rFonts w:ascii="Cambria Math" w:hAnsi="Cambria Math" w:cs="Arial"/>
                <w:i/>
                <w:iCs/>
                <w:color w:val="000000"/>
                <w:sz w:val="20"/>
                <w:szCs w:val="20"/>
              </w:rPr>
            </m:ctrlPr>
          </m:sSupPr>
          <m:e>
            <m:r>
              <m:rPr>
                <m:sty m:val="p"/>
              </m:rPr>
              <w:rPr>
                <w:rFonts w:ascii="Cambria Math" w:hAnsi="Cambria Math" w:cs="Arial"/>
                <w:color w:val="000000"/>
                <w:sz w:val="20"/>
                <w:szCs w:val="20"/>
              </w:rPr>
              <m:t>day</m:t>
            </m:r>
            <m:ctrlPr>
              <w:rPr>
                <w:rFonts w:ascii="Cambria Math" w:hAnsi="Cambria Math" w:cs="Arial"/>
                <w:iCs/>
                <w:color w:val="000000"/>
                <w:sz w:val="20"/>
                <w:szCs w:val="20"/>
              </w:rPr>
            </m:ctrlPr>
          </m:e>
          <m:sup>
            <m:r>
              <w:rPr>
                <w:rFonts w:ascii="Cambria Math" w:hAnsi="Cambria Math" w:cs="Arial"/>
                <w:color w:val="000000"/>
                <w:sz w:val="20"/>
                <w:szCs w:val="20"/>
              </w:rPr>
              <m:t>-1</m:t>
            </m:r>
          </m:sup>
        </m:sSup>
      </m:oMath>
      <w:r w:rsidRPr="00DC0259">
        <w:rPr>
          <w:rFonts w:ascii="Arial" w:hAnsi="Arial" w:cs="Arial"/>
          <w:bCs/>
          <w:iCs/>
          <w:color w:val="000000"/>
          <w:sz w:val="20"/>
          <w:szCs w:val="20"/>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DC0259">
        <w:rPr>
          <w:rFonts w:ascii="Arial" w:hAnsi="Arial" w:cs="Arial"/>
          <w:bCs/>
          <w:iCs/>
          <w:color w:val="000000"/>
          <w:sz w:val="20"/>
          <w:szCs w:val="20"/>
        </w:rPr>
        <w:fldChar w:fldCharType="begin"/>
      </w:r>
      <w:r w:rsidR="00492802">
        <w:rPr>
          <w:rFonts w:ascii="Arial" w:hAnsi="Arial" w:cs="Arial"/>
          <w:bCs/>
          <w:iCs/>
          <w:color w:val="000000"/>
          <w:sz w:val="20"/>
          <w:szCs w:val="20"/>
        </w:rPr>
        <w:instrText xml:space="preserve"> ADDIN ZOTERO_ITEM CSL_CITATION {"citationID":"admrapkmnu","properties":{"formattedCitation":"(88, 89)","plainCitation":"(88, 89)","noteIndex":0},"citationItems":[{"id":669,"uris":["http://zotero.org/users/6116610/items/6G8R8ILY"],"uri":["http://zotero.org/users/6116610/items/6G8R8ILY"],"itemData":{"id":669,"type":"article-journal","container-title":"Canadian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DC0259">
        <w:rPr>
          <w:rFonts w:ascii="Arial" w:hAnsi="Arial" w:cs="Arial"/>
          <w:bCs/>
          <w:iCs/>
          <w:color w:val="000000"/>
          <w:sz w:val="20"/>
          <w:szCs w:val="20"/>
        </w:rPr>
        <w:fldChar w:fldCharType="separate"/>
      </w:r>
      <w:r w:rsidR="00492802">
        <w:rPr>
          <w:rFonts w:ascii="Arial" w:hAnsi="Arial" w:cs="Arial"/>
          <w:color w:val="000000"/>
          <w:sz w:val="20"/>
          <w:szCs w:val="20"/>
        </w:rPr>
        <w:t>(88, 89)</w:t>
      </w:r>
      <w:r w:rsidRPr="00DC0259">
        <w:rPr>
          <w:rFonts w:ascii="Arial" w:hAnsi="Arial" w:cs="Arial"/>
          <w:color w:val="000000"/>
          <w:sz w:val="20"/>
          <w:szCs w:val="20"/>
        </w:rPr>
        <w:fldChar w:fldCharType="end"/>
      </w:r>
      <w:r w:rsidRPr="00DC0259">
        <w:rPr>
          <w:rFonts w:ascii="Arial" w:hAnsi="Arial" w:cs="Arial"/>
          <w:bCs/>
          <w:iCs/>
          <w:color w:val="000000"/>
          <w:sz w:val="20"/>
          <w:szCs w:val="20"/>
        </w:rPr>
        <w:t xml:space="preserve">. Routine and resting metabolism constitute 58% of the data used and standard metabolism constitutes 42%. </w:t>
      </w:r>
      <w:r w:rsidRPr="00DC0259">
        <w:rPr>
          <w:rFonts w:ascii="Arial" w:hAnsi="Arial" w:cs="Arial"/>
          <w:color w:val="000000"/>
          <w:sz w:val="20"/>
          <w:szCs w:val="20"/>
        </w:rPr>
        <w:t xml:space="preserve">We accounted for potential differences between these types of metabolic rate measurements by adding two dummy coded variables, </w:t>
      </w:r>
      <m:oMath>
        <m:r>
          <w:rPr>
            <w:rFonts w:ascii="Cambria Math" w:hAnsi="Cambria Math" w:cs="Arial"/>
            <w:color w:val="000000"/>
            <w:sz w:val="20"/>
            <w:szCs w:val="20"/>
          </w:rPr>
          <m:t>typ</m:t>
        </m:r>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r</m:t>
            </m:r>
          </m:sub>
        </m:sSub>
      </m:oMath>
      <w:r w:rsidRPr="00DC0259">
        <w:rPr>
          <w:rFonts w:ascii="Arial" w:hAnsi="Arial" w:cs="Arial"/>
          <w:color w:val="000000"/>
          <w:sz w:val="20"/>
          <w:szCs w:val="20"/>
        </w:rPr>
        <w:t xml:space="preserve"> and </w:t>
      </w:r>
      <m:oMath>
        <m:r>
          <w:rPr>
            <w:rFonts w:ascii="Cambria Math" w:hAnsi="Cambria Math" w:cs="Arial"/>
            <w:color w:val="000000"/>
            <w:sz w:val="20"/>
            <w:szCs w:val="20"/>
          </w:rPr>
          <m:t>typ</m:t>
        </m:r>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s</m:t>
            </m:r>
          </m:sub>
        </m:sSub>
      </m:oMath>
      <w:r w:rsidRPr="00DC0259">
        <w:rPr>
          <w:rFonts w:ascii="Arial" w:hAnsi="Arial" w:cs="Arial"/>
          <w:color w:val="000000"/>
          <w:sz w:val="20"/>
          <w:szCs w:val="20"/>
        </w:rPr>
        <w:t xml:space="preserve">, the former taking the value 0 for standard </w:t>
      </w:r>
      <w:r w:rsidRPr="00DC0259">
        <w:rPr>
          <w:rFonts w:ascii="Arial" w:hAnsi="Arial" w:cs="Arial"/>
          <w:color w:val="000000"/>
          <w:sz w:val="20"/>
          <w:szCs w:val="20"/>
        </w:rPr>
        <w:lastRenderedPageBreak/>
        <w:t>and 1 for a routine or resting metabolic rate measurement, and vice versa for the latter variable.</w:t>
      </w:r>
      <w:r w:rsidRPr="00DC0259">
        <w:rPr>
          <w:rFonts w:ascii="Arial" w:hAnsi="Arial" w:cs="Arial"/>
          <w:bCs/>
          <w:iCs/>
          <w:color w:val="000000"/>
          <w:sz w:val="20"/>
          <w:szCs w:val="20"/>
        </w:rPr>
        <w:t xml:space="preserve"> Thus, for metabolism, we </w:t>
      </w:r>
      <w:r w:rsidRPr="00DC0259">
        <w:rPr>
          <w:rFonts w:ascii="Arial" w:hAnsi="Arial" w:cs="Arial"/>
          <w:color w:val="000000"/>
          <w:sz w:val="20"/>
          <w:szCs w:val="20"/>
        </w:rPr>
        <w:t xml:space="preserve">replace the overall intercept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0j</m:t>
            </m:r>
          </m:sub>
        </m:sSub>
      </m:oMath>
      <w:r w:rsidRPr="00DC0259">
        <w:rPr>
          <w:rFonts w:ascii="Arial" w:hAnsi="Arial" w:cs="Arial"/>
          <w:bCs/>
          <w:iCs/>
          <w:color w:val="000000"/>
          <w:sz w:val="20"/>
          <w:szCs w:val="20"/>
        </w:rPr>
        <w:t xml:space="preserve"> in Eqns. 2-3 with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0rj</m:t>
            </m:r>
          </m:sub>
        </m:sSub>
      </m:oMath>
      <w:r w:rsidRPr="00DC0259">
        <w:rPr>
          <w:rFonts w:ascii="Arial" w:hAnsi="Arial" w:cs="Arial"/>
          <w:bCs/>
          <w:iCs/>
          <w:color w:val="000000"/>
          <w:sz w:val="20"/>
          <w:szCs w:val="20"/>
        </w:rPr>
        <w:t xml:space="preserve"> and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0sj</m:t>
            </m:r>
          </m:sub>
        </m:sSub>
      </m:oMath>
      <w:r w:rsidRPr="00DC0259">
        <w:rPr>
          <w:rFonts w:ascii="Arial" w:hAnsi="Arial" w:cs="Arial"/>
          <w:bCs/>
          <w:iCs/>
          <w:color w:val="000000"/>
          <w:sz w:val="20"/>
          <w:szCs w:val="20"/>
        </w:rPr>
        <w:t xml:space="preserv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0sj</m:t>
            </m:r>
          </m:sub>
        </m:sSub>
      </m:oMath>
      <w:r w:rsidRPr="00DC0259">
        <w:rPr>
          <w:rFonts w:ascii="Arial" w:hAnsi="Arial" w:cs="Arial"/>
          <w:bCs/>
          <w:iCs/>
          <w:color w:val="000000"/>
          <w:sz w:val="20"/>
          <w:szCs w:val="20"/>
        </w:rPr>
        <w:t xml:space="preserve"> is forced to 0 for a species that has a routine or resting metabolic rate and vice versa. </w:t>
      </w:r>
      <w:r w:rsidRPr="00DC0259">
        <w:rPr>
          <w:rFonts w:ascii="Arial" w:hAnsi="Arial" w:cs="Arial"/>
          <w:color w:val="000000"/>
          <w:sz w:val="20"/>
          <w:szCs w:val="20"/>
        </w:rPr>
        <w:t xml:space="preserve">We assume these coefficients vary by species </w:t>
      </w:r>
      <w:r w:rsidRPr="00DC0259">
        <w:rPr>
          <w:rFonts w:ascii="Arial" w:hAnsi="Arial" w:cs="Arial"/>
          <w:bCs/>
          <w:iCs/>
          <w:color w:val="000000"/>
          <w:sz w:val="20"/>
          <w:szCs w:val="20"/>
        </w:rPr>
        <w:t xml:space="preserve">following normal distributions with global means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oMath>
      <w:r w:rsidRPr="00DC0259">
        <w:rPr>
          <w:rFonts w:ascii="Arial" w:hAnsi="Arial" w:cs="Arial"/>
          <w:color w:val="000000"/>
          <w:sz w:val="20"/>
          <w:szCs w:val="20"/>
        </w:rPr>
        <w:t xml:space="preserve"> and</w:t>
      </w:r>
      <w:r w:rsidRPr="00DC0259">
        <w:rPr>
          <w:rFonts w:ascii="Arial" w:hAnsi="Arial" w:cs="Arial"/>
          <w:bCs/>
          <w:iCs/>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oMath>
      <w:r w:rsidRPr="00DC0259">
        <w:rPr>
          <w:rFonts w:ascii="Arial" w:hAnsi="Arial" w:cs="Arial"/>
          <w:color w:val="000000"/>
          <w:sz w:val="20"/>
          <w:szCs w:val="20"/>
        </w:rPr>
        <w:t xml:space="preserve">, and standard deviations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oMath>
      <w:r w:rsidRPr="00DC0259">
        <w:rPr>
          <w:rFonts w:ascii="Arial" w:hAnsi="Arial" w:cs="Arial"/>
          <w:color w:val="000000"/>
          <w:sz w:val="20"/>
          <w:szCs w:val="20"/>
        </w:rPr>
        <w:t xml:space="preserve">, i.e.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0r</m:t>
                </m:r>
              </m:sub>
            </m:sSub>
          </m:sub>
        </m:sSub>
        <m:r>
          <w:rPr>
            <w:rFonts w:ascii="Cambria Math" w:hAnsi="Cambria Math" w:cs="Arial"/>
            <w:color w:val="000000"/>
            <w:sz w:val="20"/>
            <w:szCs w:val="20"/>
          </w:rPr>
          <m:t>)</m:t>
        </m:r>
      </m:oMath>
      <w:r w:rsidRPr="00DC0259">
        <w:rPr>
          <w:rFonts w:ascii="Arial" w:hAnsi="Arial" w:cs="Arial"/>
          <w:color w:val="000000"/>
          <w:sz w:val="20"/>
          <w:szCs w:val="20"/>
        </w:rPr>
        <w:t xml:space="preserve"> and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0s</m:t>
                </m:r>
              </m:sub>
            </m:sSub>
          </m:sub>
        </m:sSub>
        <m:r>
          <w:rPr>
            <w:rFonts w:ascii="Cambria Math" w:hAnsi="Cambria Math" w:cs="Arial"/>
            <w:color w:val="000000"/>
            <w:sz w:val="20"/>
            <w:szCs w:val="20"/>
          </w:rPr>
          <m:t>)</m:t>
        </m:r>
      </m:oMath>
      <w:r w:rsidRPr="00DC0259">
        <w:rPr>
          <w:rFonts w:ascii="Arial" w:hAnsi="Arial" w:cs="Arial"/>
          <w:bCs/>
          <w:iCs/>
          <w:color w:val="000000"/>
          <w:sz w:val="20"/>
          <w:szCs w:val="20"/>
        </w:rPr>
        <w:t>.</w:t>
      </w:r>
      <w:r w:rsidRPr="00DC0259">
        <w:rPr>
          <w:rFonts w:ascii="Arial" w:hAnsi="Arial" w:cs="Arial"/>
          <w:bCs/>
          <w:i/>
          <w:iCs/>
          <w:color w:val="000000"/>
          <w:sz w:val="20"/>
          <w:szCs w:val="20"/>
        </w:rPr>
        <w:t xml:space="preserve"> </w:t>
      </w:r>
    </w:p>
    <w:p w14:paraId="63216E42"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p>
    <w:p w14:paraId="148FB8B0"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Mass- and temperature dependence of consumption including beyond peak temperatures</w:t>
      </w:r>
    </w:p>
    <w:p w14:paraId="68AD0230" w14:textId="2DA6B354" w:rsidR="00DC0259" w:rsidRPr="00DC0259" w:rsidRDefault="00DC0259" w:rsidP="00DC0259">
      <w:pPr>
        <w:pBdr>
          <w:top w:val="nil"/>
          <w:left w:val="nil"/>
          <w:bottom w:val="nil"/>
          <w:right w:val="nil"/>
          <w:between w:val="nil"/>
        </w:pBdr>
        <w:contextualSpacing/>
        <w:rPr>
          <w:rFonts w:ascii="Arial" w:hAnsi="Arial" w:cs="Arial"/>
          <w:bCs/>
          <w:color w:val="000000"/>
          <w:sz w:val="20"/>
          <w:szCs w:val="20"/>
        </w:rPr>
      </w:pPr>
      <w:r w:rsidRPr="00DC0259">
        <w:rPr>
          <w:rFonts w:ascii="Arial" w:hAnsi="Arial" w:cs="Arial"/>
          <w:color w:val="000000"/>
          <w:sz w:val="20"/>
          <w:szCs w:val="20"/>
        </w:rPr>
        <w:t>Over a large temperature range, many biological rates are unimodal. We identified such tendencies in 10 out of 20 species in the consumption data set</w:t>
      </w:r>
      <w:r w:rsidRPr="00DC0259">
        <w:rPr>
          <w:rFonts w:ascii="Arial" w:hAnsi="Arial" w:cs="Arial"/>
          <w:bCs/>
          <w:color w:val="000000"/>
          <w:sz w:val="20"/>
          <w:szCs w:val="20"/>
        </w:rPr>
        <w:t xml:space="preserve">. To characterize the decline in consumption rate beyond peak temperature, we fit a mixed-effects version of the Sharpe Schoolfield equation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a28f5baprri","properties":{"formattedCitation":"(54)","plainCitation":"(54)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rPr>
        <w:t>(54)</w:t>
      </w:r>
      <w:r w:rsidRPr="00DC0259">
        <w:rPr>
          <w:rFonts w:ascii="Arial" w:hAnsi="Arial" w:cs="Arial"/>
          <w:color w:val="000000"/>
          <w:sz w:val="20"/>
          <w:szCs w:val="20"/>
        </w:rPr>
        <w:fldChar w:fldCharType="end"/>
      </w:r>
      <w:r w:rsidRPr="00DC0259">
        <w:rPr>
          <w:rFonts w:ascii="Arial" w:hAnsi="Arial" w:cs="Arial"/>
          <w:bCs/>
          <w:color w:val="000000"/>
          <w:sz w:val="20"/>
          <w:szCs w:val="20"/>
        </w:rPr>
        <w:t xml:space="preserve"> as parameterized in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bCsJD2ib","properties":{"formattedCitation":"(90)","plainCitation":"(90)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lang w:val="en-GB"/>
        </w:rPr>
        <w:t>(90)</w:t>
      </w:r>
      <w:r w:rsidRPr="00DC0259">
        <w:rPr>
          <w:rFonts w:ascii="Arial" w:hAnsi="Arial" w:cs="Arial"/>
          <w:color w:val="000000"/>
          <w:sz w:val="20"/>
          <w:szCs w:val="20"/>
        </w:rPr>
        <w:fldChar w:fldCharType="end"/>
      </w:r>
      <w:r w:rsidRPr="00DC0259">
        <w:rPr>
          <w:rFonts w:ascii="Arial" w:hAnsi="Arial" w:cs="Arial"/>
          <w:bCs/>
          <w:color w:val="000000"/>
          <w:sz w:val="20"/>
          <w:szCs w:val="20"/>
        </w:rPr>
        <w:t xml:space="preserve">, to equations 1-2 with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color w:val="000000"/>
          <w:sz w:val="20"/>
          <w:szCs w:val="20"/>
        </w:rPr>
        <w:t xml:space="preserve"> as rescaled consumption rates (</w:t>
      </w:r>
      <m:oMath>
        <m:r>
          <w:rPr>
            <w:rFonts w:ascii="Cambria Math" w:hAnsi="Cambria Math" w:cs="Arial"/>
            <w:color w:val="000000"/>
            <w:sz w:val="20"/>
            <w:szCs w:val="20"/>
          </w:rPr>
          <m:t>C</m:t>
        </m:r>
      </m:oMath>
      <w:r w:rsidRPr="00DC0259">
        <w:rPr>
          <w:rFonts w:ascii="Arial" w:hAnsi="Arial" w:cs="Arial"/>
          <w:bCs/>
          <w:color w:val="000000"/>
          <w:sz w:val="20"/>
          <w:szCs w:val="20"/>
        </w:rPr>
        <w:t>). Specifically, we model</w:t>
      </w:r>
      <w:r w:rsidRPr="00DC0259">
        <w:rPr>
          <w:rFonts w:ascii="Arial" w:hAnsi="Arial" w:cs="Arial"/>
          <w:bCs/>
          <w:iCs/>
          <w:color w:val="000000"/>
          <w:sz w:val="20"/>
          <w:szCs w:val="20"/>
        </w:rPr>
        <w:t xml:space="preserve">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in Eq. 1 with the </w:t>
      </w:r>
      <w:r w:rsidRPr="00DC0259">
        <w:rPr>
          <w:rFonts w:ascii="Arial" w:hAnsi="Arial" w:cs="Arial"/>
          <w:bCs/>
          <w:color w:val="000000"/>
          <w:sz w:val="20"/>
          <w:szCs w:val="20"/>
        </w:rPr>
        <w:t>Sharpe-Schoolfield equation:</w:t>
      </w:r>
    </w:p>
    <w:p w14:paraId="5039EBDD" w14:textId="5D000EBA" w:rsidR="00DC0259" w:rsidRPr="00DC0259" w:rsidRDefault="00DC5DC8" w:rsidP="00E550C7">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ij</m:t>
            </m:r>
          </m:sub>
        </m:sSub>
        <m:r>
          <w:rPr>
            <w:rFonts w:ascii="Cambria Math" w:hAnsi="Cambria Math" w:cs="Arial"/>
            <w:color w:val="000000"/>
            <w:sz w:val="20"/>
            <w:szCs w:val="20"/>
          </w:rPr>
          <m:t>=</m:t>
        </m:r>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e>
              <m:sub>
                <m:r>
                  <w:rPr>
                    <w:rFonts w:ascii="Cambria Math" w:hAnsi="Cambria Math" w:cs="Arial"/>
                    <w:color w:val="000000"/>
                    <w:sz w:val="20"/>
                    <w:szCs w:val="20"/>
                  </w:rPr>
                  <m:t>j</m:t>
                </m:r>
              </m:sub>
            </m:sSub>
            <m:d>
              <m:dPr>
                <m:ctrlPr>
                  <w:rPr>
                    <w:rFonts w:ascii="Cambria Math" w:hAnsi="Cambria Math" w:cs="Arial"/>
                    <w:i/>
                    <w:color w:val="000000"/>
                    <w:sz w:val="20"/>
                    <w:szCs w:val="20"/>
                  </w:rPr>
                </m:ctrlPr>
              </m:dPr>
              <m:e>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e>
            </m:d>
            <m:sSup>
              <m:sSupPr>
                <m:ctrlPr>
                  <w:rPr>
                    <w:rFonts w:ascii="Cambria Math" w:hAnsi="Cambria Math" w:cs="Arial"/>
                    <w:i/>
                    <w:color w:val="000000"/>
                    <w:sz w:val="20"/>
                    <w:szCs w:val="20"/>
                  </w:rPr>
                </m:ctrlPr>
              </m:sSupPr>
              <m:e>
                <m:r>
                  <w:rPr>
                    <w:rFonts w:ascii="Cambria Math" w:hAnsi="Cambria Math" w:cs="Arial"/>
                    <w:color w:val="000000"/>
                    <w:sz w:val="20"/>
                    <w:szCs w:val="20"/>
                  </w:rPr>
                  <m:t>e</m:t>
                </m:r>
              </m:e>
              <m:sup>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m:t>
                        </m:r>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kT</m:t>
                        </m:r>
                      </m:den>
                    </m:f>
                  </m:e>
                </m:d>
              </m:sup>
            </m:sSup>
          </m:num>
          <m:den>
            <m:r>
              <w:rPr>
                <w:rFonts w:ascii="Cambria Math" w:hAnsi="Cambria Math" w:cs="Arial"/>
                <w:color w:val="000000"/>
                <w:sz w:val="20"/>
                <w:szCs w:val="20"/>
              </w:rPr>
              <m:t>1+</m:t>
            </m:r>
            <m:sSup>
              <m:sSupPr>
                <m:ctrlPr>
                  <w:rPr>
                    <w:rFonts w:ascii="Cambria Math" w:hAnsi="Cambria Math" w:cs="Arial"/>
                    <w:i/>
                    <w:color w:val="000000"/>
                    <w:sz w:val="20"/>
                    <w:szCs w:val="20"/>
                  </w:rPr>
                </m:ctrlPr>
              </m:sSupPr>
              <m:e>
                <m:r>
                  <w:rPr>
                    <w:rFonts w:ascii="Cambria Math" w:hAnsi="Cambria Math" w:cs="Arial"/>
                    <w:color w:val="000000"/>
                    <w:sz w:val="20"/>
                    <w:szCs w:val="20"/>
                  </w:rPr>
                  <m:t>e</m:t>
                </m:r>
              </m:e>
              <m:sup>
                <m:sSub>
                  <m:sSubPr>
                    <m:ctrlPr>
                      <w:rPr>
                        <w:rFonts w:ascii="Cambria Math" w:hAnsi="Cambria Math" w:cs="Arial"/>
                        <w:i/>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h</m:t>
                    </m:r>
                  </m:sub>
                </m:sSub>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m:t>
                        </m:r>
                        <m:sSub>
                          <m:sSubPr>
                            <m:ctrlPr>
                              <w:rPr>
                                <w:rFonts w:ascii="Cambria Math" w:hAnsi="Cambria Math" w:cs="Arial"/>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h</m:t>
                            </m:r>
                          </m:sub>
                        </m:sSub>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kT</m:t>
                        </m:r>
                      </m:den>
                    </m:f>
                  </m:e>
                </m:d>
              </m:sup>
            </m:sSup>
          </m:den>
        </m:f>
      </m:oMath>
      <w:r w:rsidR="00DC0259" w:rsidRPr="00DC0259">
        <w:rPr>
          <w:rFonts w:ascii="Arial" w:hAnsi="Arial" w:cs="Arial"/>
          <w:color w:val="000000"/>
          <w:sz w:val="20"/>
          <w:szCs w:val="20"/>
        </w:rPr>
        <w:t xml:space="preserve">                                                       (4)</w:t>
      </w:r>
    </w:p>
    <w:p w14:paraId="591A63DC" w14:textId="43153002" w:rsidR="00DC0259" w:rsidRPr="00DC0259" w:rsidRDefault="00DC5DC8" w:rsidP="00E550C7">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E</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E</m:t>
            </m:r>
          </m:sub>
        </m:sSub>
        <m:r>
          <w:rPr>
            <w:rFonts w:ascii="Cambria Math" w:hAnsi="Cambria Math" w:cs="Arial"/>
            <w:color w:val="000000"/>
            <w:sz w:val="20"/>
            <w:szCs w:val="20"/>
          </w:rPr>
          <m:t>)</m:t>
        </m:r>
      </m:oMath>
      <w:r w:rsidR="00DC0259" w:rsidRPr="00DC0259">
        <w:rPr>
          <w:rFonts w:ascii="Arial" w:hAnsi="Arial" w:cs="Arial"/>
          <w:color w:val="000000"/>
          <w:sz w:val="20"/>
          <w:szCs w:val="20"/>
        </w:rPr>
        <w:t xml:space="preserve">                                                           (5)</w:t>
      </w:r>
    </w:p>
    <w:p w14:paraId="6475E24F" w14:textId="6F083193" w:rsidR="00DC0259" w:rsidRPr="00DC0259" w:rsidRDefault="00DC5DC8" w:rsidP="00E550C7">
      <w:pPr>
        <w:pBdr>
          <w:top w:val="nil"/>
          <w:left w:val="nil"/>
          <w:bottom w:val="nil"/>
          <w:right w:val="nil"/>
          <w:between w:val="nil"/>
        </w:pBdr>
        <w:contextualSpacing/>
        <w:jc w:val="right"/>
        <w:rPr>
          <w:rFonts w:ascii="Arial" w:hAnsi="Arial" w:cs="Arial"/>
          <w:color w:val="000000"/>
          <w:sz w:val="20"/>
          <w:szCs w:val="20"/>
        </w:rPr>
      </w:pPr>
      <m:oMath>
        <m:sSub>
          <m:sSubPr>
            <m:ctrlPr>
              <w:rPr>
                <w:rFonts w:ascii="Cambria Math" w:hAnsi="Cambria Math" w:cs="Arial"/>
                <w:i/>
                <w:color w:val="000000"/>
                <w:sz w:val="20"/>
                <w:szCs w:val="20"/>
              </w:rPr>
            </m:ctrlPr>
          </m:sSubPr>
          <m:e>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e>
          <m:sub>
            <m:r>
              <w:rPr>
                <w:rFonts w:ascii="Cambria Math" w:hAnsi="Cambria Math" w:cs="Arial"/>
                <w:color w:val="000000"/>
                <w:sz w:val="20"/>
                <w:szCs w:val="20"/>
              </w:rPr>
              <m:t>j</m:t>
            </m:r>
          </m:sub>
        </m:sSub>
        <m:r>
          <w:rPr>
            <w:rFonts w:ascii="Cambria Math" w:hAnsi="Cambria Math" w:cs="Arial"/>
            <w:color w:val="000000"/>
            <w:sz w:val="20"/>
            <w:szCs w:val="20"/>
          </w:rPr>
          <m:t>~N(</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r>
          <w:rPr>
            <w:rFonts w:ascii="Cambria Math" w:hAnsi="Cambria Math" w:cs="Arial"/>
            <w:color w:val="000000"/>
            <w:sz w:val="20"/>
            <w:szCs w:val="20"/>
          </w:rPr>
          <m:t>)</m:t>
        </m:r>
      </m:oMath>
      <w:r w:rsidR="00DC0259" w:rsidRPr="00DC0259">
        <w:rPr>
          <w:rFonts w:ascii="Arial" w:hAnsi="Arial" w:cs="Arial"/>
          <w:color w:val="000000"/>
          <w:sz w:val="20"/>
          <w:szCs w:val="20"/>
        </w:rPr>
        <w:t xml:space="preserve">                                                         (6)</w:t>
      </w:r>
    </w:p>
    <w:p w14:paraId="1977E66A" w14:textId="0239C20A" w:rsidR="00DC0259" w:rsidRPr="00DC0259" w:rsidRDefault="00DC0259" w:rsidP="00DC0259">
      <w:pPr>
        <w:pBdr>
          <w:top w:val="nil"/>
          <w:left w:val="nil"/>
          <w:bottom w:val="nil"/>
          <w:right w:val="nil"/>
          <w:between w:val="nil"/>
        </w:pBdr>
        <w:contextualSpacing/>
        <w:rPr>
          <w:rFonts w:ascii="Arial" w:hAnsi="Arial" w:cs="Arial"/>
          <w:bCs/>
          <w:color w:val="000000"/>
          <w:sz w:val="20"/>
          <w:szCs w:val="20"/>
        </w:rPr>
      </w:pPr>
      <w:r w:rsidRPr="00DC0259">
        <w:rPr>
          <w:rFonts w:ascii="Arial" w:hAnsi="Arial" w:cs="Arial"/>
          <w:bCs/>
          <w:color w:val="000000"/>
          <w:sz w:val="20"/>
          <w:szCs w:val="20"/>
        </w:rPr>
        <w:t xml:space="preserve">where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sSub>
              <m:sSubPr>
                <m:ctrlPr>
                  <w:rPr>
                    <w:rFonts w:ascii="Cambria Math" w:hAnsi="Cambria Math" w:cs="Arial"/>
                    <w:i/>
                    <w:iCs/>
                    <w:color w:val="000000"/>
                    <w:sz w:val="20"/>
                    <w:szCs w:val="20"/>
                  </w:rPr>
                </m:ctrlPr>
              </m:sSubPr>
              <m:e>
                <m:r>
                  <w:rPr>
                    <w:rFonts w:ascii="Cambria Math" w:hAnsi="Cambria Math" w:cs="Arial"/>
                    <w:color w:val="000000"/>
                    <w:sz w:val="20"/>
                    <w:szCs w:val="20"/>
                  </w:rPr>
                  <m:t>0</m:t>
                </m:r>
              </m:e>
              <m:sub>
                <m:r>
                  <w:rPr>
                    <w:rFonts w:ascii="Cambria Math" w:hAnsi="Cambria Math" w:cs="Arial"/>
                    <w:color w:val="000000"/>
                    <w:sz w:val="20"/>
                    <w:szCs w:val="20"/>
                  </w:rPr>
                  <m:t>j</m:t>
                </m:r>
              </m:sub>
            </m:sSub>
          </m:sub>
        </m:sSub>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r>
          <w:rPr>
            <w:rFonts w:ascii="Cambria Math" w:hAnsi="Cambria Math" w:cs="Arial"/>
            <w:color w:val="000000"/>
            <w:sz w:val="20"/>
            <w:szCs w:val="20"/>
          </w:rPr>
          <m:t>)</m:t>
        </m:r>
      </m:oMath>
      <w:r w:rsidRPr="00DC0259">
        <w:rPr>
          <w:rFonts w:ascii="Arial" w:hAnsi="Arial" w:cs="Arial"/>
          <w:iCs/>
          <w:color w:val="000000"/>
          <w:sz w:val="20"/>
          <w:szCs w:val="20"/>
        </w:rPr>
        <w:t xml:space="preserve"> is the rate at a reference temperature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C</m:t>
            </m:r>
          </m:sub>
        </m:sSub>
      </m:oMath>
      <w:r w:rsidRPr="00DC0259">
        <w:rPr>
          <w:rFonts w:ascii="Arial" w:hAnsi="Arial" w:cs="Arial"/>
          <w:iCs/>
          <w:color w:val="000000"/>
          <w:sz w:val="20"/>
          <w:szCs w:val="20"/>
        </w:rPr>
        <w:t xml:space="preserve"> in Kelvin [</w:t>
      </w:r>
      <m:oMath>
        <m:r>
          <m:rPr>
            <m:sty m:val="p"/>
          </m:rPr>
          <w:rPr>
            <w:rFonts w:ascii="Cambria Math" w:hAnsi="Cambria Math" w:cs="Arial"/>
            <w:color w:val="000000"/>
            <w:sz w:val="20"/>
            <w:szCs w:val="20"/>
          </w:rPr>
          <m:t>K</m:t>
        </m:r>
      </m:oMath>
      <w:r w:rsidRPr="00DC0259">
        <w:rPr>
          <w:rFonts w:ascii="Arial" w:hAnsi="Arial" w:cs="Arial"/>
          <w:color w:val="000000"/>
          <w:sz w:val="20"/>
          <w:szCs w:val="20"/>
        </w:rPr>
        <w:t>]</w:t>
      </w:r>
      <w:r w:rsidRPr="00DC0259">
        <w:rPr>
          <w:rFonts w:ascii="Arial" w:hAnsi="Arial" w:cs="Arial"/>
          <w:iCs/>
          <w:color w:val="000000"/>
          <w:sz w:val="20"/>
          <w:szCs w:val="20"/>
        </w:rPr>
        <w:t xml:space="preserve"> (here set to 263.15),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oMath>
      <w:r w:rsidRPr="00DC0259">
        <w:rPr>
          <w:rFonts w:ascii="Arial" w:hAnsi="Arial" w:cs="Arial"/>
          <w:iCs/>
          <w:color w:val="000000"/>
          <w:sz w:val="20"/>
          <w:szCs w:val="20"/>
        </w:rPr>
        <w:t xml:space="preserve"> [</w:t>
      </w:r>
      <m:oMath>
        <m:r>
          <m:rPr>
            <m:sty m:val="p"/>
          </m:rPr>
          <w:rPr>
            <w:rFonts w:ascii="Cambria Math" w:hAnsi="Cambria Math" w:cs="Arial"/>
            <w:color w:val="000000"/>
            <w:sz w:val="20"/>
            <w:szCs w:val="20"/>
          </w:rPr>
          <m:t>eV</m:t>
        </m:r>
      </m:oMath>
      <w:r w:rsidRPr="00DC0259">
        <w:rPr>
          <w:rFonts w:ascii="Arial" w:hAnsi="Arial" w:cs="Arial"/>
          <w:color w:val="000000"/>
          <w:sz w:val="20"/>
          <w:szCs w:val="20"/>
        </w:rPr>
        <w:t>]</w:t>
      </w:r>
      <w:r w:rsidRPr="00DC0259">
        <w:rPr>
          <w:rFonts w:ascii="Arial" w:hAnsi="Arial" w:cs="Arial"/>
          <w:iCs/>
          <w:color w:val="000000"/>
          <w:sz w:val="20"/>
          <w:szCs w:val="20"/>
        </w:rPr>
        <w:t xml:space="preserve"> is the activation energy,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h</m:t>
            </m:r>
          </m:sub>
        </m:sSub>
      </m:oMath>
      <w:r w:rsidRPr="00DC0259">
        <w:rPr>
          <w:rFonts w:ascii="Arial" w:hAnsi="Arial" w:cs="Arial"/>
          <w:iCs/>
          <w:color w:val="000000"/>
          <w:sz w:val="20"/>
          <w:szCs w:val="20"/>
        </w:rPr>
        <w:t xml:space="preserve"> [</w:t>
      </w:r>
      <m:oMath>
        <m:r>
          <m:rPr>
            <m:sty m:val="p"/>
          </m:rPr>
          <w:rPr>
            <w:rFonts w:ascii="Cambria Math" w:hAnsi="Cambria Math" w:cs="Arial"/>
            <w:color w:val="000000"/>
            <w:sz w:val="20"/>
            <w:szCs w:val="20"/>
          </w:rPr>
          <m:t>eV</m:t>
        </m:r>
      </m:oMath>
      <w:r w:rsidRPr="00DC0259">
        <w:rPr>
          <w:rFonts w:ascii="Arial" w:hAnsi="Arial" w:cs="Arial"/>
          <w:iCs/>
          <w:color w:val="000000"/>
          <w:sz w:val="20"/>
          <w:szCs w:val="20"/>
        </w:rPr>
        <w:t xml:space="preserve">] characterizes the decline in the rate past the peak temperature and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h</m:t>
            </m:r>
          </m:sub>
        </m:sSub>
      </m:oMath>
      <w:r w:rsidRPr="00DC0259">
        <w:rPr>
          <w:rFonts w:ascii="Arial" w:hAnsi="Arial" w:cs="Arial"/>
          <w:iCs/>
          <w:color w:val="000000"/>
          <w:sz w:val="20"/>
          <w:szCs w:val="20"/>
        </w:rPr>
        <w:t xml:space="preserve"> [</w:t>
      </w:r>
      <m:oMath>
        <m:r>
          <m:rPr>
            <m:sty m:val="p"/>
          </m:rPr>
          <w:rPr>
            <w:rFonts w:ascii="Cambria Math" w:hAnsi="Cambria Math" w:cs="Arial"/>
            <w:color w:val="000000"/>
            <w:sz w:val="20"/>
            <w:szCs w:val="20"/>
          </w:rPr>
          <m:t>K</m:t>
        </m:r>
      </m:oMath>
      <w:r w:rsidRPr="00DC0259">
        <w:rPr>
          <w:rFonts w:ascii="Arial" w:hAnsi="Arial" w:cs="Arial"/>
          <w:iCs/>
          <w:color w:val="000000"/>
          <w:sz w:val="20"/>
          <w:szCs w:val="20"/>
        </w:rPr>
        <w:t xml:space="preserve">] is the temperature at which the rate is reduced to half (of the rate in the absence of deactivation) due to high temperatures. We assume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E</m:t>
            </m:r>
          </m:e>
          <m:sub>
            <m:r>
              <w:rPr>
                <w:rFonts w:ascii="Cambria Math" w:hAnsi="Cambria Math" w:cs="Arial"/>
                <w:color w:val="000000"/>
                <w:sz w:val="20"/>
                <w:szCs w:val="20"/>
              </w:rPr>
              <m:t>j</m:t>
            </m:r>
          </m:sub>
        </m:sSub>
      </m:oMath>
      <w:r w:rsidRPr="00DC0259">
        <w:rPr>
          <w:rFonts w:ascii="Arial" w:hAnsi="Arial" w:cs="Arial"/>
          <w:iCs/>
          <w:color w:val="000000"/>
          <w:sz w:val="20"/>
          <w:szCs w:val="20"/>
        </w:rPr>
        <w:t xml:space="preserve"> and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0</m:t>
                </m:r>
              </m:e>
              <m:sub>
                <m:r>
                  <w:rPr>
                    <w:rFonts w:ascii="Cambria Math" w:hAnsi="Cambria Math" w:cs="Arial"/>
                    <w:color w:val="000000"/>
                    <w:sz w:val="20"/>
                    <w:szCs w:val="20"/>
                  </w:rPr>
                  <m:t>j</m:t>
                </m:r>
              </m:sub>
            </m:sSub>
          </m:sub>
        </m:sSub>
      </m:oMath>
      <w:r w:rsidRPr="00DC0259">
        <w:rPr>
          <w:rFonts w:ascii="Arial" w:hAnsi="Arial" w:cs="Arial"/>
          <w:bCs/>
          <w:iCs/>
          <w:color w:val="000000"/>
          <w:sz w:val="20"/>
          <w:szCs w:val="20"/>
        </w:rPr>
        <w:t xml:space="preserve"> vary across species according to a </w:t>
      </w:r>
      <w:r w:rsidRPr="00DC0259">
        <w:rPr>
          <w:rFonts w:ascii="Arial" w:hAnsi="Arial" w:cs="Arial"/>
          <w:color w:val="000000"/>
          <w:sz w:val="20"/>
          <w:szCs w:val="20"/>
        </w:rPr>
        <w:t xml:space="preserve">normal distribution with means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E</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oMath>
      <w:r w:rsidRPr="00DC0259">
        <w:rPr>
          <w:rFonts w:ascii="Arial" w:hAnsi="Arial" w:cs="Arial"/>
          <w:color w:val="000000"/>
          <w:sz w:val="20"/>
          <w:szCs w:val="20"/>
        </w:rPr>
        <w:t xml:space="preserve">, and standard deviations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E</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0</m:t>
                </m:r>
              </m:sub>
            </m:sSub>
          </m:sub>
        </m:sSub>
      </m:oMath>
      <w:r w:rsidRPr="00DC0259">
        <w:rPr>
          <w:rFonts w:ascii="Arial" w:hAnsi="Arial" w:cs="Arial"/>
          <w:color w:val="000000"/>
          <w:sz w:val="20"/>
          <w:szCs w:val="20"/>
        </w:rPr>
        <w:t xml:space="preserve"> (Eq. 5-6). </w:t>
      </w:r>
      <w:r w:rsidRPr="00DC0259">
        <w:rPr>
          <w:rFonts w:ascii="Arial" w:hAnsi="Arial" w:cs="Arial"/>
          <w:bCs/>
          <w:iCs/>
          <w:color w:val="000000"/>
          <w:sz w:val="20"/>
          <w:szCs w:val="20"/>
        </w:rPr>
        <w:t>Prior to rescaling maximum consumption (</w:t>
      </w:r>
      <w:r w:rsidRPr="00DC0259">
        <w:rPr>
          <w:rFonts w:ascii="Arial" w:hAnsi="Arial" w:cs="Arial"/>
          <w:color w:val="000000"/>
          <w:sz w:val="20"/>
          <w:szCs w:val="20"/>
        </w:rPr>
        <w:t xml:space="preserve">in unit </w:t>
      </w:r>
      <m:oMath>
        <m:r>
          <m:rPr>
            <m:sty m:val="p"/>
          </m:rPr>
          <w:rPr>
            <w:rFonts w:ascii="Cambria Math" w:hAnsi="Cambria Math" w:cs="Arial"/>
            <w:color w:val="000000"/>
            <w:sz w:val="20"/>
            <w:szCs w:val="20"/>
          </w:rPr>
          <m:t xml:space="preserve">g </m:t>
        </m:r>
        <m:sSup>
          <m:sSupPr>
            <m:ctrlPr>
              <w:rPr>
                <w:rFonts w:ascii="Cambria Math" w:hAnsi="Cambria Math" w:cs="Arial"/>
                <w:b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bCs/>
          <w:iCs/>
          <w:color w:val="000000"/>
          <w:sz w:val="20"/>
          <w:szCs w:val="20"/>
        </w:rPr>
        <w:t xml:space="preserve">) by dividing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with the mean within species </w:t>
      </w:r>
      <m:oMath>
        <m:acc>
          <m:accPr>
            <m:chr m:val="̅"/>
            <m:ctrlPr>
              <w:rPr>
                <w:rFonts w:ascii="Cambria Math" w:hAnsi="Cambria Math" w:cs="Arial"/>
                <w:bCs/>
                <w:i/>
                <w:iCs/>
                <w:color w:val="000000"/>
                <w:sz w:val="20"/>
                <w:szCs w:val="20"/>
              </w:rPr>
            </m:ctrlPr>
          </m:accPr>
          <m:e>
            <m:sSub>
              <m:sSubPr>
                <m:ctrlPr>
                  <w:rPr>
                    <w:rFonts w:ascii="Cambria Math" w:hAnsi="Cambria Math" w:cs="Arial"/>
                    <w:bCs/>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j</m:t>
                </m:r>
              </m:sub>
            </m:sSub>
          </m:e>
        </m:acc>
      </m:oMath>
      <w:r w:rsidRPr="00DC0259">
        <w:rPr>
          <w:rFonts w:ascii="Arial" w:hAnsi="Arial" w:cs="Arial"/>
          <w:bCs/>
          <w:iCs/>
          <w:color w:val="000000"/>
          <w:sz w:val="20"/>
          <w:szCs w:val="20"/>
        </w:rPr>
        <w:t xml:space="preserve">, we mass-normalize it by dividing it with </w:t>
      </w:r>
      <m:oMath>
        <m:sSup>
          <m:sSupPr>
            <m:ctrlPr>
              <w:rPr>
                <w:rFonts w:ascii="Cambria Math" w:hAnsi="Cambria Math" w:cs="Arial"/>
                <w:bCs/>
                <w:i/>
                <w:iCs/>
                <w:color w:val="000000"/>
                <w:sz w:val="20"/>
                <w:szCs w:val="20"/>
              </w:rPr>
            </m:ctrlPr>
          </m:sSupPr>
          <m:e>
            <m:r>
              <w:rPr>
                <w:rFonts w:ascii="Cambria Math" w:hAnsi="Cambria Math" w:cs="Arial"/>
                <w:color w:val="000000"/>
                <w:sz w:val="20"/>
                <w:szCs w:val="20"/>
              </w:rPr>
              <m:t>m</m:t>
            </m:r>
          </m:e>
          <m:sup>
            <m:r>
              <w:rPr>
                <w:rFonts w:ascii="Cambria Math" w:hAnsi="Cambria Math" w:cs="Arial"/>
                <w:color w:val="000000"/>
                <w:sz w:val="20"/>
                <w:szCs w:val="20"/>
              </w:rPr>
              <m:t>a</m:t>
            </m:r>
          </m:sup>
        </m:sSup>
      </m:oMath>
      <w:r w:rsidRPr="00DC0259">
        <w:rPr>
          <w:rFonts w:ascii="Arial" w:hAnsi="Arial" w:cs="Arial"/>
          <w:bCs/>
          <w:iCs/>
          <w:color w:val="000000"/>
          <w:sz w:val="20"/>
          <w:szCs w:val="20"/>
        </w:rPr>
        <w:t xml:space="preserve"> where </w:t>
      </w:r>
      <m:oMath>
        <m:r>
          <w:rPr>
            <w:rFonts w:ascii="Cambria Math" w:hAnsi="Cambria Math" w:cs="Arial"/>
            <w:color w:val="000000"/>
            <w:sz w:val="20"/>
            <w:szCs w:val="20"/>
          </w:rPr>
          <m:t>m</m:t>
        </m:r>
      </m:oMath>
      <w:r w:rsidRPr="00DC0259">
        <w:rPr>
          <w:rFonts w:ascii="Arial" w:hAnsi="Arial" w:cs="Arial"/>
          <w:bCs/>
          <w:iCs/>
          <w:color w:val="000000"/>
          <w:sz w:val="20"/>
          <w:szCs w:val="20"/>
        </w:rPr>
        <w:t xml:space="preserve"> is mass in </w:t>
      </w:r>
      <m:oMath>
        <m:r>
          <m:rPr>
            <m:sty m:val="p"/>
          </m:rPr>
          <w:rPr>
            <w:rFonts w:ascii="Cambria Math" w:hAnsi="Cambria Math" w:cs="Arial"/>
            <w:color w:val="000000"/>
            <w:sz w:val="20"/>
            <w:szCs w:val="20"/>
          </w:rPr>
          <m:t>g</m:t>
        </m:r>
      </m:oMath>
      <w:r w:rsidRPr="00DC0259">
        <w:rPr>
          <w:rFonts w:ascii="Arial" w:hAnsi="Arial" w:cs="Arial"/>
          <w:bCs/>
          <w:color w:val="000000"/>
          <w:sz w:val="20"/>
          <w:szCs w:val="20"/>
        </w:rPr>
        <w:t xml:space="preserve"> and </w:t>
      </w:r>
      <m:oMath>
        <m:r>
          <w:rPr>
            <w:rFonts w:ascii="Cambria Math" w:hAnsi="Cambria Math" w:cs="Arial"/>
            <w:color w:val="000000"/>
            <w:sz w:val="20"/>
            <w:szCs w:val="20"/>
          </w:rPr>
          <m:t>a</m:t>
        </m:r>
      </m:oMath>
      <w:r w:rsidRPr="00DC0259">
        <w:rPr>
          <w:rFonts w:ascii="Arial" w:hAnsi="Arial" w:cs="Arial"/>
          <w:bCs/>
          <w:color w:val="000000"/>
          <w:sz w:val="20"/>
          <w:szCs w:val="20"/>
        </w:rPr>
        <w:t xml:space="preserve"> is the whole-organism mass-exponent calculated from the estimated mass-specific exponent with the log-linear model fitted to data below peak temp</w:t>
      </w:r>
      <w:proofErr w:type="spellStart"/>
      <w:r w:rsidRPr="00DC0259">
        <w:rPr>
          <w:rFonts w:ascii="Arial" w:hAnsi="Arial" w:cs="Arial"/>
          <w:bCs/>
          <w:color w:val="000000"/>
          <w:sz w:val="20"/>
          <w:szCs w:val="20"/>
        </w:rPr>
        <w:t>erature</w:t>
      </w:r>
      <w:proofErr w:type="spellEnd"/>
      <w:r w:rsidRPr="00DC0259">
        <w:rPr>
          <w:rFonts w:ascii="Arial" w:hAnsi="Arial" w:cs="Arial"/>
          <w:bCs/>
          <w:color w:val="000000"/>
          <w:sz w:val="20"/>
          <w:szCs w:val="20"/>
        </w:rPr>
        <w:t xml:space="preserve">. Temperature, </w:t>
      </w:r>
      <m:oMath>
        <m:r>
          <w:rPr>
            <w:rFonts w:ascii="Cambria Math" w:hAnsi="Cambria Math" w:cs="Arial"/>
            <w:color w:val="000000"/>
            <w:sz w:val="20"/>
            <w:szCs w:val="20"/>
          </w:rPr>
          <m:t>T</m:t>
        </m:r>
      </m:oMath>
      <w:r w:rsidRPr="00DC0259">
        <w:rPr>
          <w:rFonts w:ascii="Arial" w:hAnsi="Arial" w:cs="Arial"/>
          <w:bCs/>
          <w:color w:val="000000"/>
          <w:sz w:val="20"/>
          <w:szCs w:val="20"/>
        </w:rPr>
        <w:t xml:space="preserve">, is centered by subtracting the temperature at peak consumption estimated separately for each species using a linear model with a quadratic temperature term. </w:t>
      </w:r>
      <w:r w:rsidRPr="00DC0259">
        <w:rPr>
          <w:rFonts w:ascii="Arial" w:hAnsi="Arial" w:cs="Arial"/>
          <w:iCs/>
          <w:color w:val="000000"/>
          <w:sz w:val="20"/>
          <w:szCs w:val="20"/>
        </w:rPr>
        <w:t xml:space="preserve">The rescaling is done to control for differences between species with respect to the experimental temperatures relative to the temperature that maximizes their consumption rate such that data can be pooled. </w:t>
      </w:r>
    </w:p>
    <w:p w14:paraId="27CF31B2" w14:textId="77777777" w:rsidR="00DC0259" w:rsidRPr="00DC0259" w:rsidRDefault="00DC0259" w:rsidP="00DC0259">
      <w:pPr>
        <w:pBdr>
          <w:top w:val="nil"/>
          <w:left w:val="nil"/>
          <w:bottom w:val="nil"/>
          <w:right w:val="nil"/>
          <w:between w:val="nil"/>
        </w:pBdr>
        <w:contextualSpacing/>
        <w:rPr>
          <w:rFonts w:ascii="Arial" w:hAnsi="Arial" w:cs="Arial"/>
          <w:iCs/>
          <w:color w:val="000000"/>
          <w:sz w:val="20"/>
          <w:szCs w:val="20"/>
        </w:rPr>
      </w:pPr>
    </w:p>
    <w:p w14:paraId="52B2548D"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Mass-dependence of optimum growth temperature</w:t>
      </w:r>
    </w:p>
    <w:p w14:paraId="1E628BBA" w14:textId="5F0C4E45"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bCs/>
          <w:color w:val="000000"/>
          <w:sz w:val="20"/>
          <w:szCs w:val="20"/>
        </w:rPr>
        <w:t>To evaluate how the optimum temperature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opt,ij</m:t>
            </m:r>
          </m:sub>
        </m:sSub>
      </m:oMath>
      <w:r w:rsidRPr="00DC0259">
        <w:rPr>
          <w:rFonts w:ascii="Arial" w:hAnsi="Arial" w:cs="Arial"/>
          <w:bCs/>
          <w:color w:val="000000"/>
          <w:sz w:val="20"/>
          <w:szCs w:val="20"/>
        </w:rPr>
        <w:t xml:space="preserve">, in degrees Celsius) for individual growth depends on body mass, we fit Eqns. 1-3 with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y</m:t>
            </m:r>
          </m:e>
          <m:sub>
            <m:r>
              <w:rPr>
                <w:rFonts w:ascii="Cambria Math" w:hAnsi="Cambria Math" w:cs="Arial"/>
                <w:color w:val="000000"/>
                <w:sz w:val="20"/>
                <w:szCs w:val="20"/>
              </w:rPr>
              <m:t>ij</m:t>
            </m:r>
          </m:sub>
        </m:sSub>
      </m:oMath>
      <w:r w:rsidRPr="00DC0259">
        <w:rPr>
          <w:rFonts w:ascii="Arial" w:hAnsi="Arial" w:cs="Arial"/>
          <w:bCs/>
          <w:color w:val="000000"/>
          <w:sz w:val="20"/>
          <w:szCs w:val="20"/>
        </w:rPr>
        <w:t xml:space="preserve"> as the </w:t>
      </w:r>
      <w:r w:rsidRPr="00DC0259">
        <w:rPr>
          <w:rFonts w:ascii="Arial" w:hAnsi="Arial" w:cs="Arial"/>
          <w:bCs/>
          <w:iCs/>
          <w:color w:val="000000"/>
          <w:sz w:val="20"/>
          <w:szCs w:val="20"/>
        </w:rPr>
        <w:t>mean-centered optimum growth temperature within species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opt,ij</m:t>
            </m:r>
          </m:sub>
        </m:sSub>
        <m:r>
          <w:rPr>
            <w:rFonts w:ascii="Cambria Math" w:hAnsi="Cambria Math" w:cs="Arial"/>
            <w:color w:val="000000"/>
            <w:sz w:val="20"/>
            <w:szCs w:val="20"/>
          </w:rPr>
          <m:t>=</m:t>
        </m:r>
        <m:sSub>
          <m:sSubPr>
            <m:ctrlPr>
              <w:rPr>
                <w:rFonts w:ascii="Cambria Math" w:hAnsi="Cambria Math" w:cs="Arial"/>
                <w:bCs/>
                <w:i/>
                <w:color w:val="000000"/>
                <w:sz w:val="20"/>
                <w:szCs w:val="20"/>
              </w:rPr>
            </m:ctrlPr>
          </m:sSubPr>
          <m:e>
            <m:r>
              <w:rPr>
                <w:rFonts w:ascii="Cambria Math" w:hAnsi="Cambria Math" w:cs="Arial"/>
                <w:color w:val="000000"/>
                <w:sz w:val="20"/>
                <w:szCs w:val="20"/>
              </w:rPr>
              <m:t>T</m:t>
            </m:r>
          </m:e>
          <m:sub>
            <m:r>
              <w:rPr>
                <w:rFonts w:ascii="Cambria Math" w:hAnsi="Cambria Math" w:cs="Arial"/>
                <w:color w:val="000000"/>
                <w:sz w:val="20"/>
                <w:szCs w:val="20"/>
              </w:rPr>
              <m:t>opt,ij</m:t>
            </m:r>
          </m:sub>
        </m:sSub>
        <m:r>
          <w:rPr>
            <w:rFonts w:ascii="Cambria Math" w:hAnsi="Cambria Math" w:cs="Arial"/>
            <w:color w:val="000000"/>
            <w:sz w:val="20"/>
            <w:szCs w:val="20"/>
          </w:rPr>
          <m:t>-</m:t>
        </m:r>
        <m:sSub>
          <m:sSubPr>
            <m:ctrlPr>
              <w:rPr>
                <w:rFonts w:ascii="Cambria Math" w:hAnsi="Cambria Math" w:cs="Arial"/>
                <w:bCs/>
                <w:i/>
                <w:color w:val="000000"/>
                <w:sz w:val="20"/>
                <w:szCs w:val="20"/>
              </w:rPr>
            </m:ctrlPr>
          </m:sSubPr>
          <m:e>
            <m:acc>
              <m:accPr>
                <m:chr m:val="̅"/>
                <m:ctrlPr>
                  <w:rPr>
                    <w:rFonts w:ascii="Cambria Math" w:hAnsi="Cambria Math" w:cs="Arial"/>
                    <w:i/>
                    <w:color w:val="000000"/>
                    <w:sz w:val="20"/>
                    <w:szCs w:val="20"/>
                  </w:rPr>
                </m:ctrlPr>
              </m:accPr>
              <m:e>
                <m:r>
                  <w:rPr>
                    <w:rFonts w:ascii="Cambria Math" w:hAnsi="Cambria Math" w:cs="Arial"/>
                    <w:color w:val="000000"/>
                    <w:sz w:val="20"/>
                    <w:szCs w:val="20"/>
                  </w:rPr>
                  <m:t>T</m:t>
                </m:r>
              </m:e>
            </m:acc>
          </m:e>
          <m:sub>
            <m:r>
              <w:rPr>
                <w:rFonts w:ascii="Cambria Math" w:hAnsi="Cambria Math" w:cs="Arial"/>
                <w:color w:val="000000"/>
                <w:sz w:val="20"/>
                <w:szCs w:val="20"/>
              </w:rPr>
              <m:t>opt,j</m:t>
            </m:r>
          </m:sub>
        </m:sSub>
      </m:oMath>
      <w:r w:rsidRPr="00DC0259">
        <w:rPr>
          <w:rFonts w:ascii="Arial" w:hAnsi="Arial" w:cs="Arial"/>
          <w:bCs/>
          <w:color w:val="000000"/>
          <w:sz w:val="20"/>
          <w:szCs w:val="20"/>
        </w:rPr>
        <w:t xml:space="preserve">), </w:t>
      </w:r>
      <w:r w:rsidRPr="00DC0259">
        <w:rPr>
          <w:rFonts w:ascii="Arial" w:hAnsi="Arial" w:cs="Arial"/>
          <w:color w:val="000000"/>
          <w:sz w:val="20"/>
          <w:szCs w:val="20"/>
        </w:rPr>
        <w:t xml:space="preserve">to account for species being adapted to different thermal regimes.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oMath>
      <w:r w:rsidRPr="00DC0259">
        <w:rPr>
          <w:rFonts w:ascii="Arial" w:hAnsi="Arial" w:cs="Arial"/>
          <w:bCs/>
          <w:iCs/>
          <w:color w:val="000000"/>
          <w:sz w:val="20"/>
          <w:szCs w:val="20"/>
        </w:rPr>
        <w:t xml:space="preserve">, the predictor variable for this model, is </w:t>
      </w:r>
      <w:r w:rsidRPr="00DC0259">
        <w:rPr>
          <w:rFonts w:ascii="Arial" w:hAnsi="Arial" w:cs="Arial"/>
          <w:iCs/>
          <w:color w:val="000000"/>
          <w:sz w:val="20"/>
          <w:szCs w:val="20"/>
        </w:rPr>
        <w:t xml:space="preserve">the natural log of the ratio between mass and mass at maturation within species: </w:t>
      </w:r>
      <m:oMath>
        <m:sSub>
          <m:sSubPr>
            <m:ctrlPr>
              <w:rPr>
                <w:rFonts w:ascii="Cambria Math" w:hAnsi="Cambria Math" w:cs="Arial"/>
                <w:bCs/>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r>
          <w:rPr>
            <w:rFonts w:ascii="Cambria Math" w:hAnsi="Cambria Math" w:cs="Arial"/>
            <w:color w:val="000000"/>
            <w:sz w:val="20"/>
            <w:szCs w:val="20"/>
          </w:rPr>
          <m:t>=</m:t>
        </m:r>
        <m:func>
          <m:funcPr>
            <m:ctrlPr>
              <w:rPr>
                <w:rFonts w:ascii="Cambria Math" w:hAnsi="Cambria Math" w:cs="Arial"/>
                <w:i/>
                <w:iCs/>
                <w:color w:val="000000"/>
                <w:sz w:val="20"/>
                <w:szCs w:val="20"/>
              </w:rPr>
            </m:ctrlPr>
          </m:funcPr>
          <m:fName>
            <m:r>
              <m:rPr>
                <m:sty m:val="p"/>
              </m:rPr>
              <w:rPr>
                <w:rFonts w:ascii="Cambria Math" w:hAnsi="Cambria Math" w:cs="Arial"/>
                <w:color w:val="000000"/>
                <w:sz w:val="20"/>
                <w:szCs w:val="20"/>
              </w:rPr>
              <m:t>ln</m:t>
            </m:r>
          </m:fName>
          <m:e>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mat, j</m:t>
                </m:r>
              </m:sub>
            </m:sSub>
            <m:r>
              <w:rPr>
                <w:rFonts w:ascii="Cambria Math" w:hAnsi="Cambria Math" w:cs="Arial"/>
                <w:color w:val="000000"/>
                <w:sz w:val="20"/>
                <w:szCs w:val="20"/>
              </w:rPr>
              <m:t>)</m:t>
            </m:r>
          </m:e>
        </m:func>
        <m:r>
          <w:rPr>
            <w:rFonts w:ascii="Cambria Math" w:hAnsi="Cambria Math" w:cs="Arial"/>
            <w:color w:val="000000"/>
            <w:sz w:val="20"/>
            <w:szCs w:val="20"/>
          </w:rPr>
          <m:t>-</m:t>
        </m:r>
        <m:acc>
          <m:accPr>
            <m:chr m:val="̅"/>
            <m:ctrlPr>
              <w:rPr>
                <w:rFonts w:ascii="Cambria Math" w:hAnsi="Cambria Math" w:cs="Arial"/>
                <w:i/>
                <w:iCs/>
                <w:color w:val="000000"/>
                <w:sz w:val="20"/>
                <w:szCs w:val="20"/>
              </w:rPr>
            </m:ctrlPr>
          </m:accPr>
          <m:e>
            <m:func>
              <m:funcPr>
                <m:ctrlPr>
                  <w:rPr>
                    <w:rFonts w:ascii="Cambria Math" w:hAnsi="Cambria Math" w:cs="Arial"/>
                    <w:i/>
                    <w:iCs/>
                    <w:color w:val="000000"/>
                    <w:sz w:val="20"/>
                    <w:szCs w:val="20"/>
                  </w:rPr>
                </m:ctrlPr>
              </m:funcPr>
              <m:fName>
                <m:r>
                  <m:rPr>
                    <m:sty m:val="p"/>
                  </m:rPr>
                  <w:rPr>
                    <w:rFonts w:ascii="Cambria Math" w:hAnsi="Cambria Math" w:cs="Arial"/>
                    <w:color w:val="000000"/>
                    <w:sz w:val="20"/>
                    <w:szCs w:val="20"/>
                  </w:rPr>
                  <m:t>ln</m:t>
                </m:r>
              </m:fName>
              <m:e>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ij</m:t>
                    </m:r>
                  </m:sub>
                </m:sSub>
                <m:r>
                  <w:rPr>
                    <w:rFonts w:ascii="Cambria Math" w:hAnsi="Cambria Math" w:cs="Arial"/>
                    <w:color w:val="000000"/>
                    <w:sz w:val="20"/>
                    <w:szCs w:val="20"/>
                  </w:rPr>
                  <m:t>/</m:t>
                </m:r>
                <m:sSub>
                  <m:sSubPr>
                    <m:ctrlPr>
                      <w:rPr>
                        <w:rFonts w:ascii="Cambria Math" w:hAnsi="Cambria Math" w:cs="Arial"/>
                        <w:i/>
                        <w:iCs/>
                        <w:color w:val="000000"/>
                        <w:sz w:val="20"/>
                        <w:szCs w:val="20"/>
                      </w:rPr>
                    </m:ctrlPr>
                  </m:sSubPr>
                  <m:e>
                    <m:r>
                      <w:rPr>
                        <w:rFonts w:ascii="Cambria Math" w:hAnsi="Cambria Math" w:cs="Arial"/>
                        <w:color w:val="000000"/>
                        <w:sz w:val="20"/>
                        <w:szCs w:val="20"/>
                      </w:rPr>
                      <m:t>M</m:t>
                    </m:r>
                  </m:e>
                  <m:sub>
                    <m:r>
                      <w:rPr>
                        <w:rFonts w:ascii="Cambria Math" w:hAnsi="Cambria Math" w:cs="Arial"/>
                        <w:color w:val="000000"/>
                        <w:sz w:val="20"/>
                        <w:szCs w:val="20"/>
                      </w:rPr>
                      <m:t>mat, j</m:t>
                    </m:r>
                  </m:sub>
                </m:sSub>
                <m:r>
                  <w:rPr>
                    <w:rFonts w:ascii="Cambria Math" w:hAnsi="Cambria Math" w:cs="Arial"/>
                    <w:color w:val="000000"/>
                    <w:sz w:val="20"/>
                    <w:szCs w:val="20"/>
                  </w:rPr>
                  <m:t>)</m:t>
                </m:r>
              </m:e>
            </m:func>
          </m:e>
        </m:acc>
      </m:oMath>
      <w:r w:rsidRPr="00DC0259">
        <w:rPr>
          <w:rFonts w:ascii="Arial" w:hAnsi="Arial" w:cs="Arial"/>
          <w:iCs/>
          <w:color w:val="000000"/>
          <w:sz w:val="20"/>
          <w:szCs w:val="20"/>
        </w:rPr>
        <w:t xml:space="preserve">. This rescaling is done because </w:t>
      </w:r>
      <w:r w:rsidRPr="00DC0259">
        <w:rPr>
          <w:rFonts w:ascii="Arial" w:hAnsi="Arial" w:cs="Arial"/>
          <w:color w:val="000000"/>
          <w:sz w:val="20"/>
          <w:szCs w:val="20"/>
        </w:rPr>
        <w:t>we are interested in examining relationships within species over “ontogenetic size”, and because we do not expect an interspecific relationship between optimum growth temperature and body mass because species are adapted to different thermal regimes</w:t>
      </w:r>
      <w:r w:rsidRPr="00DC0259">
        <w:rPr>
          <w:rFonts w:ascii="Arial" w:hAnsi="Arial" w:cs="Arial"/>
          <w:iCs/>
          <w:color w:val="000000"/>
          <w:sz w:val="20"/>
          <w:szCs w:val="20"/>
        </w:rPr>
        <w:t>. We consider both the intercept and the effect of mass to potentially vary between species.</w:t>
      </w:r>
    </w:p>
    <w:p w14:paraId="459724A1"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p>
    <w:p w14:paraId="526507F5"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Parameter estimation</w:t>
      </w:r>
    </w:p>
    <w:p w14:paraId="08EF292F" w14:textId="7BF5B8A8"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We fit the models in a Bayesian framework, using R version 4.0.2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kAEAztru","properties":{"formattedCitation":"(91)","plainCitation":"(91)","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(91)</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and JAGS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t31nhln09","properties":{"formattedCitation":"(92)","plainCitation":"(92)","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(92)</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through the R-package ‘</w:t>
      </w:r>
      <w:proofErr w:type="spellStart"/>
      <w:r w:rsidRPr="00DC0259">
        <w:rPr>
          <w:rFonts w:ascii="Arial" w:hAnsi="Arial" w:cs="Arial"/>
          <w:i/>
          <w:iCs/>
          <w:color w:val="000000"/>
          <w:sz w:val="20"/>
          <w:szCs w:val="20"/>
        </w:rPr>
        <w:t>rjags</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29cg7cqnj8","properties":{"formattedCitation":"(93)","plainCitation":"(93)","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(93)</w:t>
      </w:r>
      <w:r w:rsidRPr="00DC0259">
        <w:rPr>
          <w:rFonts w:ascii="Arial" w:hAnsi="Arial" w:cs="Arial"/>
          <w:color w:val="000000"/>
          <w:sz w:val="20"/>
          <w:szCs w:val="20"/>
        </w:rPr>
        <w:fldChar w:fldCharType="end"/>
      </w:r>
      <w:r w:rsidRPr="00DC0259">
        <w:rPr>
          <w:rFonts w:ascii="Arial" w:hAnsi="Arial" w:cs="Arial"/>
          <w:color w:val="000000"/>
          <w:sz w:val="20"/>
          <w:szCs w:val="20"/>
        </w:rPr>
        <w:t>. We used 3 Markov chains with 5000 iterations for adaptation, followed by 15000 iterations burn-in and 15000 iterations sampling where every 5</w:t>
      </w:r>
      <w:r w:rsidRPr="00DC0259">
        <w:rPr>
          <w:rFonts w:ascii="Arial" w:hAnsi="Arial" w:cs="Arial"/>
          <w:color w:val="000000"/>
          <w:sz w:val="20"/>
          <w:szCs w:val="20"/>
          <w:vertAlign w:val="superscript"/>
        </w:rPr>
        <w:t>th</w:t>
      </w:r>
      <w:r w:rsidRPr="00DC0259">
        <w:rPr>
          <w:rFonts w:ascii="Arial" w:hAnsi="Arial" w:cs="Arial"/>
          <w:color w:val="000000"/>
          <w:sz w:val="20"/>
          <w:szCs w:val="20"/>
        </w:rPr>
        <w:t xml:space="preserve"> iteration saved. Model convergence was assessed by visually inspecting trace plots and potential scale reduction factors (</w:t>
      </w:r>
      <m:oMath>
        <m:acc>
          <m:accPr>
            <m:ctrlPr>
              <w:rPr>
                <w:rFonts w:ascii="Cambria Math" w:hAnsi="Cambria Math" w:cs="Arial"/>
                <w:i/>
                <w:color w:val="000000"/>
                <w:sz w:val="20"/>
                <w:szCs w:val="20"/>
              </w:rPr>
            </m:ctrlPr>
          </m:accPr>
          <m:e>
            <m:r>
              <w:rPr>
                <w:rFonts w:ascii="Cambria Math" w:hAnsi="Cambria Math" w:cs="Arial"/>
                <w:color w:val="000000"/>
                <w:sz w:val="20"/>
                <w:szCs w:val="20"/>
              </w:rPr>
              <m:t>R</m:t>
            </m:r>
          </m:e>
        </m:acc>
      </m:oMath>
      <w:r w:rsidRPr="00DC0259">
        <w:rPr>
          <w:rFonts w:ascii="Arial" w:hAnsi="Arial" w:cs="Arial"/>
          <w:color w:val="000000"/>
          <w:sz w:val="20"/>
          <w:szCs w:val="20"/>
        </w:rPr>
        <w:t>) (</w:t>
      </w:r>
      <w:r w:rsidRPr="00DC0259">
        <w:rPr>
          <w:rFonts w:ascii="Arial" w:hAnsi="Arial" w:cs="Arial"/>
          <w:i/>
          <w:iCs/>
          <w:color w:val="000000"/>
          <w:sz w:val="20"/>
          <w:szCs w:val="20"/>
        </w:rPr>
        <w:t>SI Appendix</w:t>
      </w:r>
      <w:r w:rsidRPr="00DC0259">
        <w:rPr>
          <w:rFonts w:ascii="Arial" w:hAnsi="Arial" w:cs="Arial"/>
          <w:color w:val="000000"/>
          <w:sz w:val="20"/>
          <w:szCs w:val="20"/>
        </w:rPr>
        <w:t xml:space="preserve">). </w:t>
      </w:r>
      <m:oMath>
        <m:acc>
          <m:accPr>
            <m:ctrlPr>
              <w:rPr>
                <w:rFonts w:ascii="Cambria Math" w:hAnsi="Cambria Math" w:cs="Arial"/>
                <w:i/>
                <w:color w:val="000000"/>
                <w:sz w:val="20"/>
                <w:szCs w:val="20"/>
              </w:rPr>
            </m:ctrlPr>
          </m:accPr>
          <m:e>
            <m:r>
              <w:rPr>
                <w:rFonts w:ascii="Cambria Math" w:hAnsi="Cambria Math" w:cs="Arial"/>
                <w:color w:val="000000"/>
                <w:sz w:val="20"/>
                <w:szCs w:val="20"/>
              </w:rPr>
              <m:t>R</m:t>
            </m:r>
          </m:e>
        </m:acc>
      </m:oMath>
      <w:r w:rsidRPr="00DC0259">
        <w:rPr>
          <w:rFonts w:ascii="Arial" w:hAnsi="Arial" w:cs="Arial"/>
          <w:color w:val="000000"/>
          <w:sz w:val="20"/>
          <w:szCs w:val="20"/>
        </w:rPr>
        <w:t xml:space="preserve"> compares chain variance with the pooled variance, and values &lt;1.1 suggest all three chains converged to a common distribution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d14dpql91","properties":{"formattedCitation":"(94)","plainCitation":"(94)","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(94)</w:t>
      </w:r>
      <w:r w:rsidRPr="00DC0259">
        <w:rPr>
          <w:rFonts w:ascii="Arial" w:hAnsi="Arial" w:cs="Arial"/>
          <w:color w:val="000000"/>
          <w:sz w:val="20"/>
          <w:szCs w:val="20"/>
        </w:rPr>
        <w:fldChar w:fldCharType="end"/>
      </w:r>
      <w:r w:rsidRPr="00DC0259">
        <w:rPr>
          <w:rFonts w:ascii="Arial" w:hAnsi="Arial" w:cs="Arial"/>
          <w:color w:val="000000"/>
          <w:sz w:val="20"/>
          <w:szCs w:val="20"/>
        </w:rPr>
        <w:t>. We relied heavily on the R packages within ‘</w:t>
      </w:r>
      <w:proofErr w:type="spellStart"/>
      <w:r w:rsidRPr="00DC0259">
        <w:rPr>
          <w:rFonts w:ascii="Arial" w:hAnsi="Arial" w:cs="Arial"/>
          <w:i/>
          <w:color w:val="000000"/>
          <w:sz w:val="20"/>
          <w:szCs w:val="20"/>
        </w:rPr>
        <w:t>tidyverse</w:t>
      </w:r>
      <w:proofErr w:type="spellEnd"/>
      <w:r w:rsidRPr="00DC0259">
        <w:rPr>
          <w:rFonts w:ascii="Arial" w:hAnsi="Arial" w:cs="Arial"/>
          <w:i/>
          <w:color w:val="000000"/>
          <w:sz w:val="20"/>
          <w:szCs w:val="20"/>
        </w:rPr>
        <w:t>’</w:t>
      </w:r>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10onmnkm5g","properties":{"formattedCitation":"(95)","plainCitation":"(95)","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lang w:val="en-GB"/>
        </w:rPr>
        <w:t>(95)</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for data processing, as well as ‘</w:t>
      </w:r>
      <w:proofErr w:type="spellStart"/>
      <w:r w:rsidRPr="00DC0259">
        <w:rPr>
          <w:rFonts w:ascii="Arial" w:hAnsi="Arial" w:cs="Arial"/>
          <w:i/>
          <w:iCs/>
          <w:color w:val="000000"/>
          <w:sz w:val="20"/>
          <w:szCs w:val="20"/>
        </w:rPr>
        <w:t>ggmcmc</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am17gmila","properties":{"formattedCitation":"(96)","plainCitation":"(96)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(96)</w:t>
      </w:r>
      <w:r w:rsidRPr="00DC0259">
        <w:rPr>
          <w:rFonts w:ascii="Arial" w:hAnsi="Arial" w:cs="Arial"/>
          <w:color w:val="000000"/>
          <w:sz w:val="20"/>
          <w:szCs w:val="20"/>
        </w:rPr>
        <w:fldChar w:fldCharType="end"/>
      </w:r>
      <w:r w:rsidRPr="00DC0259">
        <w:rPr>
          <w:rFonts w:ascii="Arial" w:hAnsi="Arial" w:cs="Arial"/>
          <w:color w:val="000000"/>
          <w:sz w:val="20"/>
          <w:szCs w:val="20"/>
        </w:rPr>
        <w:t>, ‘</w:t>
      </w:r>
      <w:proofErr w:type="spellStart"/>
      <w:r w:rsidRPr="00DC0259">
        <w:rPr>
          <w:rFonts w:ascii="Arial" w:hAnsi="Arial" w:cs="Arial"/>
          <w:i/>
          <w:iCs/>
          <w:color w:val="000000"/>
          <w:sz w:val="20"/>
          <w:szCs w:val="20"/>
        </w:rPr>
        <w:t>mcmcviz</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234lqmn8sl","properties":{"formattedCitation":"(97)","plainCitation":"(97)","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(97)</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and ‘</w:t>
      </w:r>
      <w:proofErr w:type="spellStart"/>
      <w:r w:rsidRPr="00DC0259">
        <w:rPr>
          <w:rFonts w:ascii="Arial" w:hAnsi="Arial" w:cs="Arial"/>
          <w:i/>
          <w:iCs/>
          <w:color w:val="000000"/>
          <w:sz w:val="20"/>
          <w:szCs w:val="20"/>
        </w:rPr>
        <w:t>bayesplot</w:t>
      </w:r>
      <w:proofErr w:type="spellEnd"/>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ajq2lqmah","properties":{"formattedCitation":"(98)","plainCitation":"(98)","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(98)</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for visualization. </w:t>
      </w:r>
    </w:p>
    <w:p w14:paraId="5A0BA81F" w14:textId="77777777"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p>
    <w:p w14:paraId="0C3D8202"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Model comparison</w:t>
      </w:r>
    </w:p>
    <w:p w14:paraId="2EB14AEA" w14:textId="683A9A62"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bCs/>
          <w:color w:val="000000"/>
          <w:sz w:val="20"/>
          <w:szCs w:val="20"/>
        </w:rPr>
        <w:t xml:space="preserve">We compared the parsimony of models with different hierarchical structures, and with or without mass-temperature interactions, using the Watanabe-Akaike information criterion (WAIC) </w:t>
      </w:r>
      <w:r w:rsidRPr="00DC0259">
        <w:rPr>
          <w:rFonts w:ascii="Arial" w:hAnsi="Arial" w:cs="Arial"/>
          <w:bCs/>
          <w:color w:val="000000"/>
          <w:sz w:val="20"/>
          <w:szCs w:val="20"/>
        </w:rPr>
        <w:fldChar w:fldCharType="begin"/>
      </w:r>
      <w:r w:rsidR="00492802">
        <w:rPr>
          <w:rFonts w:ascii="Arial" w:hAnsi="Arial" w:cs="Arial"/>
          <w:bCs/>
          <w:color w:val="000000"/>
          <w:sz w:val="20"/>
          <w:szCs w:val="20"/>
        </w:rPr>
        <w:instrText xml:space="preserve"> ADDIN ZOTERO_ITEM CSL_CITATION {"citationID":"a241fv98ttl","properties":{"formattedCitation":"(99, 100)","plainCitation":"(99, 100)","noteIndex":0},"citationItems":[{"id":789,"uris":["http://zotero.org/users/6116610/items/9IV3LPA7"],"uri":["http://zotero.org/users/6116610/items/9IV3LPA7"],"itemData":{"id":789,"type":"article-journal","container-title":"Journal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DC0259">
        <w:rPr>
          <w:rFonts w:ascii="Arial" w:hAnsi="Arial" w:cs="Arial"/>
          <w:bCs/>
          <w:color w:val="000000"/>
          <w:sz w:val="20"/>
          <w:szCs w:val="20"/>
        </w:rPr>
        <w:fldChar w:fldCharType="separate"/>
      </w:r>
      <w:r w:rsidR="00492802">
        <w:rPr>
          <w:rFonts w:ascii="Arial" w:hAnsi="Arial" w:cs="Arial"/>
          <w:color w:val="000000"/>
          <w:sz w:val="20"/>
          <w:szCs w:val="20"/>
        </w:rPr>
        <w:t>(99, 100)</w:t>
      </w:r>
      <w:r w:rsidRPr="00DC0259">
        <w:rPr>
          <w:rFonts w:ascii="Arial" w:hAnsi="Arial" w:cs="Arial"/>
          <w:color w:val="000000"/>
          <w:sz w:val="20"/>
          <w:szCs w:val="20"/>
        </w:rPr>
        <w:fldChar w:fldCharType="end"/>
      </w:r>
      <w:r w:rsidRPr="00DC0259">
        <w:rPr>
          <w:rFonts w:ascii="Arial" w:hAnsi="Arial" w:cs="Arial"/>
          <w:bCs/>
          <w:color w:val="000000"/>
          <w:sz w:val="20"/>
          <w:szCs w:val="20"/>
        </w:rPr>
        <w:t xml:space="preserve">, which is based on the posterior predictive distribution. We report WAIC for each model descried above (Table S4-S5), and examine models with </w:t>
      </w:r>
      <m:oMath>
        <m:r>
          <w:rPr>
            <w:rFonts w:ascii="Cambria Math" w:hAnsi="Cambria Math" w:cs="Arial"/>
            <w:color w:val="000000"/>
            <w:sz w:val="20"/>
            <w:szCs w:val="20"/>
          </w:rPr>
          <m:t>∆</m:t>
        </m:r>
      </m:oMath>
      <w:r w:rsidRPr="00DC0259">
        <w:rPr>
          <w:rFonts w:ascii="Arial" w:hAnsi="Arial" w:cs="Arial"/>
          <w:color w:val="000000"/>
          <w:sz w:val="20"/>
          <w:szCs w:val="20"/>
        </w:rPr>
        <w:t xml:space="preserve">WAIC values &lt; 2, where </w:t>
      </w:r>
      <m:oMath>
        <m:r>
          <w:rPr>
            <w:rFonts w:ascii="Cambria Math" w:hAnsi="Cambria Math" w:cs="Arial"/>
            <w:color w:val="000000"/>
            <w:sz w:val="20"/>
            <w:szCs w:val="20"/>
          </w:rPr>
          <m:t>∆</m:t>
        </m:r>
      </m:oMath>
      <w:r w:rsidRPr="00DC0259">
        <w:rPr>
          <w:rFonts w:ascii="Arial" w:hAnsi="Arial" w:cs="Arial"/>
          <w:color w:val="000000"/>
          <w:sz w:val="20"/>
          <w:szCs w:val="20"/>
        </w:rPr>
        <w:t xml:space="preserve">WAIC is each models difference to the lowest WAIC across models, in line with other studies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ikfhmi7hj","properties":{"formattedCitation":"(101)","plainCitation":"(101)","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(101)</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w:t>
      </w:r>
    </w:p>
    <w:p w14:paraId="6293B1B9"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p>
    <w:p w14:paraId="5715E152" w14:textId="77777777" w:rsidR="00DC0259" w:rsidRPr="00DC0259" w:rsidRDefault="00DC0259" w:rsidP="00DC0259">
      <w:pPr>
        <w:pBdr>
          <w:top w:val="nil"/>
          <w:left w:val="nil"/>
          <w:bottom w:val="nil"/>
          <w:right w:val="nil"/>
          <w:between w:val="nil"/>
        </w:pBdr>
        <w:contextualSpacing/>
        <w:rPr>
          <w:rFonts w:ascii="Arial" w:hAnsi="Arial" w:cs="Arial"/>
          <w:bCs/>
          <w:i/>
          <w:iCs/>
          <w:color w:val="000000"/>
          <w:sz w:val="20"/>
          <w:szCs w:val="20"/>
        </w:rPr>
      </w:pPr>
      <w:r w:rsidRPr="00DC0259">
        <w:rPr>
          <w:rFonts w:ascii="Arial" w:hAnsi="Arial" w:cs="Arial"/>
          <w:bCs/>
          <w:i/>
          <w:iCs/>
          <w:color w:val="000000"/>
          <w:sz w:val="20"/>
          <w:szCs w:val="20"/>
        </w:rPr>
        <w:t xml:space="preserve">Net energy gain </w:t>
      </w:r>
    </w:p>
    <w:p w14:paraId="7D71DBD4" w14:textId="7147FCCB" w:rsidR="00DC0259" w:rsidRPr="00DC0259"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The effect of temperature and mass dependence of maximum consumption and metabolism (proportional to biomass gain and losses, respectively)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{"citationID":"a24kpa50pbe","properties":{"formattedCitation":"(31, 32, 34)","plainCitation":"(31, 32, 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(31, 32, 34)</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on growth is illustrated by visualizing the net energy gain. The model for the net energy gain (growth) can be viewed as a Pütter-type model, which is the result of two antagonistic allometric processes, biomass gains and biomass losses:</w:t>
      </w:r>
    </w:p>
    <w:p w14:paraId="140B5A71" w14:textId="43BF66F3" w:rsidR="00DC0259" w:rsidRPr="00DC0259" w:rsidRDefault="00DC5DC8" w:rsidP="00CD0597">
      <w:pPr>
        <w:pBdr>
          <w:top w:val="nil"/>
          <w:left w:val="nil"/>
          <w:bottom w:val="nil"/>
          <w:right w:val="nil"/>
          <w:between w:val="nil"/>
        </w:pBdr>
        <w:contextualSpacing/>
        <w:jc w:val="right"/>
        <w:rPr>
          <w:rFonts w:ascii="Arial" w:hAnsi="Arial" w:cs="Arial"/>
          <w:color w:val="000000"/>
          <w:sz w:val="20"/>
          <w:szCs w:val="20"/>
        </w:rPr>
      </w:pPr>
      <m:oMath>
        <m:f>
          <m:fPr>
            <m:ctrlPr>
              <w:rPr>
                <w:rFonts w:ascii="Cambria Math" w:hAnsi="Cambria Math" w:cs="Arial"/>
                <w:i/>
                <w:color w:val="000000"/>
                <w:sz w:val="20"/>
                <w:szCs w:val="20"/>
              </w:rPr>
            </m:ctrlPr>
          </m:fPr>
          <m:num>
            <m:r>
              <w:rPr>
                <w:rFonts w:ascii="Cambria Math" w:hAnsi="Cambria Math" w:cs="Arial"/>
                <w:color w:val="000000"/>
                <w:sz w:val="20"/>
                <w:szCs w:val="20"/>
              </w:rPr>
              <m:t>dM</m:t>
            </m:r>
          </m:num>
          <m:den>
            <m:r>
              <w:rPr>
                <w:rFonts w:ascii="Cambria Math" w:hAnsi="Cambria Math" w:cs="Arial"/>
                <w:color w:val="000000"/>
                <w:sz w:val="20"/>
                <w:szCs w:val="20"/>
              </w:rPr>
              <m:t>dt</m:t>
            </m:r>
          </m:den>
        </m:f>
        <m:r>
          <w:rPr>
            <w:rFonts w:ascii="Cambria Math" w:hAnsi="Cambria Math" w:cs="Arial"/>
            <w:color w:val="000000"/>
            <w:sz w:val="20"/>
            <w:szCs w:val="20"/>
          </w:rPr>
          <m:t>= H</m:t>
        </m:r>
        <m:d>
          <m:dPr>
            <m:ctrlPr>
              <w:rPr>
                <w:rFonts w:ascii="Cambria Math" w:hAnsi="Cambria Math" w:cs="Arial"/>
                <w:i/>
                <w:color w:val="000000"/>
                <w:sz w:val="20"/>
                <w:szCs w:val="20"/>
              </w:rPr>
            </m:ctrlPr>
          </m:dPr>
          <m:e>
            <m:r>
              <w:rPr>
                <w:rFonts w:ascii="Cambria Math" w:hAnsi="Cambria Math" w:cs="Arial"/>
                <w:color w:val="000000"/>
                <w:sz w:val="20"/>
                <w:szCs w:val="20"/>
              </w:rPr>
              <m:t>T</m:t>
            </m:r>
          </m:e>
        </m:d>
        <m:sSup>
          <m:sSupPr>
            <m:ctrlPr>
              <w:rPr>
                <w:rFonts w:ascii="Cambria Math" w:hAnsi="Cambria Math" w:cs="Arial"/>
                <w:i/>
                <w:color w:val="000000"/>
                <w:sz w:val="20"/>
                <w:szCs w:val="20"/>
              </w:rPr>
            </m:ctrlPr>
          </m:sSupPr>
          <m:e>
            <m:r>
              <w:rPr>
                <w:rFonts w:ascii="Cambria Math" w:hAnsi="Cambria Math" w:cs="Arial"/>
                <w:color w:val="000000"/>
                <w:sz w:val="20"/>
                <w:szCs w:val="20"/>
              </w:rPr>
              <m:t>M</m:t>
            </m:r>
          </m:e>
          <m:sup>
            <m:r>
              <w:rPr>
                <w:rFonts w:ascii="Cambria Math" w:hAnsi="Cambria Math" w:cs="Arial"/>
                <w:color w:val="000000"/>
                <w:sz w:val="20"/>
                <w:szCs w:val="20"/>
              </w:rPr>
              <m:t>a</m:t>
            </m:r>
          </m:sup>
        </m:sSup>
        <m:r>
          <w:rPr>
            <w:rFonts w:ascii="Cambria Math" w:hAnsi="Cambria Math" w:cs="Arial"/>
            <w:color w:val="000000"/>
            <w:sz w:val="20"/>
            <w:szCs w:val="20"/>
          </w:rPr>
          <m:t xml:space="preserve"> – K</m:t>
        </m:r>
        <m:d>
          <m:dPr>
            <m:ctrlPr>
              <w:rPr>
                <w:rFonts w:ascii="Cambria Math" w:hAnsi="Cambria Math" w:cs="Arial"/>
                <w:i/>
                <w:color w:val="000000"/>
                <w:sz w:val="20"/>
                <w:szCs w:val="20"/>
              </w:rPr>
            </m:ctrlPr>
          </m:dPr>
          <m:e>
            <m:r>
              <w:rPr>
                <w:rFonts w:ascii="Cambria Math" w:hAnsi="Cambria Math" w:cs="Arial"/>
                <w:color w:val="000000"/>
                <w:sz w:val="20"/>
                <w:szCs w:val="20"/>
              </w:rPr>
              <m:t>T</m:t>
            </m:r>
          </m:e>
        </m:d>
        <m:sSup>
          <m:sSupPr>
            <m:ctrlPr>
              <w:rPr>
                <w:rFonts w:ascii="Cambria Math" w:hAnsi="Cambria Math" w:cs="Arial"/>
                <w:i/>
                <w:color w:val="000000"/>
                <w:sz w:val="20"/>
                <w:szCs w:val="20"/>
              </w:rPr>
            </m:ctrlPr>
          </m:sSupPr>
          <m:e>
            <m:r>
              <w:rPr>
                <w:rFonts w:ascii="Cambria Math" w:hAnsi="Cambria Math" w:cs="Arial"/>
                <w:color w:val="000000"/>
                <w:sz w:val="20"/>
                <w:szCs w:val="20"/>
              </w:rPr>
              <m:t>M</m:t>
            </m:r>
          </m:e>
          <m:sup>
            <m:r>
              <w:rPr>
                <w:rFonts w:ascii="Cambria Math" w:hAnsi="Cambria Math" w:cs="Arial"/>
                <w:color w:val="000000"/>
                <w:sz w:val="20"/>
                <w:szCs w:val="20"/>
              </w:rPr>
              <m:t>b</m:t>
            </m:r>
          </m:sup>
        </m:sSup>
      </m:oMath>
      <w:r w:rsidR="00DC0259" w:rsidRPr="00DC0259">
        <w:rPr>
          <w:rFonts w:ascii="Arial" w:hAnsi="Arial" w:cs="Arial"/>
          <w:color w:val="000000"/>
          <w:sz w:val="20"/>
          <w:szCs w:val="20"/>
        </w:rPr>
        <w:t xml:space="preserve">                                                 (7)</w:t>
      </w:r>
    </w:p>
    <w:p w14:paraId="4203FEA4" w14:textId="5EBB37EB" w:rsidR="00E6133D" w:rsidRPr="00980C22" w:rsidRDefault="00DC0259" w:rsidP="00DC0259">
      <w:pPr>
        <w:pBdr>
          <w:top w:val="nil"/>
          <w:left w:val="nil"/>
          <w:bottom w:val="nil"/>
          <w:right w:val="nil"/>
          <w:between w:val="nil"/>
        </w:pBdr>
        <w:contextualSpacing/>
        <w:rPr>
          <w:rFonts w:ascii="Arial" w:hAnsi="Arial" w:cs="Arial"/>
          <w:color w:val="000000"/>
          <w:sz w:val="20"/>
          <w:szCs w:val="20"/>
        </w:rPr>
      </w:pPr>
      <w:r w:rsidRPr="00DC0259">
        <w:rPr>
          <w:rFonts w:ascii="Arial" w:hAnsi="Arial" w:cs="Arial"/>
          <w:color w:val="000000"/>
          <w:sz w:val="20"/>
          <w:szCs w:val="20"/>
        </w:rPr>
        <w:t xml:space="preserve">where </w:t>
      </w:r>
      <m:oMath>
        <m:r>
          <w:rPr>
            <w:rFonts w:ascii="Cambria Math" w:hAnsi="Cambria Math" w:cs="Arial"/>
            <w:color w:val="000000"/>
            <w:sz w:val="20"/>
            <w:szCs w:val="20"/>
          </w:rPr>
          <m:t>M</m:t>
        </m:r>
      </m:oMath>
      <w:r w:rsidRPr="00DC0259">
        <w:rPr>
          <w:rFonts w:ascii="Arial" w:hAnsi="Arial" w:cs="Arial"/>
          <w:color w:val="000000"/>
          <w:sz w:val="20"/>
          <w:szCs w:val="20"/>
        </w:rPr>
        <w:t xml:space="preserve"> is body mass and </w:t>
      </w:r>
      <m:oMath>
        <m:r>
          <w:rPr>
            <w:rFonts w:ascii="Cambria Math" w:hAnsi="Cambria Math" w:cs="Arial"/>
            <w:color w:val="000000"/>
            <w:sz w:val="20"/>
            <w:szCs w:val="20"/>
          </w:rPr>
          <m:t>T</m:t>
        </m:r>
      </m:oMath>
      <w:r w:rsidRPr="00DC0259">
        <w:rPr>
          <w:rFonts w:ascii="Arial" w:hAnsi="Arial" w:cs="Arial"/>
          <w:color w:val="000000"/>
          <w:sz w:val="20"/>
          <w:szCs w:val="20"/>
        </w:rPr>
        <w:t xml:space="preserve"> is temperature, </w:t>
      </w:r>
      <m:oMath>
        <m:r>
          <w:rPr>
            <w:rFonts w:ascii="Cambria Math" w:hAnsi="Cambria Math" w:cs="Arial"/>
            <w:color w:val="000000"/>
            <w:sz w:val="20"/>
            <w:szCs w:val="20"/>
          </w:rPr>
          <m:t>H</m:t>
        </m:r>
      </m:oMath>
      <w:r w:rsidRPr="00DC0259">
        <w:rPr>
          <w:rFonts w:ascii="Arial" w:hAnsi="Arial" w:cs="Arial"/>
          <w:color w:val="000000"/>
          <w:sz w:val="20"/>
          <w:szCs w:val="20"/>
        </w:rPr>
        <w:t xml:space="preserve"> and </w:t>
      </w:r>
      <m:oMath>
        <m:r>
          <w:rPr>
            <w:rFonts w:ascii="Cambria Math" w:hAnsi="Cambria Math" w:cs="Arial"/>
            <w:color w:val="000000"/>
            <w:sz w:val="20"/>
            <w:szCs w:val="20"/>
          </w:rPr>
          <m:t>K</m:t>
        </m:r>
      </m:oMath>
      <w:r w:rsidRPr="00DC0259">
        <w:rPr>
          <w:rFonts w:ascii="Arial" w:hAnsi="Arial" w:cs="Arial"/>
          <w:color w:val="000000"/>
          <w:sz w:val="20"/>
          <w:szCs w:val="20"/>
        </w:rPr>
        <w:t xml:space="preserve"> the allometric constants and </w:t>
      </w:r>
      <m:oMath>
        <m:r>
          <w:rPr>
            <w:rFonts w:ascii="Cambria Math" w:hAnsi="Cambria Math" w:cs="Arial"/>
            <w:color w:val="000000"/>
            <w:sz w:val="20"/>
            <w:szCs w:val="20"/>
          </w:rPr>
          <m:t>a</m:t>
        </m:r>
      </m:oMath>
      <w:r w:rsidRPr="00DC0259">
        <w:rPr>
          <w:rFonts w:ascii="Arial" w:hAnsi="Arial" w:cs="Arial"/>
          <w:color w:val="000000"/>
          <w:sz w:val="20"/>
          <w:szCs w:val="20"/>
        </w:rPr>
        <w:t xml:space="preserve"> and </w:t>
      </w:r>
      <m:oMath>
        <m:r>
          <w:rPr>
            <w:rFonts w:ascii="Cambria Math" w:hAnsi="Cambria Math" w:cs="Arial"/>
            <w:color w:val="000000"/>
            <w:sz w:val="20"/>
            <w:szCs w:val="20"/>
          </w:rPr>
          <m:t>b</m:t>
        </m:r>
      </m:oMath>
      <w:r w:rsidRPr="00DC0259">
        <w:rPr>
          <w:rFonts w:ascii="Arial" w:hAnsi="Arial" w:cs="Arial"/>
          <w:color w:val="000000"/>
          <w:sz w:val="20"/>
          <w:szCs w:val="20"/>
        </w:rPr>
        <w:t xml:space="preserve"> the exponents of the processes underlying gains and losses, respectively. We convert metabolism from oxygen consumption [</w:t>
      </w:r>
      <m:oMath>
        <m:r>
          <m:rPr>
            <m:sty m:val="p"/>
          </m:rPr>
          <w:rPr>
            <w:rFonts w:ascii="Cambria Math" w:hAnsi="Cambria Math" w:cs="Arial"/>
            <w:color w:val="000000"/>
            <w:sz w:val="20"/>
            <w:szCs w:val="20"/>
          </w:rPr>
          <m:t xml:space="preserve">mg </m:t>
        </m:r>
        <m:sSub>
          <m:sSubPr>
            <m:ctrlPr>
              <w:rPr>
                <w:rFonts w:ascii="Cambria Math" w:hAnsi="Cambria Math" w:cs="Arial"/>
                <w:iCs/>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r>
          <m:rPr>
            <m:sty m:val="p"/>
          </m:rPr>
          <w:rPr>
            <w:rFonts w:ascii="Cambria Math" w:hAnsi="Cambria Math" w:cs="Arial"/>
            <w:color w:val="000000"/>
            <w:sz w:val="20"/>
            <w:szCs w:val="20"/>
          </w:rPr>
          <m:t xml:space="preserve">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h</m:t>
            </m:r>
          </m:e>
          <m:sup>
            <m:r>
              <m:rPr>
                <m:sty m:val="p"/>
              </m:rPr>
              <w:rPr>
                <w:rFonts w:ascii="Cambria Math" w:hAnsi="Cambria Math" w:cs="Arial"/>
                <w:color w:val="000000"/>
                <w:sz w:val="20"/>
                <w:szCs w:val="20"/>
              </w:rPr>
              <m:t>-1</m:t>
            </m:r>
          </m:sup>
        </m:sSup>
        <m:r>
          <m:rPr>
            <m:sty m:val="p"/>
          </m:rPr>
          <w:rPr>
            <w:rFonts w:ascii="Cambria Math" w:hAnsi="Cambria Math" w:cs="Arial"/>
            <w:color w:val="000000"/>
            <w:sz w:val="20"/>
            <w:szCs w:val="20"/>
          </w:rPr>
          <m:t xml:space="preserve">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color w:val="000000"/>
          <w:sz w:val="20"/>
          <w:szCs w:val="20"/>
        </w:rPr>
        <w:t xml:space="preserve">] to </w:t>
      </w:r>
      <m:oMath>
        <m:r>
          <m:rPr>
            <m:sty m:val="p"/>
          </m:rPr>
          <w:rPr>
            <w:rFonts w:ascii="Cambria Math" w:hAnsi="Cambria Math" w:cs="Arial"/>
            <w:color w:val="000000"/>
            <w:sz w:val="20"/>
            <w:szCs w:val="20"/>
          </w:rPr>
          <m:t xml:space="preserve">g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color w:val="000000"/>
          <w:sz w:val="20"/>
          <w:szCs w:val="20"/>
        </w:rPr>
        <w:t xml:space="preserve"> by assuming 1 </w:t>
      </w:r>
      <m:oMath>
        <m:r>
          <m:rPr>
            <m:sty m:val="p"/>
          </m:rPr>
          <w:rPr>
            <w:rFonts w:ascii="Cambria Math" w:hAnsi="Cambria Math" w:cs="Arial"/>
            <w:color w:val="000000"/>
            <w:sz w:val="20"/>
            <w:szCs w:val="20"/>
          </w:rPr>
          <m:t>kcal</m:t>
        </m:r>
      </m:oMath>
      <w:r w:rsidRPr="00DC0259">
        <w:rPr>
          <w:rFonts w:ascii="Arial" w:hAnsi="Arial" w:cs="Arial"/>
          <w:color w:val="000000"/>
          <w:sz w:val="20"/>
          <w:szCs w:val="20"/>
        </w:rPr>
        <w:t xml:space="preserve"> = 295 </w:t>
      </w:r>
      <m:oMath>
        <m:r>
          <m:rPr>
            <m:sty m:val="p"/>
          </m:rPr>
          <w:rPr>
            <w:rFonts w:ascii="Cambria Math" w:hAnsi="Cambria Math" w:cs="Arial"/>
            <w:color w:val="000000"/>
            <w:sz w:val="20"/>
            <w:szCs w:val="20"/>
          </w:rPr>
          <m:t xml:space="preserve">mg </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oMath>
      <w:r w:rsidRPr="00DC0259">
        <w:rPr>
          <w:rFonts w:ascii="Arial" w:hAnsi="Arial" w:cs="Arial"/>
          <w:iCs/>
          <w:color w:val="000000"/>
          <w:sz w:val="20"/>
          <w:szCs w:val="20"/>
        </w:rPr>
        <w:t xml:space="preserve"> (based on an oxycaloric coefficient of 14.2 </w:t>
      </w:r>
      <m:oMath>
        <m:r>
          <m:rPr>
            <m:sty m:val="p"/>
          </m:rPr>
          <w:rPr>
            <w:rFonts w:ascii="Cambria Math" w:hAnsi="Cambria Math" w:cs="Arial"/>
            <w:color w:val="000000"/>
            <w:sz w:val="20"/>
            <w:szCs w:val="20"/>
          </w:rPr>
          <m:t xml:space="preserve">J/mg </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O</m:t>
            </m:r>
          </m:e>
          <m:sub>
            <m:r>
              <m:rPr>
                <m:sty m:val="p"/>
              </m:rPr>
              <w:rPr>
                <w:rFonts w:ascii="Cambria Math" w:hAnsi="Cambria Math" w:cs="Arial"/>
                <w:color w:val="000000"/>
                <w:sz w:val="20"/>
                <w:szCs w:val="20"/>
              </w:rPr>
              <m:t>2</m:t>
            </m:r>
          </m:sub>
        </m:sSub>
      </m:oMath>
      <w:r w:rsidRPr="00DC0259">
        <w:rPr>
          <w:rFonts w:ascii="Arial" w:hAnsi="Arial" w:cs="Arial"/>
          <w:color w:val="000000"/>
          <w:sz w:val="20"/>
          <w:szCs w:val="20"/>
        </w:rPr>
        <w:t xml:space="preserve">) </w:t>
      </w:r>
      <w:r w:rsidRPr="00DC0259">
        <w:rPr>
          <w:rFonts w:ascii="Arial" w:hAnsi="Arial" w:cs="Arial"/>
          <w:color w:val="000000"/>
          <w:sz w:val="20"/>
          <w:szCs w:val="20"/>
        </w:rPr>
        <w:fldChar w:fldCharType="begin"/>
      </w:r>
      <w:r w:rsidR="00492802">
        <w:rPr>
          <w:rFonts w:ascii="Arial" w:hAnsi="Arial" w:cs="Arial"/>
          <w:color w:val="000000"/>
          <w:sz w:val="20"/>
          <w:szCs w:val="20"/>
        </w:rPr>
        <w:instrText xml:space="preserve"> ADDIN ZOTERO_ITEM CSL_CITATION {"citationID":"a1h4clt1a35","properties":{"formattedCitation":"(102)","plainCitation":"(102)","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DC0259">
        <w:rPr>
          <w:rFonts w:ascii="Arial" w:hAnsi="Arial" w:cs="Arial"/>
          <w:color w:val="000000"/>
          <w:sz w:val="20"/>
          <w:szCs w:val="20"/>
        </w:rPr>
        <w:fldChar w:fldCharType="separate"/>
      </w:r>
      <w:r w:rsidR="00492802">
        <w:rPr>
          <w:rFonts w:ascii="Arial" w:hAnsi="Arial" w:cs="Arial"/>
          <w:color w:val="000000"/>
          <w:sz w:val="20"/>
          <w:szCs w:val="20"/>
        </w:rPr>
        <w:t>(102)</w:t>
      </w:r>
      <w:r w:rsidRPr="00DC0259">
        <w:rPr>
          <w:rFonts w:ascii="Arial" w:hAnsi="Arial" w:cs="Arial"/>
          <w:color w:val="000000"/>
          <w:sz w:val="20"/>
          <w:szCs w:val="20"/>
        </w:rPr>
        <w:fldChar w:fldCharType="end"/>
      </w:r>
      <w:r w:rsidRPr="00DC0259">
        <w:rPr>
          <w:rFonts w:ascii="Arial" w:hAnsi="Arial" w:cs="Arial"/>
          <w:color w:val="000000"/>
          <w:sz w:val="20"/>
          <w:szCs w:val="20"/>
        </w:rPr>
        <w:t xml:space="preserve">, 1 </w:t>
      </w:r>
      <m:oMath>
        <m:r>
          <m:rPr>
            <m:sty m:val="p"/>
          </m:rPr>
          <w:rPr>
            <w:rFonts w:ascii="Cambria Math" w:hAnsi="Cambria Math" w:cs="Arial"/>
            <w:color w:val="000000"/>
            <w:sz w:val="20"/>
            <w:szCs w:val="20"/>
          </w:rPr>
          <m:t>kcal</m:t>
        </m:r>
      </m:oMath>
      <w:r w:rsidRPr="00DC0259">
        <w:rPr>
          <w:rFonts w:ascii="Arial" w:hAnsi="Arial" w:cs="Arial"/>
          <w:color w:val="000000"/>
          <w:sz w:val="20"/>
          <w:szCs w:val="20"/>
        </w:rPr>
        <w:t xml:space="preserve"> = 4184 </w:t>
      </w:r>
      <m:oMath>
        <m:r>
          <m:rPr>
            <m:sty m:val="p"/>
          </m:rPr>
          <w:rPr>
            <w:rFonts w:ascii="Cambria Math" w:hAnsi="Cambria Math" w:cs="Arial"/>
            <w:color w:val="000000"/>
            <w:sz w:val="20"/>
            <w:szCs w:val="20"/>
          </w:rPr>
          <m:t>J</m:t>
        </m:r>
      </m:oMath>
      <w:r w:rsidRPr="00DC0259">
        <w:rPr>
          <w:rFonts w:ascii="Arial" w:hAnsi="Arial" w:cs="Arial"/>
          <w:color w:val="000000"/>
          <w:sz w:val="20"/>
          <w:szCs w:val="20"/>
        </w:rPr>
        <w:t xml:space="preserve"> and an energy content of 5600 </w:t>
      </w:r>
      <m:oMath>
        <m:r>
          <m:rPr>
            <m:sty m:val="p"/>
          </m:rPr>
          <w:rPr>
            <w:rFonts w:ascii="Cambria Math" w:hAnsi="Cambria Math" w:cs="Arial"/>
            <w:color w:val="000000"/>
            <w:sz w:val="20"/>
            <w:szCs w:val="20"/>
          </w:rPr>
          <m:t>J/g</m:t>
        </m:r>
      </m:oMath>
      <w:r w:rsidRPr="00DC0259">
        <w:rPr>
          <w:rFonts w:ascii="Arial" w:hAnsi="Arial" w:cs="Arial"/>
          <w:iCs/>
          <w:color w:val="000000"/>
          <w:sz w:val="20"/>
          <w:szCs w:val="20"/>
        </w:rPr>
        <w:t xml:space="preserve"> </w:t>
      </w:r>
      <w:r w:rsidRPr="00DC0259">
        <w:rPr>
          <w:rFonts w:ascii="Arial" w:hAnsi="Arial" w:cs="Arial"/>
          <w:iCs/>
          <w:color w:val="000000"/>
          <w:sz w:val="20"/>
          <w:szCs w:val="20"/>
        </w:rPr>
        <w:fldChar w:fldCharType="begin"/>
      </w:r>
      <w:r w:rsidR="00492802">
        <w:rPr>
          <w:rFonts w:ascii="Arial" w:hAnsi="Arial" w:cs="Arial"/>
          <w:iCs/>
          <w:color w:val="000000"/>
          <w:sz w:val="20"/>
          <w:szCs w:val="20"/>
        </w:rPr>
        <w:instrText xml:space="preserve"> ADDIN ZOTERO_ITEM CSL_CITATION {"citationID":"abg5qn4133","properties":{"formattedCitation":"(103)","plainCitation":"(103)","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DC0259">
        <w:rPr>
          <w:rFonts w:ascii="Arial" w:hAnsi="Arial" w:cs="Arial"/>
          <w:iCs/>
          <w:color w:val="000000"/>
          <w:sz w:val="20"/>
          <w:szCs w:val="20"/>
        </w:rPr>
        <w:fldChar w:fldCharType="separate"/>
      </w:r>
      <w:r w:rsidR="00492802">
        <w:rPr>
          <w:rFonts w:ascii="Arial" w:hAnsi="Arial" w:cs="Arial"/>
          <w:color w:val="000000"/>
          <w:sz w:val="20"/>
          <w:szCs w:val="20"/>
        </w:rPr>
        <w:t>(103)</w:t>
      </w:r>
      <w:r w:rsidRPr="00DC0259">
        <w:rPr>
          <w:rFonts w:ascii="Arial" w:hAnsi="Arial" w:cs="Arial"/>
          <w:color w:val="000000"/>
          <w:sz w:val="20"/>
          <w:szCs w:val="20"/>
        </w:rPr>
        <w:fldChar w:fldCharType="end"/>
      </w:r>
      <w:r w:rsidRPr="00DC0259">
        <w:rPr>
          <w:rFonts w:ascii="Arial" w:hAnsi="Arial" w:cs="Arial"/>
          <w:iCs/>
          <w:color w:val="000000"/>
          <w:sz w:val="20"/>
          <w:szCs w:val="20"/>
        </w:rPr>
        <w:t xml:space="preserve">, and convert consumption to </w:t>
      </w:r>
      <m:oMath>
        <m:r>
          <m:rPr>
            <m:sty m:val="p"/>
          </m:rPr>
          <w:rPr>
            <w:rFonts w:ascii="Cambria Math" w:hAnsi="Cambria Math" w:cs="Arial"/>
            <w:color w:val="000000"/>
            <w:sz w:val="20"/>
            <w:szCs w:val="20"/>
          </w:rPr>
          <m:t xml:space="preserve">g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iCs/>
          <w:color w:val="000000"/>
          <w:sz w:val="20"/>
          <w:szCs w:val="20"/>
        </w:rPr>
        <w:t xml:space="preserve"> from </w:t>
      </w:r>
      <m:oMath>
        <m:r>
          <m:rPr>
            <m:sty m:val="p"/>
          </m:rPr>
          <w:rPr>
            <w:rFonts w:ascii="Cambria Math" w:hAnsi="Cambria Math" w:cs="Arial"/>
            <w:color w:val="000000"/>
            <w:sz w:val="20"/>
            <w:szCs w:val="20"/>
          </w:rPr>
          <m:t xml:space="preserve">g </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g</m:t>
            </m:r>
          </m:e>
          <m:sup>
            <m:r>
              <m:rPr>
                <m:sty m:val="p"/>
              </m:rPr>
              <w:rPr>
                <w:rFonts w:ascii="Cambria Math" w:hAnsi="Cambria Math" w:cs="Arial"/>
                <w:color w:val="000000"/>
                <w:sz w:val="20"/>
                <w:szCs w:val="20"/>
              </w:rPr>
              <m:t>-1</m:t>
            </m:r>
          </m:sup>
        </m:sSup>
        <m:r>
          <w:rPr>
            <w:rFonts w:ascii="Cambria Math" w:hAnsi="Cambria Math" w:cs="Arial"/>
            <w:color w:val="000000"/>
            <w:sz w:val="20"/>
            <w:szCs w:val="20"/>
          </w:rPr>
          <m:t xml:space="preserve"> </m:t>
        </m:r>
        <m:sSup>
          <m:sSupPr>
            <m:ctrlPr>
              <w:rPr>
                <w:rFonts w:ascii="Cambria Math" w:hAnsi="Cambria Math" w:cs="Arial"/>
                <w:iCs/>
                <w:color w:val="000000"/>
                <w:sz w:val="20"/>
                <w:szCs w:val="20"/>
              </w:rPr>
            </m:ctrlPr>
          </m:sSupPr>
          <m:e>
            <m:r>
              <m:rPr>
                <m:sty m:val="p"/>
              </m:rPr>
              <w:rPr>
                <w:rFonts w:ascii="Cambria Math" w:hAnsi="Cambria Math" w:cs="Arial"/>
                <w:color w:val="000000"/>
                <w:sz w:val="20"/>
                <w:szCs w:val="20"/>
              </w:rPr>
              <m:t>day</m:t>
            </m:r>
          </m:e>
          <m:sup>
            <m:r>
              <m:rPr>
                <m:sty m:val="p"/>
              </m:rPr>
              <w:rPr>
                <w:rFonts w:ascii="Cambria Math" w:hAnsi="Cambria Math" w:cs="Arial"/>
                <w:color w:val="000000"/>
                <w:sz w:val="20"/>
                <w:szCs w:val="20"/>
              </w:rPr>
              <m:t>-1</m:t>
            </m:r>
          </m:sup>
        </m:sSup>
      </m:oMath>
      <w:r w:rsidRPr="00DC0259">
        <w:rPr>
          <w:rFonts w:ascii="Arial" w:hAnsi="Arial" w:cs="Arial"/>
          <w:iCs/>
          <w:color w:val="000000"/>
          <w:sz w:val="20"/>
          <w:szCs w:val="20"/>
        </w:rPr>
        <w:t>. Consumption and metabolic rate are calculated for two sizes (5 and 1000 g, which roughly correspond to the 25</w:t>
      </w:r>
      <w:proofErr w:type="spellStart"/>
      <w:r w:rsidRPr="00DC0259">
        <w:rPr>
          <w:rFonts w:ascii="Arial" w:hAnsi="Arial" w:cs="Arial"/>
          <w:iCs/>
          <w:color w:val="000000"/>
          <w:sz w:val="20"/>
          <w:szCs w:val="20"/>
          <w:vertAlign w:val="superscript"/>
        </w:rPr>
        <w:t>th</w:t>
      </w:r>
      <w:proofErr w:type="spellEnd"/>
      <w:r w:rsidRPr="00DC0259">
        <w:rPr>
          <w:rFonts w:ascii="Arial" w:hAnsi="Arial" w:cs="Arial"/>
          <w:iCs/>
          <w:color w:val="000000"/>
          <w:sz w:val="20"/>
          <w:szCs w:val="20"/>
        </w:rPr>
        <w:t xml:space="preserve"> percentile of both datasets and the maximum mass in the consumption data, respectively), using the global allometric relationships found in the log-log models fit to sub-peak temperatures. These allometric functions </w:t>
      </w:r>
      <w:r w:rsidRPr="00DC0259">
        <w:rPr>
          <w:rFonts w:ascii="Arial" w:hAnsi="Arial" w:cs="Arial"/>
          <w:color w:val="000000"/>
          <w:sz w:val="20"/>
          <w:szCs w:val="20"/>
        </w:rPr>
        <w:t xml:space="preserve">are further scaled with the temperature correction factors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for consumption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for metabolism.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is based on the Sharpe-Schoolfield model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is given by the temperature dependence of metabolic rate from the log-linear model. Because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are fitted to data on different scales, we divide these functions by their maximum. Lastly, we rescale the product between the allometric functions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c</m:t>
            </m:r>
          </m:sub>
        </m:sSub>
      </m:oMath>
      <w:r w:rsidRPr="00DC0259">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m</m:t>
            </m:r>
          </m:sub>
        </m:sSub>
      </m:oMath>
      <w:r w:rsidRPr="00DC0259">
        <w:rPr>
          <w:rFonts w:ascii="Arial" w:hAnsi="Arial" w:cs="Arial"/>
          <w:color w:val="000000"/>
          <w:sz w:val="20"/>
          <w:szCs w:val="20"/>
        </w:rPr>
        <w:t xml:space="preserve"> such that the rate at 19</w:t>
      </w:r>
      <m:oMath>
        <m:r>
          <w:rPr>
            <w:rFonts w:ascii="Cambria Math" w:hAnsi="Cambria Math" w:cs="Arial"/>
            <w:color w:val="000000"/>
            <w:sz w:val="20"/>
            <w:szCs w:val="20"/>
          </w:rPr>
          <m:t>℃</m:t>
        </m:r>
      </m:oMath>
      <w:r w:rsidRPr="00DC0259">
        <w:rPr>
          <w:rFonts w:ascii="Arial" w:hAnsi="Arial" w:cs="Arial"/>
          <w:color w:val="000000"/>
          <w:sz w:val="20"/>
          <w:szCs w:val="20"/>
        </w:rPr>
        <w:t xml:space="preserve"> (mean temperature in both data sets) equals the temperature-independent rate.</w:t>
      </w:r>
    </w:p>
    <w:p w14:paraId="2E4CAF39"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3279E039" w14:textId="15483395" w:rsidR="00CD0597" w:rsidRDefault="00CD0597" w:rsidP="00CD0597">
      <w:pPr>
        <w:pBdr>
          <w:top w:val="nil"/>
          <w:left w:val="nil"/>
          <w:bottom w:val="nil"/>
          <w:right w:val="nil"/>
          <w:between w:val="nil"/>
        </w:pBdr>
        <w:contextualSpacing/>
        <w:rPr>
          <w:rFonts w:ascii="Arial" w:hAnsi="Arial" w:cs="Arial"/>
          <w:color w:val="000000"/>
          <w:sz w:val="20"/>
          <w:szCs w:val="20"/>
        </w:rPr>
      </w:pPr>
      <w:r w:rsidRPr="00CD0597">
        <w:rPr>
          <w:rFonts w:ascii="Arial" w:hAnsi="Arial" w:cs="Arial"/>
          <w:color w:val="000000"/>
          <w:sz w:val="20"/>
          <w:szCs w:val="20"/>
        </w:rPr>
        <w:t xml:space="preserve">We thank Hiroki Yamanaka, Dennis </w:t>
      </w:r>
      <w:proofErr w:type="spellStart"/>
      <w:r w:rsidRPr="00CD0597">
        <w:rPr>
          <w:rFonts w:ascii="Arial" w:hAnsi="Arial" w:cs="Arial"/>
          <w:color w:val="000000"/>
          <w:sz w:val="20"/>
          <w:szCs w:val="20"/>
        </w:rPr>
        <w:t>Tomalá</w:t>
      </w:r>
      <w:proofErr w:type="spellEnd"/>
      <w:r w:rsidRPr="00CD0597">
        <w:rPr>
          <w:rFonts w:ascii="Arial" w:hAnsi="Arial" w:cs="Arial"/>
          <w:color w:val="000000"/>
          <w:sz w:val="20"/>
          <w:szCs w:val="20"/>
        </w:rPr>
        <w:t xml:space="preserve"> Solano, Vanessa Messmer, Björn </w:t>
      </w:r>
      <w:proofErr w:type="spellStart"/>
      <w:r w:rsidRPr="00CD0597">
        <w:rPr>
          <w:rFonts w:ascii="Arial" w:hAnsi="Arial" w:cs="Arial"/>
          <w:color w:val="000000"/>
          <w:sz w:val="20"/>
          <w:szCs w:val="20"/>
        </w:rPr>
        <w:t>Björnsson</w:t>
      </w:r>
      <w:proofErr w:type="spellEnd"/>
      <w:r w:rsidRPr="00CD0597">
        <w:rPr>
          <w:rFonts w:ascii="Arial" w:hAnsi="Arial" w:cs="Arial"/>
          <w:color w:val="000000"/>
          <w:sz w:val="20"/>
          <w:szCs w:val="20"/>
        </w:rPr>
        <w:t xml:space="preserve">, Albert </w:t>
      </w:r>
      <w:proofErr w:type="spellStart"/>
      <w:r w:rsidRPr="00CD0597">
        <w:rPr>
          <w:rFonts w:ascii="Arial" w:hAnsi="Arial" w:cs="Arial"/>
          <w:color w:val="000000"/>
          <w:sz w:val="20"/>
          <w:szCs w:val="20"/>
        </w:rPr>
        <w:t>Imsland</w:t>
      </w:r>
      <w:proofErr w:type="spellEnd"/>
      <w:r w:rsidRPr="00CD0597">
        <w:rPr>
          <w:rFonts w:ascii="Arial" w:hAnsi="Arial" w:cs="Arial"/>
          <w:color w:val="000000"/>
          <w:sz w:val="20"/>
          <w:szCs w:val="20"/>
        </w:rPr>
        <w:t xml:space="preserve">, Tomas </w:t>
      </w:r>
      <w:proofErr w:type="spellStart"/>
      <w:r w:rsidRPr="00CD0597">
        <w:rPr>
          <w:rFonts w:ascii="Arial" w:hAnsi="Arial" w:cs="Arial"/>
          <w:color w:val="000000"/>
          <w:sz w:val="20"/>
          <w:szCs w:val="20"/>
        </w:rPr>
        <w:t>Árnasson</w:t>
      </w:r>
      <w:proofErr w:type="spellEnd"/>
      <w:r w:rsidRPr="00CD0597">
        <w:rPr>
          <w:rFonts w:ascii="Arial" w:hAnsi="Arial" w:cs="Arial"/>
          <w:color w:val="000000"/>
          <w:sz w:val="20"/>
          <w:szCs w:val="20"/>
        </w:rPr>
        <w:t xml:space="preserve">, Yiping Luo, Takeshi Tomiyama and Myron Peck for generously providing data; Magnus Huss and Ken Haste Andersen, for providing useful comments on earlier versions of the manuscript; Daniel Padfield and Wilco </w:t>
      </w:r>
      <w:proofErr w:type="spellStart"/>
      <w:r w:rsidRPr="00CD0597">
        <w:rPr>
          <w:rFonts w:ascii="Arial" w:hAnsi="Arial" w:cs="Arial"/>
          <w:color w:val="000000"/>
          <w:sz w:val="20"/>
          <w:szCs w:val="20"/>
        </w:rPr>
        <w:t>Verberk</w:t>
      </w:r>
      <w:proofErr w:type="spellEnd"/>
      <w:r w:rsidRPr="00CD0597">
        <w:rPr>
          <w:rFonts w:ascii="Arial" w:hAnsi="Arial" w:cs="Arial"/>
          <w:color w:val="000000"/>
          <w:sz w:val="20"/>
          <w:szCs w:val="20"/>
        </w:rPr>
        <w:t xml:space="preserve"> for helpful discussions; Matthew Low and </w:t>
      </w:r>
      <w:proofErr w:type="spellStart"/>
      <w:r w:rsidRPr="00CD0597">
        <w:rPr>
          <w:rFonts w:ascii="Arial" w:hAnsi="Arial" w:cs="Arial"/>
          <w:color w:val="000000"/>
          <w:sz w:val="20"/>
          <w:szCs w:val="20"/>
        </w:rPr>
        <w:t>Malin</w:t>
      </w:r>
      <w:proofErr w:type="spellEnd"/>
      <w:r w:rsidRPr="00CD0597">
        <w:rPr>
          <w:rFonts w:ascii="Arial" w:hAnsi="Arial" w:cs="Arial"/>
          <w:color w:val="000000"/>
          <w:sz w:val="20"/>
          <w:szCs w:val="20"/>
        </w:rPr>
        <w:t xml:space="preserve"> Aronson for an introduction to Bayesian inference. This study was supported by grants from the Swedish Research Council FORMAS (no. 217</w:t>
      </w:r>
      <w:r w:rsidRPr="00CD0597">
        <w:rPr>
          <w:rFonts w:ascii="Cambria Math" w:hAnsi="Cambria Math" w:cs="Cambria Math"/>
          <w:color w:val="000000"/>
          <w:sz w:val="20"/>
          <w:szCs w:val="20"/>
        </w:rPr>
        <w:t>‐</w:t>
      </w:r>
      <w:r w:rsidRPr="00CD0597">
        <w:rPr>
          <w:rFonts w:ascii="Arial" w:hAnsi="Arial" w:cs="Arial"/>
          <w:color w:val="000000"/>
          <w:sz w:val="20"/>
          <w:szCs w:val="20"/>
        </w:rPr>
        <w:t>2013</w:t>
      </w:r>
      <w:r w:rsidRPr="00CD0597">
        <w:rPr>
          <w:rFonts w:ascii="Cambria Math" w:hAnsi="Cambria Math" w:cs="Cambria Math"/>
          <w:color w:val="000000"/>
          <w:sz w:val="20"/>
          <w:szCs w:val="20"/>
        </w:rPr>
        <w:t>‐</w:t>
      </w:r>
      <w:r w:rsidRPr="00CD0597">
        <w:rPr>
          <w:rFonts w:ascii="Arial" w:hAnsi="Arial" w:cs="Arial"/>
          <w:color w:val="000000"/>
          <w:sz w:val="20"/>
          <w:szCs w:val="20"/>
        </w:rPr>
        <w:t>1315) and the Swedish Research Council (no. 2015</w:t>
      </w:r>
      <w:r w:rsidRPr="00CD0597">
        <w:rPr>
          <w:rFonts w:ascii="Cambria Math" w:hAnsi="Cambria Math" w:cs="Cambria Math"/>
          <w:color w:val="000000"/>
          <w:sz w:val="20"/>
          <w:szCs w:val="20"/>
        </w:rPr>
        <w:t>‐</w:t>
      </w:r>
      <w:r w:rsidRPr="00CD0597">
        <w:rPr>
          <w:rFonts w:ascii="Arial" w:hAnsi="Arial" w:cs="Arial"/>
          <w:color w:val="000000"/>
          <w:sz w:val="20"/>
          <w:szCs w:val="20"/>
        </w:rPr>
        <w:t>03752) (both to AG).</w:t>
      </w:r>
    </w:p>
    <w:p w14:paraId="0DEF9893" w14:textId="430F02EE" w:rsidR="00662D5F" w:rsidRDefault="00662D5F" w:rsidP="00CD0597">
      <w:pPr>
        <w:pBdr>
          <w:top w:val="nil"/>
          <w:left w:val="nil"/>
          <w:bottom w:val="nil"/>
          <w:right w:val="nil"/>
          <w:between w:val="nil"/>
        </w:pBdr>
        <w:contextualSpacing/>
        <w:rPr>
          <w:rFonts w:ascii="Arial" w:hAnsi="Arial" w:cs="Arial"/>
          <w:color w:val="000000"/>
          <w:sz w:val="20"/>
          <w:szCs w:val="20"/>
        </w:rPr>
      </w:pPr>
    </w:p>
    <w:p w14:paraId="31B5BC62" w14:textId="189E8025" w:rsidR="00662D5F" w:rsidRDefault="00662D5F" w:rsidP="00662D5F">
      <w:pPr>
        <w:pBdr>
          <w:top w:val="nil"/>
          <w:left w:val="nil"/>
          <w:bottom w:val="nil"/>
          <w:right w:val="nil"/>
          <w:between w:val="nil"/>
        </w:pBdr>
        <w:contextualSpacing/>
        <w:rPr>
          <w:rFonts w:ascii="Arial" w:hAnsi="Arial" w:cs="Arial"/>
          <w:b/>
          <w:color w:val="000000"/>
          <w:sz w:val="20"/>
          <w:szCs w:val="20"/>
        </w:rPr>
      </w:pPr>
      <w:r w:rsidRPr="00662D5F">
        <w:rPr>
          <w:rFonts w:ascii="Arial" w:hAnsi="Arial" w:cs="Arial"/>
          <w:b/>
          <w:color w:val="000000"/>
          <w:sz w:val="20"/>
          <w:szCs w:val="20"/>
        </w:rPr>
        <w:t>Data accessibility statement</w:t>
      </w:r>
    </w:p>
    <w:p w14:paraId="31F04C03" w14:textId="2408CEB3" w:rsidR="00662D5F" w:rsidRPr="00CD0597" w:rsidRDefault="00662D5F" w:rsidP="00662D5F">
      <w:pPr>
        <w:pBdr>
          <w:top w:val="nil"/>
          <w:left w:val="nil"/>
          <w:bottom w:val="nil"/>
          <w:right w:val="nil"/>
          <w:between w:val="nil"/>
        </w:pBdr>
        <w:contextualSpacing/>
        <w:rPr>
          <w:rFonts w:ascii="Arial" w:hAnsi="Arial" w:cs="Arial"/>
          <w:color w:val="000000"/>
          <w:sz w:val="20"/>
          <w:szCs w:val="20"/>
        </w:rPr>
      </w:pPr>
      <w:r w:rsidRPr="00662D5F">
        <w:rPr>
          <w:rFonts w:ascii="Arial" w:hAnsi="Arial" w:cs="Arial"/>
          <w:color w:val="000000"/>
          <w:sz w:val="20"/>
          <w:szCs w:val="20"/>
        </w:rPr>
        <w:t>All data and R code (lists of studies in literature search, data preparation, analyses and figures) can be downloaded from a GitHub repository (</w:t>
      </w:r>
      <w:hyperlink r:id="rId10" w:history="1">
        <w:r w:rsidRPr="00662D5F">
          <w:rPr>
            <w:rStyle w:val="Hyperlink"/>
            <w:rFonts w:ascii="Arial" w:hAnsi="Arial" w:cs="Arial"/>
            <w:sz w:val="20"/>
            <w:szCs w:val="20"/>
          </w:rPr>
          <w:t>https://github.com/maxlindmark/scaling</w:t>
        </w:r>
      </w:hyperlink>
      <w:r w:rsidRPr="00662D5F">
        <w:rPr>
          <w:rFonts w:ascii="Arial" w:hAnsi="Arial" w:cs="Arial"/>
          <w:color w:val="000000"/>
          <w:sz w:val="20"/>
          <w:szCs w:val="20"/>
        </w:rPr>
        <w:t xml:space="preserve">) and will be archived on </w:t>
      </w:r>
      <w:proofErr w:type="spellStart"/>
      <w:r w:rsidRPr="00662D5F">
        <w:rPr>
          <w:rFonts w:ascii="Arial" w:hAnsi="Arial" w:cs="Arial"/>
          <w:color w:val="000000"/>
          <w:sz w:val="20"/>
          <w:szCs w:val="20"/>
        </w:rPr>
        <w:t>Zenodo</w:t>
      </w:r>
      <w:proofErr w:type="spellEnd"/>
      <w:r w:rsidRPr="00662D5F">
        <w:rPr>
          <w:rFonts w:ascii="Arial" w:hAnsi="Arial" w:cs="Arial"/>
          <w:color w:val="000000"/>
          <w:sz w:val="20"/>
          <w:szCs w:val="20"/>
        </w:rPr>
        <w:t xml:space="preserve"> upon publication.</w:t>
      </w:r>
    </w:p>
    <w:p w14:paraId="00D3B965" w14:textId="5139D3A9" w:rsidR="00E6133D" w:rsidRDefault="00E6133D" w:rsidP="00E6133D">
      <w:pPr>
        <w:pBdr>
          <w:top w:val="nil"/>
          <w:left w:val="nil"/>
          <w:bottom w:val="nil"/>
          <w:right w:val="nil"/>
          <w:between w:val="nil"/>
        </w:pBdr>
        <w:contextualSpacing/>
        <w:rPr>
          <w:rFonts w:ascii="Arial" w:hAnsi="Arial" w:cs="Arial"/>
          <w:color w:val="000000"/>
          <w:sz w:val="20"/>
          <w:szCs w:val="20"/>
        </w:rPr>
      </w:pP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0607A32" w14:textId="77777777" w:rsidR="00492802" w:rsidRPr="00492802" w:rsidRDefault="00492802" w:rsidP="00D26D5B">
      <w:pPr>
        <w:pStyle w:val="Bibliography"/>
        <w:contextualSpacing/>
        <w:rPr>
          <w:rFonts w:ascii="Arial" w:hAnsi="Arial" w:cs="Arial"/>
          <w:color w:val="000000"/>
          <w:sz w:val="20"/>
          <w:lang w:val="en-GB"/>
        </w:rPr>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Pr="00492802">
        <w:rPr>
          <w:rFonts w:ascii="Arial" w:hAnsi="Arial" w:cs="Arial"/>
          <w:color w:val="000000"/>
          <w:sz w:val="20"/>
          <w:lang w:val="en-GB"/>
        </w:rPr>
        <w:t xml:space="preserve">1. </w:t>
      </w:r>
      <w:r w:rsidRPr="00492802">
        <w:rPr>
          <w:rFonts w:ascii="Arial" w:hAnsi="Arial" w:cs="Arial"/>
          <w:color w:val="000000"/>
          <w:sz w:val="20"/>
          <w:lang w:val="en-GB"/>
        </w:rPr>
        <w:tab/>
        <w:t xml:space="preserve">J. H. Brown, J. F. Gillooly, A. P. Allen, V. M. Savage, G. B. West, Toward a metabolic theory of ecology.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85</w:t>
      </w:r>
      <w:r w:rsidRPr="00492802">
        <w:rPr>
          <w:rFonts w:ascii="Arial" w:hAnsi="Arial" w:cs="Arial"/>
          <w:color w:val="000000"/>
          <w:sz w:val="20"/>
          <w:lang w:val="en-GB"/>
        </w:rPr>
        <w:t>, 1771–1789 (2004).</w:t>
      </w:r>
    </w:p>
    <w:p w14:paraId="403CBE1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 </w:t>
      </w:r>
      <w:r w:rsidRPr="00492802">
        <w:rPr>
          <w:rFonts w:ascii="Arial" w:hAnsi="Arial" w:cs="Arial"/>
          <w:color w:val="000000"/>
          <w:sz w:val="20"/>
          <w:lang w:val="en-GB"/>
        </w:rPr>
        <w:tab/>
        <w:t xml:space="preserve">V. M. Savage, J. F. Gillooly, J. H. Brown, G. B. West, E. L. Charnov, Effects of body size and temperature on population growth.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163</w:t>
      </w:r>
      <w:r w:rsidRPr="00492802">
        <w:rPr>
          <w:rFonts w:ascii="Arial" w:hAnsi="Arial" w:cs="Arial"/>
          <w:color w:val="000000"/>
          <w:sz w:val="20"/>
          <w:lang w:val="en-GB"/>
        </w:rPr>
        <w:t>, 429–441 (2004).</w:t>
      </w:r>
    </w:p>
    <w:p w14:paraId="7555177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3. </w:t>
      </w:r>
      <w:r w:rsidRPr="00492802">
        <w:rPr>
          <w:rFonts w:ascii="Arial" w:hAnsi="Arial" w:cs="Arial"/>
          <w:color w:val="000000"/>
          <w:sz w:val="20"/>
          <w:lang w:val="en-GB"/>
        </w:rPr>
        <w:tab/>
        <w:t xml:space="preserve">K. H. Andersen, J. E. Beyer, P. Lundberg, Trophic and individual efficiencies of size-structured communities. </w:t>
      </w:r>
      <w:r w:rsidRPr="00492802">
        <w:rPr>
          <w:rFonts w:ascii="Arial" w:hAnsi="Arial" w:cs="Arial"/>
          <w:i/>
          <w:iCs/>
          <w:color w:val="000000"/>
          <w:sz w:val="20"/>
          <w:lang w:val="en-GB"/>
        </w:rPr>
        <w:t>Proceedings of the Royal Society B: Biological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276</w:t>
      </w:r>
      <w:r w:rsidRPr="00492802">
        <w:rPr>
          <w:rFonts w:ascii="Arial" w:hAnsi="Arial" w:cs="Arial"/>
          <w:color w:val="000000"/>
          <w:sz w:val="20"/>
          <w:lang w:val="en-GB"/>
        </w:rPr>
        <w:t>, 109–114 (2009).</w:t>
      </w:r>
    </w:p>
    <w:p w14:paraId="5C717F3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 </w:t>
      </w:r>
      <w:r w:rsidRPr="00492802">
        <w:rPr>
          <w:rFonts w:ascii="Arial" w:hAnsi="Arial" w:cs="Arial"/>
          <w:color w:val="000000"/>
          <w:sz w:val="20"/>
          <w:lang w:val="en-GB"/>
        </w:rPr>
        <w:tab/>
        <w:t xml:space="preserve">D. R. Barneche, A. P. Allen, The energetics of fish growth and how it constrains food-web trophic structure.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21</w:t>
      </w:r>
      <w:r w:rsidRPr="00492802">
        <w:rPr>
          <w:rFonts w:ascii="Arial" w:hAnsi="Arial" w:cs="Arial"/>
          <w:color w:val="000000"/>
          <w:sz w:val="20"/>
          <w:lang w:val="en-GB"/>
        </w:rPr>
        <w:t>, 836–844 (2018).</w:t>
      </w:r>
    </w:p>
    <w:p w14:paraId="092AB601"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 </w:t>
      </w:r>
      <w:r w:rsidRPr="00492802">
        <w:rPr>
          <w:rFonts w:ascii="Arial" w:hAnsi="Arial" w:cs="Arial"/>
          <w:color w:val="000000"/>
          <w:sz w:val="20"/>
          <w:lang w:val="en-GB"/>
        </w:rPr>
        <w:tab/>
        <w:t xml:space="preserve">M. Daufresne, K. Lengfellner, U. Sommer, Global warming benefits the small in aquatic ecosystems. </w:t>
      </w:r>
      <w:r w:rsidRPr="00492802">
        <w:rPr>
          <w:rFonts w:ascii="Arial" w:hAnsi="Arial" w:cs="Arial"/>
          <w:i/>
          <w:iCs/>
          <w:color w:val="000000"/>
          <w:sz w:val="20"/>
          <w:lang w:val="en-GB"/>
        </w:rPr>
        <w:t>Proceedings of the National Academy of Sciences, USA</w:t>
      </w:r>
      <w:r w:rsidRPr="00492802">
        <w:rPr>
          <w:rFonts w:ascii="Arial" w:hAnsi="Arial" w:cs="Arial"/>
          <w:color w:val="000000"/>
          <w:sz w:val="20"/>
          <w:lang w:val="en-GB"/>
        </w:rPr>
        <w:t xml:space="preserve"> </w:t>
      </w:r>
      <w:r w:rsidRPr="00492802">
        <w:rPr>
          <w:rFonts w:ascii="Arial" w:hAnsi="Arial" w:cs="Arial"/>
          <w:b/>
          <w:bCs/>
          <w:color w:val="000000"/>
          <w:sz w:val="20"/>
          <w:lang w:val="en-GB"/>
        </w:rPr>
        <w:t>106</w:t>
      </w:r>
      <w:r w:rsidRPr="00492802">
        <w:rPr>
          <w:rFonts w:ascii="Arial" w:hAnsi="Arial" w:cs="Arial"/>
          <w:color w:val="000000"/>
          <w:sz w:val="20"/>
          <w:lang w:val="en-GB"/>
        </w:rPr>
        <w:t>, 12788–12793 (2009).</w:t>
      </w:r>
    </w:p>
    <w:p w14:paraId="4695075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 </w:t>
      </w:r>
      <w:r w:rsidRPr="00492802">
        <w:rPr>
          <w:rFonts w:ascii="Arial" w:hAnsi="Arial" w:cs="Arial"/>
          <w:color w:val="000000"/>
          <w:sz w:val="20"/>
          <w:lang w:val="en-GB"/>
        </w:rPr>
        <w:tab/>
        <w:t xml:space="preserve">J. L. Gardner, A. Peters, M. R. Kearney, L. Joseph, R. Heinsohn, Declining body size: a third universal response to warming? </w:t>
      </w:r>
      <w:r w:rsidRPr="00492802">
        <w:rPr>
          <w:rFonts w:ascii="Arial" w:hAnsi="Arial" w:cs="Arial"/>
          <w:i/>
          <w:iCs/>
          <w:color w:val="000000"/>
          <w:sz w:val="20"/>
          <w:lang w:val="en-GB"/>
        </w:rPr>
        <w:t>Trends in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26</w:t>
      </w:r>
      <w:r w:rsidRPr="00492802">
        <w:rPr>
          <w:rFonts w:ascii="Arial" w:hAnsi="Arial" w:cs="Arial"/>
          <w:color w:val="000000"/>
          <w:sz w:val="20"/>
          <w:lang w:val="en-GB"/>
        </w:rPr>
        <w:t>, 285–291 (2011).</w:t>
      </w:r>
    </w:p>
    <w:p w14:paraId="5E47CA01"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 </w:t>
      </w:r>
      <w:r w:rsidRPr="00492802">
        <w:rPr>
          <w:rFonts w:ascii="Arial" w:hAnsi="Arial" w:cs="Arial"/>
          <w:color w:val="000000"/>
          <w:sz w:val="20"/>
          <w:lang w:val="en-GB"/>
        </w:rPr>
        <w:tab/>
        <w:t xml:space="preserve">D. Atkinson, “Temperature and organism size—A biological law for ectotherms?” in </w:t>
      </w:r>
      <w:r w:rsidRPr="00492802">
        <w:rPr>
          <w:rFonts w:ascii="Arial" w:hAnsi="Arial" w:cs="Arial"/>
          <w:i/>
          <w:iCs/>
          <w:color w:val="000000"/>
          <w:sz w:val="20"/>
          <w:lang w:val="en-GB"/>
        </w:rPr>
        <w:t>Advances in Ecological Research</w:t>
      </w:r>
      <w:r w:rsidRPr="00492802">
        <w:rPr>
          <w:rFonts w:ascii="Arial" w:hAnsi="Arial" w:cs="Arial"/>
          <w:color w:val="000000"/>
          <w:sz w:val="20"/>
          <w:lang w:val="en-GB"/>
        </w:rPr>
        <w:t>, (Elsevier, 1994), pp. 1–58.</w:t>
      </w:r>
    </w:p>
    <w:p w14:paraId="031D7F0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 </w:t>
      </w:r>
      <w:r w:rsidRPr="00492802">
        <w:rPr>
          <w:rFonts w:ascii="Arial" w:hAnsi="Arial" w:cs="Arial"/>
          <w:color w:val="000000"/>
          <w:sz w:val="20"/>
          <w:lang w:val="en-GB"/>
        </w:rPr>
        <w:tab/>
        <w:t xml:space="preserve">J. Ohlberger, Climate warming and ectotherm body size – from individual physiology to community ecology.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27</w:t>
      </w:r>
      <w:r w:rsidRPr="00492802">
        <w:rPr>
          <w:rFonts w:ascii="Arial" w:hAnsi="Arial" w:cs="Arial"/>
          <w:color w:val="000000"/>
          <w:sz w:val="20"/>
          <w:lang w:val="en-GB"/>
        </w:rPr>
        <w:t>, 991–1001 (2013).</w:t>
      </w:r>
    </w:p>
    <w:p w14:paraId="1D9FE4C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 </w:t>
      </w:r>
      <w:r w:rsidRPr="00492802">
        <w:rPr>
          <w:rFonts w:ascii="Arial" w:hAnsi="Arial" w:cs="Arial"/>
          <w:color w:val="000000"/>
          <w:sz w:val="20"/>
          <w:lang w:val="en-GB"/>
        </w:rPr>
        <w:tab/>
        <w:t xml:space="preserve">C. R. Horne, Andrew. G. Hirst, D. Atkinson, Temperature-size responses match latitudinal-size clines in arthropods, revealing critical differences between aquatic and terrestrial species.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18</w:t>
      </w:r>
      <w:r w:rsidRPr="00492802">
        <w:rPr>
          <w:rFonts w:ascii="Arial" w:hAnsi="Arial" w:cs="Arial"/>
          <w:color w:val="000000"/>
          <w:sz w:val="20"/>
          <w:lang w:val="en-GB"/>
        </w:rPr>
        <w:t>, 327–335 (2015).</w:t>
      </w:r>
    </w:p>
    <w:p w14:paraId="1A184B9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 </w:t>
      </w:r>
      <w:r w:rsidRPr="00492802">
        <w:rPr>
          <w:rFonts w:ascii="Arial" w:hAnsi="Arial" w:cs="Arial"/>
          <w:color w:val="000000"/>
          <w:sz w:val="20"/>
          <w:lang w:val="en-GB"/>
        </w:rPr>
        <w:tab/>
        <w:t xml:space="preserve">J. Forster, A. G. Hirst, D. Atkinson, Warming-induced reductions in body size are greater in aquatic than terrestrial species. </w:t>
      </w:r>
      <w:r w:rsidRPr="00492802">
        <w:rPr>
          <w:rFonts w:ascii="Arial" w:hAnsi="Arial" w:cs="Arial"/>
          <w:i/>
          <w:iCs/>
          <w:color w:val="000000"/>
          <w:sz w:val="20"/>
          <w:lang w:val="en-GB"/>
        </w:rPr>
        <w:t>PNAS</w:t>
      </w:r>
      <w:r w:rsidRPr="00492802">
        <w:rPr>
          <w:rFonts w:ascii="Arial" w:hAnsi="Arial" w:cs="Arial"/>
          <w:color w:val="000000"/>
          <w:sz w:val="20"/>
          <w:lang w:val="en-GB"/>
        </w:rPr>
        <w:t xml:space="preserve"> </w:t>
      </w:r>
      <w:r w:rsidRPr="00492802">
        <w:rPr>
          <w:rFonts w:ascii="Arial" w:hAnsi="Arial" w:cs="Arial"/>
          <w:b/>
          <w:bCs/>
          <w:color w:val="000000"/>
          <w:sz w:val="20"/>
          <w:lang w:val="en-GB"/>
        </w:rPr>
        <w:t>109</w:t>
      </w:r>
      <w:r w:rsidRPr="00492802">
        <w:rPr>
          <w:rFonts w:ascii="Arial" w:hAnsi="Arial" w:cs="Arial"/>
          <w:color w:val="000000"/>
          <w:sz w:val="20"/>
          <w:lang w:val="en-GB"/>
        </w:rPr>
        <w:t>, 19310–19314 (2012).</w:t>
      </w:r>
    </w:p>
    <w:p w14:paraId="31197BA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11. </w:t>
      </w:r>
      <w:r w:rsidRPr="00492802">
        <w:rPr>
          <w:rFonts w:ascii="Arial" w:hAnsi="Arial" w:cs="Arial"/>
          <w:color w:val="000000"/>
          <w:sz w:val="20"/>
          <w:lang w:val="en-GB"/>
        </w:rPr>
        <w:tab/>
        <w:t xml:space="preserve">R. E. Thresher, J. A. Koslow, A. K. Morison, D. C. Smith, Depth-mediated reversal of the effects of climate change on long-term growth rates of exploited marine fish. </w:t>
      </w:r>
      <w:r w:rsidRPr="00492802">
        <w:rPr>
          <w:rFonts w:ascii="Arial" w:hAnsi="Arial" w:cs="Arial"/>
          <w:i/>
          <w:iCs/>
          <w:color w:val="000000"/>
          <w:sz w:val="20"/>
          <w:lang w:val="en-GB"/>
        </w:rPr>
        <w:t>Proceedings of the National Academy of Sciences, USA</w:t>
      </w:r>
      <w:r w:rsidRPr="00492802">
        <w:rPr>
          <w:rFonts w:ascii="Arial" w:hAnsi="Arial" w:cs="Arial"/>
          <w:color w:val="000000"/>
          <w:sz w:val="20"/>
          <w:lang w:val="en-GB"/>
        </w:rPr>
        <w:t xml:space="preserve"> </w:t>
      </w:r>
      <w:r w:rsidRPr="00492802">
        <w:rPr>
          <w:rFonts w:ascii="Arial" w:hAnsi="Arial" w:cs="Arial"/>
          <w:b/>
          <w:bCs/>
          <w:color w:val="000000"/>
          <w:sz w:val="20"/>
          <w:lang w:val="en-GB"/>
        </w:rPr>
        <w:t>104</w:t>
      </w:r>
      <w:r w:rsidRPr="00492802">
        <w:rPr>
          <w:rFonts w:ascii="Arial" w:hAnsi="Arial" w:cs="Arial"/>
          <w:color w:val="000000"/>
          <w:sz w:val="20"/>
          <w:lang w:val="en-GB"/>
        </w:rPr>
        <w:t>, 7461–7465 (2007).</w:t>
      </w:r>
    </w:p>
    <w:p w14:paraId="39AAC48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12. </w:t>
      </w:r>
      <w:r w:rsidRPr="00492802">
        <w:rPr>
          <w:rFonts w:ascii="Arial" w:hAnsi="Arial" w:cs="Arial"/>
          <w:color w:val="000000"/>
          <w:sz w:val="20"/>
          <w:lang w:val="en-GB"/>
        </w:rPr>
        <w:tab/>
        <w:t xml:space="preserve">A. B. Neuheimer, R. E. Thresher, J. M. Lyle, J. M. Semmens, Tolerance limit for fish growth exceeded by warming waters. </w:t>
      </w:r>
      <w:r w:rsidRPr="00492802">
        <w:rPr>
          <w:rFonts w:ascii="Arial" w:hAnsi="Arial" w:cs="Arial"/>
          <w:i/>
          <w:iCs/>
          <w:color w:val="000000"/>
          <w:sz w:val="20"/>
          <w:lang w:val="en-GB"/>
        </w:rPr>
        <w:t>Nature Climate Change</w:t>
      </w:r>
      <w:r w:rsidRPr="00492802">
        <w:rPr>
          <w:rFonts w:ascii="Arial" w:hAnsi="Arial" w:cs="Arial"/>
          <w:color w:val="000000"/>
          <w:sz w:val="20"/>
          <w:lang w:val="en-GB"/>
        </w:rPr>
        <w:t xml:space="preserve"> </w:t>
      </w:r>
      <w:r w:rsidRPr="00492802">
        <w:rPr>
          <w:rFonts w:ascii="Arial" w:hAnsi="Arial" w:cs="Arial"/>
          <w:b/>
          <w:bCs/>
          <w:color w:val="000000"/>
          <w:sz w:val="20"/>
          <w:lang w:val="en-GB"/>
        </w:rPr>
        <w:t>1</w:t>
      </w:r>
      <w:r w:rsidRPr="00492802">
        <w:rPr>
          <w:rFonts w:ascii="Arial" w:hAnsi="Arial" w:cs="Arial"/>
          <w:color w:val="000000"/>
          <w:sz w:val="20"/>
          <w:lang w:val="en-GB"/>
        </w:rPr>
        <w:t>, 110–113 (2011).</w:t>
      </w:r>
    </w:p>
    <w:p w14:paraId="6741AA8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13. </w:t>
      </w:r>
      <w:r w:rsidRPr="00492802">
        <w:rPr>
          <w:rFonts w:ascii="Arial" w:hAnsi="Arial" w:cs="Arial"/>
          <w:color w:val="000000"/>
          <w:sz w:val="20"/>
          <w:lang w:val="en-GB"/>
        </w:rPr>
        <w:tab/>
        <w:t xml:space="preserve">A. R. Baudron, C. L. Needle, A. D. Rijnsdorp, C. T. Marshall, Warming temperatures and smaller body sizes: synchronous changes in growth of North Sea fishes.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20</w:t>
      </w:r>
      <w:r w:rsidRPr="00492802">
        <w:rPr>
          <w:rFonts w:ascii="Arial" w:hAnsi="Arial" w:cs="Arial"/>
          <w:color w:val="000000"/>
          <w:sz w:val="20"/>
          <w:lang w:val="en-GB"/>
        </w:rPr>
        <w:t>, 1023–1031 (2014).</w:t>
      </w:r>
    </w:p>
    <w:p w14:paraId="5D39090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14. </w:t>
      </w:r>
      <w:r w:rsidRPr="00492802">
        <w:rPr>
          <w:rFonts w:ascii="Arial" w:hAnsi="Arial" w:cs="Arial"/>
          <w:color w:val="000000"/>
          <w:sz w:val="20"/>
          <w:lang w:val="en-GB"/>
        </w:rPr>
        <w:tab/>
        <w:t>M. Huss, M. Lindmark, P. Jacobson, R. M. Van Dorst, A. Gårdmark, Experimental evidence of gradual size</w:t>
      </w:r>
      <w:r w:rsidRPr="00492802">
        <w:rPr>
          <w:rFonts w:ascii="Cambria Math" w:hAnsi="Cambria Math" w:cs="Cambria Math"/>
          <w:color w:val="000000"/>
          <w:sz w:val="20"/>
          <w:lang w:val="en-GB"/>
        </w:rPr>
        <w:t>‐</w:t>
      </w:r>
      <w:r w:rsidRPr="00492802">
        <w:rPr>
          <w:rFonts w:ascii="Arial" w:hAnsi="Arial" w:cs="Arial"/>
          <w:color w:val="000000"/>
          <w:sz w:val="20"/>
          <w:lang w:val="en-GB"/>
        </w:rPr>
        <w:t xml:space="preserve">dependent shifts in body size and growth of fish in response to warming. </w:t>
      </w:r>
      <w:r w:rsidRPr="00492802">
        <w:rPr>
          <w:rFonts w:ascii="Arial" w:hAnsi="Arial" w:cs="Arial"/>
          <w:i/>
          <w:iCs/>
          <w:color w:val="000000"/>
          <w:sz w:val="20"/>
          <w:lang w:val="en-GB"/>
        </w:rPr>
        <w:t>Glob Change Biol</w:t>
      </w:r>
      <w:r w:rsidRPr="00492802">
        <w:rPr>
          <w:rFonts w:ascii="Arial" w:hAnsi="Arial" w:cs="Arial"/>
          <w:color w:val="000000"/>
          <w:sz w:val="20"/>
          <w:lang w:val="en-GB"/>
        </w:rPr>
        <w:t xml:space="preserve"> </w:t>
      </w:r>
      <w:r w:rsidRPr="00492802">
        <w:rPr>
          <w:rFonts w:ascii="Arial" w:hAnsi="Arial" w:cs="Arial"/>
          <w:b/>
          <w:bCs/>
          <w:color w:val="000000"/>
          <w:sz w:val="20"/>
          <w:lang w:val="en-GB"/>
        </w:rPr>
        <w:t>25</w:t>
      </w:r>
      <w:r w:rsidRPr="00492802">
        <w:rPr>
          <w:rFonts w:ascii="Arial" w:hAnsi="Arial" w:cs="Arial"/>
          <w:color w:val="000000"/>
          <w:sz w:val="20"/>
          <w:lang w:val="en-GB"/>
        </w:rPr>
        <w:t>, 2285–2295 (2019).</w:t>
      </w:r>
    </w:p>
    <w:p w14:paraId="701C9D5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15. </w:t>
      </w:r>
      <w:r w:rsidRPr="00492802">
        <w:rPr>
          <w:rFonts w:ascii="Arial" w:hAnsi="Arial" w:cs="Arial"/>
          <w:color w:val="000000"/>
          <w:sz w:val="20"/>
          <w:lang w:val="en-GB"/>
        </w:rPr>
        <w:tab/>
        <w:t xml:space="preserve">I. E. Ikpewe, A. R. Baudron, A. Ponchon, P. G. Fernandes, Bigger juveniles and smaller adults: Changes in fish size correlate with warming seas. </w:t>
      </w:r>
      <w:r w:rsidRPr="00492802">
        <w:rPr>
          <w:rFonts w:ascii="Arial" w:hAnsi="Arial" w:cs="Arial"/>
          <w:i/>
          <w:iCs/>
          <w:color w:val="000000"/>
          <w:sz w:val="20"/>
          <w:lang w:val="en-GB"/>
        </w:rPr>
        <w:t>Journal of Applied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Early View</w:t>
      </w:r>
      <w:r w:rsidRPr="00492802">
        <w:rPr>
          <w:rFonts w:ascii="Arial" w:hAnsi="Arial" w:cs="Arial"/>
          <w:color w:val="000000"/>
          <w:sz w:val="20"/>
          <w:lang w:val="en-GB"/>
        </w:rPr>
        <w:t xml:space="preserve"> (2020).</w:t>
      </w:r>
    </w:p>
    <w:p w14:paraId="14CD3B9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16. </w:t>
      </w:r>
      <w:r w:rsidRPr="00492802">
        <w:rPr>
          <w:rFonts w:ascii="Arial" w:hAnsi="Arial" w:cs="Arial"/>
          <w:color w:val="000000"/>
          <w:sz w:val="20"/>
          <w:lang w:val="en-GB"/>
        </w:rPr>
        <w:tab/>
        <w:t xml:space="preserve">I. van Rijn, Y. Buba, J. DeLong, M. Kiflawi, J. Belmaker, Large but uneven reduction in fish size across species in relation to changing sea temperatures.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23</w:t>
      </w:r>
      <w:r w:rsidRPr="00492802">
        <w:rPr>
          <w:rFonts w:ascii="Arial" w:hAnsi="Arial" w:cs="Arial"/>
          <w:color w:val="000000"/>
          <w:sz w:val="20"/>
          <w:lang w:val="en-GB"/>
        </w:rPr>
        <w:t>, 3667–3674 (2017).</w:t>
      </w:r>
    </w:p>
    <w:p w14:paraId="20731A9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17. </w:t>
      </w:r>
      <w:r w:rsidRPr="00492802">
        <w:rPr>
          <w:rFonts w:ascii="Arial" w:hAnsi="Arial" w:cs="Arial"/>
          <w:color w:val="000000"/>
          <w:sz w:val="20"/>
          <w:lang w:val="en-GB"/>
        </w:rPr>
        <w:tab/>
        <w:t xml:space="preserve">D. R. Barneche, M. Jahn, F. Seebacher, Warming increases the cost of growth in a model vertebrate.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33</w:t>
      </w:r>
      <w:r w:rsidRPr="00492802">
        <w:rPr>
          <w:rFonts w:ascii="Arial" w:hAnsi="Arial" w:cs="Arial"/>
          <w:color w:val="000000"/>
          <w:sz w:val="20"/>
          <w:lang w:val="en-GB"/>
        </w:rPr>
        <w:t>, 1256–1266 (2019).</w:t>
      </w:r>
    </w:p>
    <w:p w14:paraId="7AD008C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18. </w:t>
      </w:r>
      <w:r w:rsidRPr="00492802">
        <w:rPr>
          <w:rFonts w:ascii="Arial" w:hAnsi="Arial" w:cs="Arial"/>
          <w:color w:val="000000"/>
          <w:sz w:val="20"/>
          <w:lang w:val="en-GB"/>
        </w:rPr>
        <w:tab/>
        <w:t xml:space="preserve">R. M. Van Dorst, </w:t>
      </w:r>
      <w:r w:rsidRPr="00492802">
        <w:rPr>
          <w:rFonts w:ascii="Arial" w:hAnsi="Arial" w:cs="Arial"/>
          <w:i/>
          <w:iCs/>
          <w:color w:val="000000"/>
          <w:sz w:val="20"/>
          <w:lang w:val="en-GB"/>
        </w:rPr>
        <w:t>et al.</w:t>
      </w:r>
      <w:r w:rsidRPr="00492802">
        <w:rPr>
          <w:rFonts w:ascii="Arial" w:hAnsi="Arial" w:cs="Arial"/>
          <w:color w:val="000000"/>
          <w:sz w:val="20"/>
          <w:lang w:val="en-GB"/>
        </w:rPr>
        <w:t xml:space="preserve">, Warmer and browner waters decrease fish biomass production.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25</w:t>
      </w:r>
      <w:r w:rsidRPr="00492802">
        <w:rPr>
          <w:rFonts w:ascii="Arial" w:hAnsi="Arial" w:cs="Arial"/>
          <w:color w:val="000000"/>
          <w:sz w:val="20"/>
          <w:lang w:val="en-GB"/>
        </w:rPr>
        <w:t>, 1395–1408 (2019).</w:t>
      </w:r>
    </w:p>
    <w:p w14:paraId="19EE29D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19. </w:t>
      </w:r>
      <w:r w:rsidRPr="00492802">
        <w:rPr>
          <w:rFonts w:ascii="Arial" w:hAnsi="Arial" w:cs="Arial"/>
          <w:color w:val="000000"/>
          <w:sz w:val="20"/>
          <w:lang w:val="en-GB"/>
        </w:rPr>
        <w:tab/>
        <w:t xml:space="preserve">A. Audzijonyte, </w:t>
      </w:r>
      <w:r w:rsidRPr="00492802">
        <w:rPr>
          <w:rFonts w:ascii="Arial" w:hAnsi="Arial" w:cs="Arial"/>
          <w:i/>
          <w:iCs/>
          <w:color w:val="000000"/>
          <w:sz w:val="20"/>
          <w:lang w:val="en-GB"/>
        </w:rPr>
        <w:t>et al.</w:t>
      </w:r>
      <w:r w:rsidRPr="00492802">
        <w:rPr>
          <w:rFonts w:ascii="Arial" w:hAnsi="Arial" w:cs="Arial"/>
          <w:color w:val="000000"/>
          <w:sz w:val="20"/>
          <w:lang w:val="en-GB"/>
        </w:rPr>
        <w:t xml:space="preserve">, Fish body sizes change with temperature but not all species shrink with warming. </w:t>
      </w:r>
      <w:r w:rsidRPr="00492802">
        <w:rPr>
          <w:rFonts w:ascii="Arial" w:hAnsi="Arial" w:cs="Arial"/>
          <w:i/>
          <w:iCs/>
          <w:color w:val="000000"/>
          <w:sz w:val="20"/>
          <w:lang w:val="en-GB"/>
        </w:rPr>
        <w:t>Nat Ecol Evol</w:t>
      </w:r>
      <w:r w:rsidRPr="00492802">
        <w:rPr>
          <w:rFonts w:ascii="Arial" w:hAnsi="Arial" w:cs="Arial"/>
          <w:color w:val="000000"/>
          <w:sz w:val="20"/>
          <w:lang w:val="en-GB"/>
        </w:rPr>
        <w:t xml:space="preserve"> </w:t>
      </w:r>
      <w:r w:rsidRPr="00492802">
        <w:rPr>
          <w:rFonts w:ascii="Arial" w:hAnsi="Arial" w:cs="Arial"/>
          <w:b/>
          <w:bCs/>
          <w:color w:val="000000"/>
          <w:sz w:val="20"/>
          <w:lang w:val="en-GB"/>
        </w:rPr>
        <w:t>4</w:t>
      </w:r>
      <w:r w:rsidRPr="00492802">
        <w:rPr>
          <w:rFonts w:ascii="Arial" w:hAnsi="Arial" w:cs="Arial"/>
          <w:color w:val="000000"/>
          <w:sz w:val="20"/>
          <w:lang w:val="en-GB"/>
        </w:rPr>
        <w:t>, 809–814 (2020).</w:t>
      </w:r>
    </w:p>
    <w:p w14:paraId="60C7EBB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20. </w:t>
      </w:r>
      <w:r w:rsidRPr="00492802">
        <w:rPr>
          <w:rFonts w:ascii="Arial" w:hAnsi="Arial" w:cs="Arial"/>
          <w:color w:val="000000"/>
          <w:sz w:val="20"/>
          <w:lang w:val="en-GB"/>
        </w:rPr>
        <w:tab/>
        <w:t xml:space="preserve">D. van Denderen, H. Gislason, J. van den Heuvel, K. H. Andersen, Global analysis of fish growth rates shows weaker responses to temperature than metabolic predictions. </w:t>
      </w:r>
      <w:r w:rsidRPr="00492802">
        <w:rPr>
          <w:rFonts w:ascii="Arial" w:hAnsi="Arial" w:cs="Arial"/>
          <w:i/>
          <w:iCs/>
          <w:color w:val="000000"/>
          <w:sz w:val="20"/>
          <w:lang w:val="en-GB"/>
        </w:rPr>
        <w:t>Global Ecology and Biogeography</w:t>
      </w:r>
      <w:r w:rsidRPr="00492802">
        <w:rPr>
          <w:rFonts w:ascii="Arial" w:hAnsi="Arial" w:cs="Arial"/>
          <w:color w:val="000000"/>
          <w:sz w:val="20"/>
          <w:lang w:val="en-GB"/>
        </w:rPr>
        <w:t xml:space="preserve"> </w:t>
      </w:r>
      <w:r w:rsidRPr="00492802">
        <w:rPr>
          <w:rFonts w:ascii="Arial" w:hAnsi="Arial" w:cs="Arial"/>
          <w:b/>
          <w:bCs/>
          <w:color w:val="000000"/>
          <w:sz w:val="20"/>
          <w:lang w:val="en-GB"/>
        </w:rPr>
        <w:t>29</w:t>
      </w:r>
      <w:r w:rsidRPr="00492802">
        <w:rPr>
          <w:rFonts w:ascii="Arial" w:hAnsi="Arial" w:cs="Arial"/>
          <w:color w:val="000000"/>
          <w:sz w:val="20"/>
          <w:lang w:val="en-GB"/>
        </w:rPr>
        <w:t>, 2203–2213 (2020).</w:t>
      </w:r>
    </w:p>
    <w:p w14:paraId="70AA46F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21. </w:t>
      </w:r>
      <w:r w:rsidRPr="00492802">
        <w:rPr>
          <w:rFonts w:ascii="Arial" w:hAnsi="Arial" w:cs="Arial"/>
          <w:color w:val="000000"/>
          <w:sz w:val="20"/>
          <w:lang w:val="en-GB"/>
        </w:rPr>
        <w:tab/>
        <w:t xml:space="preserve">H.-Y. Wang, S.-F. Shen, Y.-S. Chen, Y.-K. Kiang, M. Heino, Life histories determine divergent population trends for fishes under climate warming. </w:t>
      </w:r>
      <w:r w:rsidRPr="00492802">
        <w:rPr>
          <w:rFonts w:ascii="Arial" w:hAnsi="Arial" w:cs="Arial"/>
          <w:i/>
          <w:iCs/>
          <w:color w:val="000000"/>
          <w:sz w:val="20"/>
          <w:lang w:val="en-GB"/>
        </w:rPr>
        <w:t>Nature Communications</w:t>
      </w:r>
      <w:r w:rsidRPr="00492802">
        <w:rPr>
          <w:rFonts w:ascii="Arial" w:hAnsi="Arial" w:cs="Arial"/>
          <w:color w:val="000000"/>
          <w:sz w:val="20"/>
          <w:lang w:val="en-GB"/>
        </w:rPr>
        <w:t xml:space="preserve"> </w:t>
      </w:r>
      <w:r w:rsidRPr="00492802">
        <w:rPr>
          <w:rFonts w:ascii="Arial" w:hAnsi="Arial" w:cs="Arial"/>
          <w:b/>
          <w:bCs/>
          <w:color w:val="000000"/>
          <w:sz w:val="20"/>
          <w:lang w:val="en-GB"/>
        </w:rPr>
        <w:t>11</w:t>
      </w:r>
      <w:r w:rsidRPr="00492802">
        <w:rPr>
          <w:rFonts w:ascii="Arial" w:hAnsi="Arial" w:cs="Arial"/>
          <w:color w:val="000000"/>
          <w:sz w:val="20"/>
          <w:lang w:val="en-GB"/>
        </w:rPr>
        <w:t>, 4088 (2020).</w:t>
      </w:r>
    </w:p>
    <w:p w14:paraId="4F720F4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22. </w:t>
      </w:r>
      <w:r w:rsidRPr="00492802">
        <w:rPr>
          <w:rFonts w:ascii="Arial" w:hAnsi="Arial" w:cs="Arial"/>
          <w:color w:val="000000"/>
          <w:sz w:val="20"/>
          <w:lang w:val="en-GB"/>
        </w:rPr>
        <w:tab/>
        <w:t xml:space="preserve">A. Audzijonyte, </w:t>
      </w:r>
      <w:r w:rsidRPr="00492802">
        <w:rPr>
          <w:rFonts w:ascii="Arial" w:hAnsi="Arial" w:cs="Arial"/>
          <w:i/>
          <w:iCs/>
          <w:color w:val="000000"/>
          <w:sz w:val="20"/>
          <w:lang w:val="en-GB"/>
        </w:rPr>
        <w:t>et al.</w:t>
      </w:r>
      <w:r w:rsidRPr="00492802">
        <w:rPr>
          <w:rFonts w:ascii="Arial" w:hAnsi="Arial" w:cs="Arial"/>
          <w:color w:val="000000"/>
          <w:sz w:val="20"/>
          <w:lang w:val="en-GB"/>
        </w:rPr>
        <w:t xml:space="preserve">, Is oxygen limitation in warming waters a valid mechanism to explain decreased body sizes in aquatic ectotherms? </w:t>
      </w:r>
      <w:r w:rsidRPr="00492802">
        <w:rPr>
          <w:rFonts w:ascii="Arial" w:hAnsi="Arial" w:cs="Arial"/>
          <w:i/>
          <w:iCs/>
          <w:color w:val="000000"/>
          <w:sz w:val="20"/>
          <w:lang w:val="en-GB"/>
        </w:rPr>
        <w:t>Global Ecology and Biogeography</w:t>
      </w:r>
      <w:r w:rsidRPr="00492802">
        <w:rPr>
          <w:rFonts w:ascii="Arial" w:hAnsi="Arial" w:cs="Arial"/>
          <w:color w:val="000000"/>
          <w:sz w:val="20"/>
          <w:lang w:val="en-GB"/>
        </w:rPr>
        <w:t xml:space="preserve"> </w:t>
      </w:r>
      <w:r w:rsidRPr="00492802">
        <w:rPr>
          <w:rFonts w:ascii="Arial" w:hAnsi="Arial" w:cs="Arial"/>
          <w:b/>
          <w:bCs/>
          <w:color w:val="000000"/>
          <w:sz w:val="20"/>
          <w:lang w:val="en-GB"/>
        </w:rPr>
        <w:t>28</w:t>
      </w:r>
      <w:r w:rsidRPr="00492802">
        <w:rPr>
          <w:rFonts w:ascii="Arial" w:hAnsi="Arial" w:cs="Arial"/>
          <w:color w:val="000000"/>
          <w:sz w:val="20"/>
          <w:lang w:val="en-GB"/>
        </w:rPr>
        <w:t>, 64–77 (2019).</w:t>
      </w:r>
    </w:p>
    <w:p w14:paraId="65C11FF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23. </w:t>
      </w:r>
      <w:r w:rsidRPr="00492802">
        <w:rPr>
          <w:rFonts w:ascii="Arial" w:hAnsi="Arial" w:cs="Arial"/>
          <w:color w:val="000000"/>
          <w:sz w:val="20"/>
          <w:lang w:val="en-GB"/>
        </w:rPr>
        <w:tab/>
        <w:t xml:space="preserve">P. Neubauer, K. H. Andersen, Thermal performance of fish is explained by an interplay between physiology, behaviour and ecology. </w:t>
      </w:r>
      <w:r w:rsidRPr="00492802">
        <w:rPr>
          <w:rFonts w:ascii="Arial" w:hAnsi="Arial" w:cs="Arial"/>
          <w:i/>
          <w:iCs/>
          <w:color w:val="000000"/>
          <w:sz w:val="20"/>
          <w:lang w:val="en-GB"/>
        </w:rPr>
        <w:t>Conserv Physiol</w:t>
      </w:r>
      <w:r w:rsidRPr="00492802">
        <w:rPr>
          <w:rFonts w:ascii="Arial" w:hAnsi="Arial" w:cs="Arial"/>
          <w:color w:val="000000"/>
          <w:sz w:val="20"/>
          <w:lang w:val="en-GB"/>
        </w:rPr>
        <w:t xml:space="preserve"> </w:t>
      </w:r>
      <w:r w:rsidRPr="00492802">
        <w:rPr>
          <w:rFonts w:ascii="Arial" w:hAnsi="Arial" w:cs="Arial"/>
          <w:b/>
          <w:bCs/>
          <w:color w:val="000000"/>
          <w:sz w:val="20"/>
          <w:lang w:val="en-GB"/>
        </w:rPr>
        <w:t>7</w:t>
      </w:r>
      <w:r w:rsidRPr="00492802">
        <w:rPr>
          <w:rFonts w:ascii="Arial" w:hAnsi="Arial" w:cs="Arial"/>
          <w:color w:val="000000"/>
          <w:sz w:val="20"/>
          <w:lang w:val="en-GB"/>
        </w:rPr>
        <w:t xml:space="preserve"> (2019).</w:t>
      </w:r>
    </w:p>
    <w:p w14:paraId="3CF4F6C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24. </w:t>
      </w:r>
      <w:r w:rsidRPr="00492802">
        <w:rPr>
          <w:rFonts w:ascii="Arial" w:hAnsi="Arial" w:cs="Arial"/>
          <w:color w:val="000000"/>
          <w:sz w:val="20"/>
          <w:lang w:val="en-GB"/>
        </w:rPr>
        <w:tab/>
        <w:t xml:space="preserve">A. Pütter, Studien über physiologische Ähnlichkeit VI. Wachstumsähnlichkeiten. </w:t>
      </w:r>
      <w:r w:rsidRPr="00492802">
        <w:rPr>
          <w:rFonts w:ascii="Arial" w:hAnsi="Arial" w:cs="Arial"/>
          <w:i/>
          <w:iCs/>
          <w:color w:val="000000"/>
          <w:sz w:val="20"/>
          <w:lang w:val="en-GB"/>
        </w:rPr>
        <w:t>Pflügers Arch.</w:t>
      </w:r>
      <w:r w:rsidRPr="00492802">
        <w:rPr>
          <w:rFonts w:ascii="Arial" w:hAnsi="Arial" w:cs="Arial"/>
          <w:color w:val="000000"/>
          <w:sz w:val="20"/>
          <w:lang w:val="en-GB"/>
        </w:rPr>
        <w:t xml:space="preserve"> </w:t>
      </w:r>
      <w:r w:rsidRPr="00492802">
        <w:rPr>
          <w:rFonts w:ascii="Arial" w:hAnsi="Arial" w:cs="Arial"/>
          <w:b/>
          <w:bCs/>
          <w:color w:val="000000"/>
          <w:sz w:val="20"/>
          <w:lang w:val="en-GB"/>
        </w:rPr>
        <w:t>180</w:t>
      </w:r>
      <w:r w:rsidRPr="00492802">
        <w:rPr>
          <w:rFonts w:ascii="Arial" w:hAnsi="Arial" w:cs="Arial"/>
          <w:color w:val="000000"/>
          <w:sz w:val="20"/>
          <w:lang w:val="en-GB"/>
        </w:rPr>
        <w:t>, 298–340 (1920).</w:t>
      </w:r>
    </w:p>
    <w:p w14:paraId="1CAC80F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25. </w:t>
      </w:r>
      <w:r w:rsidRPr="00492802">
        <w:rPr>
          <w:rFonts w:ascii="Arial" w:hAnsi="Arial" w:cs="Arial"/>
          <w:color w:val="000000"/>
          <w:sz w:val="20"/>
          <w:lang w:val="en-GB"/>
        </w:rPr>
        <w:tab/>
        <w:t xml:space="preserve">L. von Bertalanffy, Laws in metabolism and growth. </w:t>
      </w:r>
      <w:r w:rsidRPr="00492802">
        <w:rPr>
          <w:rFonts w:ascii="Arial" w:hAnsi="Arial" w:cs="Arial"/>
          <w:i/>
          <w:iCs/>
          <w:color w:val="000000"/>
          <w:sz w:val="20"/>
          <w:lang w:val="en-GB"/>
        </w:rPr>
        <w:t>The quarterly review of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32</w:t>
      </w:r>
      <w:r w:rsidRPr="00492802">
        <w:rPr>
          <w:rFonts w:ascii="Arial" w:hAnsi="Arial" w:cs="Arial"/>
          <w:color w:val="000000"/>
          <w:sz w:val="20"/>
          <w:lang w:val="en-GB"/>
        </w:rPr>
        <w:t>, 217–231 (1957).</w:t>
      </w:r>
    </w:p>
    <w:p w14:paraId="20DC7EE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26. </w:t>
      </w:r>
      <w:r w:rsidRPr="00492802">
        <w:rPr>
          <w:rFonts w:ascii="Arial" w:hAnsi="Arial" w:cs="Arial"/>
          <w:color w:val="000000"/>
          <w:sz w:val="20"/>
          <w:lang w:val="en-GB"/>
        </w:rPr>
        <w:tab/>
        <w:t xml:space="preserve">K. Morita, M. Fukuwaka, N. Tanimata, O. Yamamura, Size-dependent thermal preferences in a pelagic fish. </w:t>
      </w:r>
      <w:r w:rsidRPr="00492802">
        <w:rPr>
          <w:rFonts w:ascii="Arial" w:hAnsi="Arial" w:cs="Arial"/>
          <w:i/>
          <w:iCs/>
          <w:color w:val="000000"/>
          <w:sz w:val="20"/>
          <w:lang w:val="en-GB"/>
        </w:rPr>
        <w:t>Oikos</w:t>
      </w:r>
      <w:r w:rsidRPr="00492802">
        <w:rPr>
          <w:rFonts w:ascii="Arial" w:hAnsi="Arial" w:cs="Arial"/>
          <w:color w:val="000000"/>
          <w:sz w:val="20"/>
          <w:lang w:val="en-GB"/>
        </w:rPr>
        <w:t xml:space="preserve"> </w:t>
      </w:r>
      <w:r w:rsidRPr="00492802">
        <w:rPr>
          <w:rFonts w:ascii="Arial" w:hAnsi="Arial" w:cs="Arial"/>
          <w:b/>
          <w:bCs/>
          <w:color w:val="000000"/>
          <w:sz w:val="20"/>
          <w:lang w:val="en-GB"/>
        </w:rPr>
        <w:t>119</w:t>
      </w:r>
      <w:r w:rsidRPr="00492802">
        <w:rPr>
          <w:rFonts w:ascii="Arial" w:hAnsi="Arial" w:cs="Arial"/>
          <w:color w:val="000000"/>
          <w:sz w:val="20"/>
          <w:lang w:val="en-GB"/>
        </w:rPr>
        <w:t>, 1265–1272 (2010).</w:t>
      </w:r>
    </w:p>
    <w:p w14:paraId="45FDA22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27. </w:t>
      </w:r>
      <w:r w:rsidRPr="00492802">
        <w:rPr>
          <w:rFonts w:ascii="Arial" w:hAnsi="Arial" w:cs="Arial"/>
          <w:color w:val="000000"/>
          <w:sz w:val="20"/>
          <w:lang w:val="en-GB"/>
        </w:rPr>
        <w:tab/>
        <w:t xml:space="preserve">D. Pauly, W. W. L. Cheung, Sound physiological knowledge and principles in modeling shrinking of fishes under climate change.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e15–e26 (2018).</w:t>
      </w:r>
    </w:p>
    <w:p w14:paraId="2E42DFD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28. </w:t>
      </w:r>
      <w:r w:rsidRPr="00492802">
        <w:rPr>
          <w:rFonts w:ascii="Arial" w:hAnsi="Arial" w:cs="Arial"/>
          <w:color w:val="000000"/>
          <w:sz w:val="20"/>
          <w:lang w:val="en-GB"/>
        </w:rPr>
        <w:tab/>
        <w:t xml:space="preserve">D. Pauly, The gill-oxygen limitation theory (GOLT) and its critics. </w:t>
      </w:r>
      <w:r w:rsidRPr="00492802">
        <w:rPr>
          <w:rFonts w:ascii="Arial" w:hAnsi="Arial" w:cs="Arial"/>
          <w:i/>
          <w:iCs/>
          <w:color w:val="000000"/>
          <w:sz w:val="20"/>
          <w:lang w:val="en-GB"/>
        </w:rPr>
        <w:t>Science Advances</w:t>
      </w:r>
      <w:r w:rsidRPr="00492802">
        <w:rPr>
          <w:rFonts w:ascii="Arial" w:hAnsi="Arial" w:cs="Arial"/>
          <w:color w:val="000000"/>
          <w:sz w:val="20"/>
          <w:lang w:val="en-GB"/>
        </w:rPr>
        <w:t xml:space="preserve"> </w:t>
      </w:r>
      <w:r w:rsidRPr="00492802">
        <w:rPr>
          <w:rFonts w:ascii="Arial" w:hAnsi="Arial" w:cs="Arial"/>
          <w:b/>
          <w:bCs/>
          <w:color w:val="000000"/>
          <w:sz w:val="20"/>
          <w:lang w:val="en-GB"/>
        </w:rPr>
        <w:t>7</w:t>
      </w:r>
      <w:r w:rsidRPr="00492802">
        <w:rPr>
          <w:rFonts w:ascii="Arial" w:hAnsi="Arial" w:cs="Arial"/>
          <w:color w:val="000000"/>
          <w:sz w:val="20"/>
          <w:lang w:val="en-GB"/>
        </w:rPr>
        <w:t>, eabc6050 (2021).</w:t>
      </w:r>
    </w:p>
    <w:p w14:paraId="569289A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29. </w:t>
      </w:r>
      <w:r w:rsidRPr="00492802">
        <w:rPr>
          <w:rFonts w:ascii="Arial" w:hAnsi="Arial" w:cs="Arial"/>
          <w:color w:val="000000"/>
          <w:sz w:val="20"/>
          <w:lang w:val="en-GB"/>
        </w:rPr>
        <w:tab/>
        <w:t xml:space="preserve">S. Lefevre, D. J. McKenzie, G. E. Nilsson, In modelling effects of global warming, invalid assumptions lead to unrealistic projections.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553–556 (2018).</w:t>
      </w:r>
    </w:p>
    <w:p w14:paraId="4EB8D01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30. </w:t>
      </w:r>
      <w:r w:rsidRPr="00492802">
        <w:rPr>
          <w:rFonts w:ascii="Arial" w:hAnsi="Arial" w:cs="Arial"/>
          <w:color w:val="000000"/>
          <w:sz w:val="20"/>
          <w:lang w:val="en-GB"/>
        </w:rPr>
        <w:tab/>
        <w:t xml:space="preserve">D. J. Marshall, C. R. White, Have we outgrown the existing models of growth? </w:t>
      </w:r>
      <w:r w:rsidRPr="00492802">
        <w:rPr>
          <w:rFonts w:ascii="Arial" w:hAnsi="Arial" w:cs="Arial"/>
          <w:i/>
          <w:iCs/>
          <w:color w:val="000000"/>
          <w:sz w:val="20"/>
          <w:lang w:val="en-GB"/>
        </w:rPr>
        <w:t>Trends in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34</w:t>
      </w:r>
      <w:r w:rsidRPr="00492802">
        <w:rPr>
          <w:rFonts w:ascii="Arial" w:hAnsi="Arial" w:cs="Arial"/>
          <w:color w:val="000000"/>
          <w:sz w:val="20"/>
          <w:lang w:val="en-GB"/>
        </w:rPr>
        <w:t>, 102–111 (2019).</w:t>
      </w:r>
    </w:p>
    <w:p w14:paraId="23141A8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31. </w:t>
      </w:r>
      <w:r w:rsidRPr="00492802">
        <w:rPr>
          <w:rFonts w:ascii="Arial" w:hAnsi="Arial" w:cs="Arial"/>
          <w:color w:val="000000"/>
          <w:sz w:val="20"/>
          <w:lang w:val="en-GB"/>
        </w:rPr>
        <w:tab/>
        <w:t xml:space="preserve">E. Ursin, A Mathematical Model of Some Aspects of Fish Growth, Respiration, and Mortality. </w:t>
      </w:r>
      <w:r w:rsidRPr="00492802">
        <w:rPr>
          <w:rFonts w:ascii="Arial" w:hAnsi="Arial" w:cs="Arial"/>
          <w:i/>
          <w:iCs/>
          <w:color w:val="000000"/>
          <w:sz w:val="20"/>
          <w:lang w:val="en-GB"/>
        </w:rPr>
        <w:t>Journal of the Fisheries Research Board of Canada</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2355–2453 (1967).</w:t>
      </w:r>
    </w:p>
    <w:p w14:paraId="554AD03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32. </w:t>
      </w:r>
      <w:r w:rsidRPr="00492802">
        <w:rPr>
          <w:rFonts w:ascii="Arial" w:hAnsi="Arial" w:cs="Arial"/>
          <w:color w:val="000000"/>
          <w:sz w:val="20"/>
          <w:lang w:val="en-GB"/>
        </w:rPr>
        <w:tab/>
        <w:t>J. F. Kitchell, D. J. Stewart, D. Weininger, Applications of a bioenergetics model to yellow perch (</w:t>
      </w:r>
      <w:r w:rsidRPr="00492802">
        <w:rPr>
          <w:rFonts w:ascii="Arial" w:hAnsi="Arial" w:cs="Arial"/>
          <w:i/>
          <w:iCs/>
          <w:color w:val="000000"/>
          <w:sz w:val="20"/>
          <w:lang w:val="en-GB"/>
        </w:rPr>
        <w:t>Perca flavescens</w:t>
      </w:r>
      <w:r w:rsidRPr="00492802">
        <w:rPr>
          <w:rFonts w:ascii="Arial" w:hAnsi="Arial" w:cs="Arial"/>
          <w:color w:val="000000"/>
          <w:sz w:val="20"/>
          <w:lang w:val="en-GB"/>
        </w:rPr>
        <w:t>) and walleye (</w:t>
      </w:r>
      <w:r w:rsidRPr="00492802">
        <w:rPr>
          <w:rFonts w:ascii="Arial" w:hAnsi="Arial" w:cs="Arial"/>
          <w:i/>
          <w:iCs/>
          <w:color w:val="000000"/>
          <w:sz w:val="20"/>
          <w:lang w:val="en-GB"/>
        </w:rPr>
        <w:t>Stizostedion vitreum vitreum</w:t>
      </w:r>
      <w:r w:rsidRPr="00492802">
        <w:rPr>
          <w:rFonts w:ascii="Arial" w:hAnsi="Arial" w:cs="Arial"/>
          <w:color w:val="000000"/>
          <w:sz w:val="20"/>
          <w:lang w:val="en-GB"/>
        </w:rPr>
        <w:t xml:space="preserve">). </w:t>
      </w:r>
      <w:r w:rsidRPr="00492802">
        <w:rPr>
          <w:rFonts w:ascii="Arial" w:hAnsi="Arial" w:cs="Arial"/>
          <w:i/>
          <w:iCs/>
          <w:color w:val="000000"/>
          <w:sz w:val="20"/>
          <w:lang w:val="en-GB"/>
        </w:rPr>
        <w:t>Journal of the Fisheries Board of Canada</w:t>
      </w:r>
      <w:r w:rsidRPr="00492802">
        <w:rPr>
          <w:rFonts w:ascii="Arial" w:hAnsi="Arial" w:cs="Arial"/>
          <w:color w:val="000000"/>
          <w:sz w:val="20"/>
          <w:lang w:val="en-GB"/>
        </w:rPr>
        <w:t xml:space="preserve"> </w:t>
      </w:r>
      <w:r w:rsidRPr="00492802">
        <w:rPr>
          <w:rFonts w:ascii="Arial" w:hAnsi="Arial" w:cs="Arial"/>
          <w:b/>
          <w:bCs/>
          <w:color w:val="000000"/>
          <w:sz w:val="20"/>
          <w:lang w:val="en-GB"/>
        </w:rPr>
        <w:t>34</w:t>
      </w:r>
      <w:r w:rsidRPr="00492802">
        <w:rPr>
          <w:rFonts w:ascii="Arial" w:hAnsi="Arial" w:cs="Arial"/>
          <w:color w:val="000000"/>
          <w:sz w:val="20"/>
          <w:lang w:val="en-GB"/>
        </w:rPr>
        <w:t>, 1922–1935 (1977).</w:t>
      </w:r>
    </w:p>
    <w:p w14:paraId="32237F2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33. </w:t>
      </w:r>
      <w:r w:rsidRPr="00492802">
        <w:rPr>
          <w:rFonts w:ascii="Arial" w:hAnsi="Arial" w:cs="Arial"/>
          <w:color w:val="000000"/>
          <w:sz w:val="20"/>
          <w:lang w:val="en-GB"/>
        </w:rPr>
        <w:tab/>
        <w:t xml:space="preserve">M. Jobling, “Temperature and growth: modulation of growth rate via temperature change” in </w:t>
      </w:r>
      <w:r w:rsidRPr="00492802">
        <w:rPr>
          <w:rFonts w:ascii="Arial" w:hAnsi="Arial" w:cs="Arial"/>
          <w:i/>
          <w:iCs/>
          <w:color w:val="000000"/>
          <w:sz w:val="20"/>
          <w:lang w:val="en-GB"/>
        </w:rPr>
        <w:t>Global Warming: Implications for Freshwater and Marine Fish</w:t>
      </w:r>
      <w:r w:rsidRPr="00492802">
        <w:rPr>
          <w:rFonts w:ascii="Arial" w:hAnsi="Arial" w:cs="Arial"/>
          <w:color w:val="000000"/>
          <w:sz w:val="20"/>
          <w:lang w:val="en-GB"/>
        </w:rPr>
        <w:t>, C. M. Wood, D. G. McDonald, Eds. (Cambridge University Press, 1997), pp. 225–254.</w:t>
      </w:r>
    </w:p>
    <w:p w14:paraId="16D2414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34. </w:t>
      </w:r>
      <w:r w:rsidRPr="00492802">
        <w:rPr>
          <w:rFonts w:ascii="Arial" w:hAnsi="Arial" w:cs="Arial"/>
          <w:color w:val="000000"/>
          <w:sz w:val="20"/>
          <w:lang w:val="en-GB"/>
        </w:rPr>
        <w:tab/>
        <w:t xml:space="preserve">T. E. Essington, J. F. Kitchell, C. J. Walters, The von Bertalanffy growth function, bioenergetics, and the consumption rates of fish. </w:t>
      </w:r>
      <w:r w:rsidRPr="00492802">
        <w:rPr>
          <w:rFonts w:ascii="Arial" w:hAnsi="Arial" w:cs="Arial"/>
          <w:i/>
          <w:iCs/>
          <w:color w:val="000000"/>
          <w:sz w:val="20"/>
          <w:lang w:val="en-GB"/>
        </w:rPr>
        <w:t>Canadian Journal of Fisheries and Aquatic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58</w:t>
      </w:r>
      <w:r w:rsidRPr="00492802">
        <w:rPr>
          <w:rFonts w:ascii="Arial" w:hAnsi="Arial" w:cs="Arial"/>
          <w:color w:val="000000"/>
          <w:sz w:val="20"/>
          <w:lang w:val="en-GB"/>
        </w:rPr>
        <w:t>, 2129–2138 (2001).</w:t>
      </w:r>
    </w:p>
    <w:p w14:paraId="1B1F248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35. </w:t>
      </w:r>
      <w:r w:rsidRPr="00492802">
        <w:rPr>
          <w:rFonts w:ascii="Arial" w:hAnsi="Arial" w:cs="Arial"/>
          <w:color w:val="000000"/>
          <w:sz w:val="20"/>
          <w:lang w:val="en-GB"/>
        </w:rPr>
        <w:tab/>
        <w:t xml:space="preserve">S. A. L. M. Kooijman, </w:t>
      </w:r>
      <w:r w:rsidRPr="00492802">
        <w:rPr>
          <w:rFonts w:ascii="Arial" w:hAnsi="Arial" w:cs="Arial"/>
          <w:i/>
          <w:iCs/>
          <w:color w:val="000000"/>
          <w:sz w:val="20"/>
          <w:lang w:val="en-GB"/>
        </w:rPr>
        <w:t>Dynamic energy budgets in biological systems</w:t>
      </w:r>
      <w:r w:rsidRPr="00492802">
        <w:rPr>
          <w:rFonts w:ascii="Arial" w:hAnsi="Arial" w:cs="Arial"/>
          <w:color w:val="000000"/>
          <w:sz w:val="20"/>
          <w:lang w:val="en-GB"/>
        </w:rPr>
        <w:t xml:space="preserve"> (Cambridge University Press, 1993).</w:t>
      </w:r>
    </w:p>
    <w:p w14:paraId="14C8F97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36. </w:t>
      </w:r>
      <w:r w:rsidRPr="00492802">
        <w:rPr>
          <w:rFonts w:ascii="Arial" w:hAnsi="Arial" w:cs="Arial"/>
          <w:color w:val="000000"/>
          <w:sz w:val="20"/>
          <w:lang w:val="en-GB"/>
        </w:rPr>
        <w:tab/>
        <w:t xml:space="preserve">A. M. de Roos, L. Persson, Physiologically structured models – from versatile technique to ecological theory. </w:t>
      </w:r>
      <w:r w:rsidRPr="00492802">
        <w:rPr>
          <w:rFonts w:ascii="Arial" w:hAnsi="Arial" w:cs="Arial"/>
          <w:i/>
          <w:iCs/>
          <w:color w:val="000000"/>
          <w:sz w:val="20"/>
          <w:lang w:val="en-GB"/>
        </w:rPr>
        <w:t>Oikos</w:t>
      </w:r>
      <w:r w:rsidRPr="00492802">
        <w:rPr>
          <w:rFonts w:ascii="Arial" w:hAnsi="Arial" w:cs="Arial"/>
          <w:color w:val="000000"/>
          <w:sz w:val="20"/>
          <w:lang w:val="en-GB"/>
        </w:rPr>
        <w:t xml:space="preserve"> </w:t>
      </w:r>
      <w:r w:rsidRPr="00492802">
        <w:rPr>
          <w:rFonts w:ascii="Arial" w:hAnsi="Arial" w:cs="Arial"/>
          <w:b/>
          <w:bCs/>
          <w:color w:val="000000"/>
          <w:sz w:val="20"/>
          <w:lang w:val="en-GB"/>
        </w:rPr>
        <w:t>94</w:t>
      </w:r>
      <w:r w:rsidRPr="00492802">
        <w:rPr>
          <w:rFonts w:ascii="Arial" w:hAnsi="Arial" w:cs="Arial"/>
          <w:color w:val="000000"/>
          <w:sz w:val="20"/>
          <w:lang w:val="en-GB"/>
        </w:rPr>
        <w:t>, 51–71 (2001).</w:t>
      </w:r>
    </w:p>
    <w:p w14:paraId="7D16A9A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37. </w:t>
      </w:r>
      <w:r w:rsidRPr="00492802">
        <w:rPr>
          <w:rFonts w:ascii="Arial" w:hAnsi="Arial" w:cs="Arial"/>
          <w:color w:val="000000"/>
          <w:sz w:val="20"/>
          <w:lang w:val="en-GB"/>
        </w:rPr>
        <w:tab/>
        <w:t xml:space="preserve">M. Hartvig, K. H. Andersen, J. E. Beyer, Food web framework for size-structured populations. </w:t>
      </w:r>
      <w:r w:rsidRPr="00492802">
        <w:rPr>
          <w:rFonts w:ascii="Arial" w:hAnsi="Arial" w:cs="Arial"/>
          <w:i/>
          <w:iCs/>
          <w:color w:val="000000"/>
          <w:sz w:val="20"/>
          <w:lang w:val="en-GB"/>
        </w:rPr>
        <w:t>Journal of Theoretical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272</w:t>
      </w:r>
      <w:r w:rsidRPr="00492802">
        <w:rPr>
          <w:rFonts w:ascii="Arial" w:hAnsi="Arial" w:cs="Arial"/>
          <w:color w:val="000000"/>
          <w:sz w:val="20"/>
          <w:lang w:val="en-GB"/>
        </w:rPr>
        <w:t>, 113–122 (2011).</w:t>
      </w:r>
    </w:p>
    <w:p w14:paraId="6976AB8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38. </w:t>
      </w:r>
      <w:r w:rsidRPr="00492802">
        <w:rPr>
          <w:rFonts w:ascii="Arial" w:hAnsi="Arial" w:cs="Arial"/>
          <w:color w:val="000000"/>
          <w:sz w:val="20"/>
          <w:lang w:val="en-GB"/>
        </w:rPr>
        <w:tab/>
        <w:t xml:space="preserve">O. Maury, J.-C. Poggiale, From individuals to populations to communities: A dynamic energy budget model of marine ecosystem size-spectrum including life history diversity. </w:t>
      </w:r>
      <w:r w:rsidRPr="00492802">
        <w:rPr>
          <w:rFonts w:ascii="Arial" w:hAnsi="Arial" w:cs="Arial"/>
          <w:i/>
          <w:iCs/>
          <w:color w:val="000000"/>
          <w:sz w:val="20"/>
          <w:lang w:val="en-GB"/>
        </w:rPr>
        <w:t>Journal of Theoretical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324</w:t>
      </w:r>
      <w:r w:rsidRPr="00492802">
        <w:rPr>
          <w:rFonts w:ascii="Arial" w:hAnsi="Arial" w:cs="Arial"/>
          <w:color w:val="000000"/>
          <w:sz w:val="20"/>
          <w:lang w:val="en-GB"/>
        </w:rPr>
        <w:t>, 52–71 (2013).</w:t>
      </w:r>
    </w:p>
    <w:p w14:paraId="089F47A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39. </w:t>
      </w:r>
      <w:r w:rsidRPr="00492802">
        <w:rPr>
          <w:rFonts w:ascii="Arial" w:hAnsi="Arial" w:cs="Arial"/>
          <w:color w:val="000000"/>
          <w:sz w:val="20"/>
          <w:lang w:val="en-GB"/>
        </w:rPr>
        <w:tab/>
        <w:t xml:space="preserve">J. L. Blanchard, R. F. Heneghan, J. D. Everett, R. Trebilco, A. J. Richardson, From bacteria towWhales: Using functional size spectra to model marine ecosystems. </w:t>
      </w:r>
      <w:r w:rsidRPr="00492802">
        <w:rPr>
          <w:rFonts w:ascii="Arial" w:hAnsi="Arial" w:cs="Arial"/>
          <w:i/>
          <w:iCs/>
          <w:color w:val="000000"/>
          <w:sz w:val="20"/>
          <w:lang w:val="en-GB"/>
        </w:rPr>
        <w:t>Trends in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32</w:t>
      </w:r>
      <w:r w:rsidRPr="00492802">
        <w:rPr>
          <w:rFonts w:ascii="Arial" w:hAnsi="Arial" w:cs="Arial"/>
          <w:color w:val="000000"/>
          <w:sz w:val="20"/>
          <w:lang w:val="en-GB"/>
        </w:rPr>
        <w:t>, 174–186 (2017).</w:t>
      </w:r>
    </w:p>
    <w:p w14:paraId="618D14A1"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40. </w:t>
      </w:r>
      <w:r w:rsidRPr="00492802">
        <w:rPr>
          <w:rFonts w:ascii="Arial" w:hAnsi="Arial" w:cs="Arial"/>
          <w:color w:val="000000"/>
          <w:sz w:val="20"/>
          <w:lang w:val="en-GB"/>
        </w:rPr>
        <w:tab/>
        <w:t xml:space="preserve">D. S. Glazier, Beyond the “3/4-power law”: variation in the intra- and interspecific scaling of metabolic rate in animals. </w:t>
      </w:r>
      <w:r w:rsidRPr="00492802">
        <w:rPr>
          <w:rFonts w:ascii="Arial" w:hAnsi="Arial" w:cs="Arial"/>
          <w:i/>
          <w:iCs/>
          <w:color w:val="000000"/>
          <w:sz w:val="20"/>
          <w:lang w:val="en-GB"/>
        </w:rPr>
        <w:t>Biological Reviews of the Cambridge Philosophical Society</w:t>
      </w:r>
      <w:r w:rsidRPr="00492802">
        <w:rPr>
          <w:rFonts w:ascii="Arial" w:hAnsi="Arial" w:cs="Arial"/>
          <w:color w:val="000000"/>
          <w:sz w:val="20"/>
          <w:lang w:val="en-GB"/>
        </w:rPr>
        <w:t xml:space="preserve"> </w:t>
      </w:r>
      <w:r w:rsidRPr="00492802">
        <w:rPr>
          <w:rFonts w:ascii="Arial" w:hAnsi="Arial" w:cs="Arial"/>
          <w:b/>
          <w:bCs/>
          <w:color w:val="000000"/>
          <w:sz w:val="20"/>
          <w:lang w:val="en-GB"/>
        </w:rPr>
        <w:t>80</w:t>
      </w:r>
      <w:r w:rsidRPr="00492802">
        <w:rPr>
          <w:rFonts w:ascii="Arial" w:hAnsi="Arial" w:cs="Arial"/>
          <w:color w:val="000000"/>
          <w:sz w:val="20"/>
          <w:lang w:val="en-GB"/>
        </w:rPr>
        <w:t>, 611–662 (2005).</w:t>
      </w:r>
    </w:p>
    <w:p w14:paraId="7C5D567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41. </w:t>
      </w:r>
      <w:r w:rsidRPr="00492802">
        <w:rPr>
          <w:rFonts w:ascii="Arial" w:hAnsi="Arial" w:cs="Arial"/>
          <w:color w:val="000000"/>
          <w:sz w:val="20"/>
          <w:lang w:val="en-GB"/>
        </w:rPr>
        <w:tab/>
        <w:t xml:space="preserve">B. C. Rall, </w:t>
      </w:r>
      <w:r w:rsidRPr="00492802">
        <w:rPr>
          <w:rFonts w:ascii="Arial" w:hAnsi="Arial" w:cs="Arial"/>
          <w:i/>
          <w:iCs/>
          <w:color w:val="000000"/>
          <w:sz w:val="20"/>
          <w:lang w:val="en-GB"/>
        </w:rPr>
        <w:t>et al.</w:t>
      </w:r>
      <w:r w:rsidRPr="00492802">
        <w:rPr>
          <w:rFonts w:ascii="Arial" w:hAnsi="Arial" w:cs="Arial"/>
          <w:color w:val="000000"/>
          <w:sz w:val="20"/>
          <w:lang w:val="en-GB"/>
        </w:rPr>
        <w:t xml:space="preserve">, Universal temperature and body-mass scaling of feeding rates. </w:t>
      </w:r>
      <w:r w:rsidRPr="00492802">
        <w:rPr>
          <w:rFonts w:ascii="Arial" w:hAnsi="Arial" w:cs="Arial"/>
          <w:i/>
          <w:iCs/>
          <w:color w:val="000000"/>
          <w:sz w:val="20"/>
          <w:lang w:val="en-GB"/>
        </w:rPr>
        <w:t>Philosophical Transactions of the Royal Society of London, Series B: Biological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367</w:t>
      </w:r>
      <w:r w:rsidRPr="00492802">
        <w:rPr>
          <w:rFonts w:ascii="Arial" w:hAnsi="Arial" w:cs="Arial"/>
          <w:color w:val="000000"/>
          <w:sz w:val="20"/>
          <w:lang w:val="en-GB"/>
        </w:rPr>
        <w:t>, 2923–2934 (2012).</w:t>
      </w:r>
    </w:p>
    <w:p w14:paraId="23CA848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42. </w:t>
      </w:r>
      <w:r w:rsidRPr="00492802">
        <w:rPr>
          <w:rFonts w:ascii="Arial" w:hAnsi="Arial" w:cs="Arial"/>
          <w:color w:val="000000"/>
          <w:sz w:val="20"/>
          <w:lang w:val="en-GB"/>
        </w:rPr>
        <w:tab/>
        <w:t xml:space="preserve">C. L. Jerde, </w:t>
      </w:r>
      <w:r w:rsidRPr="00492802">
        <w:rPr>
          <w:rFonts w:ascii="Arial" w:hAnsi="Arial" w:cs="Arial"/>
          <w:i/>
          <w:iCs/>
          <w:color w:val="000000"/>
          <w:sz w:val="20"/>
          <w:lang w:val="en-GB"/>
        </w:rPr>
        <w:t>et al.</w:t>
      </w:r>
      <w:r w:rsidRPr="00492802">
        <w:rPr>
          <w:rFonts w:ascii="Arial" w:hAnsi="Arial" w:cs="Arial"/>
          <w:color w:val="000000"/>
          <w:sz w:val="20"/>
          <w:lang w:val="en-GB"/>
        </w:rPr>
        <w:t xml:space="preserve">, Strong Evidence for an Intraspecific Metabolic Scaling Coefficient Near 0.89 in Fish. </w:t>
      </w:r>
      <w:r w:rsidRPr="00492802">
        <w:rPr>
          <w:rFonts w:ascii="Arial" w:hAnsi="Arial" w:cs="Arial"/>
          <w:i/>
          <w:iCs/>
          <w:color w:val="000000"/>
          <w:sz w:val="20"/>
          <w:lang w:val="en-GB"/>
        </w:rPr>
        <w:t>Front. Physiol.</w:t>
      </w:r>
      <w:r w:rsidRPr="00492802">
        <w:rPr>
          <w:rFonts w:ascii="Arial" w:hAnsi="Arial" w:cs="Arial"/>
          <w:color w:val="000000"/>
          <w:sz w:val="20"/>
          <w:lang w:val="en-GB"/>
        </w:rPr>
        <w:t xml:space="preserve"> </w:t>
      </w:r>
      <w:r w:rsidRPr="00492802">
        <w:rPr>
          <w:rFonts w:ascii="Arial" w:hAnsi="Arial" w:cs="Arial"/>
          <w:b/>
          <w:bCs/>
          <w:color w:val="000000"/>
          <w:sz w:val="20"/>
          <w:lang w:val="en-GB"/>
        </w:rPr>
        <w:t>10</w:t>
      </w:r>
      <w:r w:rsidRPr="00492802">
        <w:rPr>
          <w:rFonts w:ascii="Arial" w:hAnsi="Arial" w:cs="Arial"/>
          <w:color w:val="000000"/>
          <w:sz w:val="20"/>
          <w:lang w:val="en-GB"/>
        </w:rPr>
        <w:t>, 1166 (2019).</w:t>
      </w:r>
    </w:p>
    <w:p w14:paraId="2B4BB19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43. </w:t>
      </w:r>
      <w:r w:rsidRPr="00492802">
        <w:rPr>
          <w:rFonts w:ascii="Arial" w:hAnsi="Arial" w:cs="Arial"/>
          <w:color w:val="000000"/>
          <w:sz w:val="20"/>
          <w:lang w:val="en-GB"/>
        </w:rPr>
        <w:tab/>
        <w:t xml:space="preserve">J. F. Gillooly, J. H. Brown, G. B. West, V. M. Savage, E. L. Charnov, Effects of size and temperature on metabolic rate. </w:t>
      </w:r>
      <w:r w:rsidRPr="00492802">
        <w:rPr>
          <w:rFonts w:ascii="Arial" w:hAnsi="Arial" w:cs="Arial"/>
          <w:i/>
          <w:iCs/>
          <w:color w:val="000000"/>
          <w:sz w:val="20"/>
          <w:lang w:val="en-GB"/>
        </w:rPr>
        <w:t>Science</w:t>
      </w:r>
      <w:r w:rsidRPr="00492802">
        <w:rPr>
          <w:rFonts w:ascii="Arial" w:hAnsi="Arial" w:cs="Arial"/>
          <w:color w:val="000000"/>
          <w:sz w:val="20"/>
          <w:lang w:val="en-GB"/>
        </w:rPr>
        <w:t>, 2248-2251. (2001).</w:t>
      </w:r>
    </w:p>
    <w:p w14:paraId="11E9F48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44. </w:t>
      </w:r>
      <w:r w:rsidRPr="00492802">
        <w:rPr>
          <w:rFonts w:ascii="Arial" w:hAnsi="Arial" w:cs="Arial"/>
          <w:color w:val="000000"/>
          <w:sz w:val="20"/>
          <w:lang w:val="en-GB"/>
        </w:rPr>
        <w:tab/>
        <w:t xml:space="preserve">C. J. Downs, J. P. Hayes, C. R. Tracy, Scaling metabolic rate with body mass and inverse body temperature: A test of the Arrhenius fractal supply model.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22</w:t>
      </w:r>
      <w:r w:rsidRPr="00492802">
        <w:rPr>
          <w:rFonts w:ascii="Arial" w:hAnsi="Arial" w:cs="Arial"/>
          <w:color w:val="000000"/>
          <w:sz w:val="20"/>
          <w:lang w:val="en-GB"/>
        </w:rPr>
        <w:t>, 239–244 (2008).</w:t>
      </w:r>
    </w:p>
    <w:p w14:paraId="5756E21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45. </w:t>
      </w:r>
      <w:r w:rsidRPr="00492802">
        <w:rPr>
          <w:rFonts w:ascii="Arial" w:hAnsi="Arial" w:cs="Arial"/>
          <w:color w:val="000000"/>
          <w:sz w:val="20"/>
          <w:lang w:val="en-GB"/>
        </w:rPr>
        <w:tab/>
        <w:t xml:space="preserve">A. Clarke, N. M. Johnston, Scaling of metabolic rate with body mass and temperature in teleost fish. </w:t>
      </w:r>
      <w:r w:rsidRPr="00492802">
        <w:rPr>
          <w:rFonts w:ascii="Arial" w:hAnsi="Arial" w:cs="Arial"/>
          <w:i/>
          <w:iCs/>
          <w:color w:val="000000"/>
          <w:sz w:val="20"/>
          <w:lang w:val="en-GB"/>
        </w:rPr>
        <w:t>Journal of Animal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68</w:t>
      </w:r>
      <w:r w:rsidRPr="00492802">
        <w:rPr>
          <w:rFonts w:ascii="Arial" w:hAnsi="Arial" w:cs="Arial"/>
          <w:color w:val="000000"/>
          <w:sz w:val="20"/>
          <w:lang w:val="en-GB"/>
        </w:rPr>
        <w:t>, 893–905 (1999).</w:t>
      </w:r>
    </w:p>
    <w:p w14:paraId="3B2C80A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46. </w:t>
      </w:r>
      <w:r w:rsidRPr="00492802">
        <w:rPr>
          <w:rFonts w:ascii="Arial" w:hAnsi="Arial" w:cs="Arial"/>
          <w:color w:val="000000"/>
          <w:sz w:val="20"/>
          <w:lang w:val="en-GB"/>
        </w:rPr>
        <w:tab/>
        <w:t xml:space="preserve">F. Bokma, Evidence against universal metabolic allometry.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18</w:t>
      </w:r>
      <w:r w:rsidRPr="00492802">
        <w:rPr>
          <w:rFonts w:ascii="Arial" w:hAnsi="Arial" w:cs="Arial"/>
          <w:color w:val="000000"/>
          <w:sz w:val="20"/>
          <w:lang w:val="en-GB"/>
        </w:rPr>
        <w:t>, 184–187 (2004).</w:t>
      </w:r>
    </w:p>
    <w:p w14:paraId="3550102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47. </w:t>
      </w:r>
      <w:r w:rsidRPr="00492802">
        <w:rPr>
          <w:rFonts w:ascii="Arial" w:hAnsi="Arial" w:cs="Arial"/>
          <w:color w:val="000000"/>
          <w:sz w:val="20"/>
          <w:lang w:val="en-GB"/>
        </w:rPr>
        <w:tab/>
        <w:t xml:space="preserve">A. I. Dell, S. Pawar, V. M. Savage, Systematic variation in the temperature dependence of physiological and ecological traits. </w:t>
      </w:r>
      <w:r w:rsidRPr="00492802">
        <w:rPr>
          <w:rFonts w:ascii="Arial" w:hAnsi="Arial" w:cs="Arial"/>
          <w:i/>
          <w:iCs/>
          <w:color w:val="000000"/>
          <w:sz w:val="20"/>
          <w:lang w:val="en-GB"/>
        </w:rPr>
        <w:t>Proceedings of the National Academy of Sciences</w:t>
      </w:r>
      <w:r w:rsidRPr="00492802">
        <w:rPr>
          <w:rFonts w:ascii="Arial" w:hAnsi="Arial" w:cs="Arial"/>
          <w:color w:val="000000"/>
          <w:sz w:val="20"/>
          <w:lang w:val="en-GB"/>
        </w:rPr>
        <w:t xml:space="preserve"> </w:t>
      </w:r>
      <w:r w:rsidRPr="00492802">
        <w:rPr>
          <w:rFonts w:ascii="Arial" w:hAnsi="Arial" w:cs="Arial"/>
          <w:b/>
          <w:bCs/>
          <w:color w:val="000000"/>
          <w:sz w:val="20"/>
          <w:lang w:val="en-GB"/>
        </w:rPr>
        <w:t>108</w:t>
      </w:r>
      <w:r w:rsidRPr="00492802">
        <w:rPr>
          <w:rFonts w:ascii="Arial" w:hAnsi="Arial" w:cs="Arial"/>
          <w:color w:val="000000"/>
          <w:sz w:val="20"/>
          <w:lang w:val="en-GB"/>
        </w:rPr>
        <w:t>, 10591–10596 (2011).</w:t>
      </w:r>
    </w:p>
    <w:p w14:paraId="5B89B78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48. </w:t>
      </w:r>
      <w:r w:rsidRPr="00492802">
        <w:rPr>
          <w:rFonts w:ascii="Arial" w:hAnsi="Arial" w:cs="Arial"/>
          <w:color w:val="000000"/>
          <w:sz w:val="20"/>
          <w:lang w:val="en-GB"/>
        </w:rPr>
        <w:tab/>
        <w:t xml:space="preserve">G. Englund, G. Öhlund, C. L. Hein, S. Diehl, Temperature dependence of the functional response.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14</w:t>
      </w:r>
      <w:r w:rsidRPr="00492802">
        <w:rPr>
          <w:rFonts w:ascii="Arial" w:hAnsi="Arial" w:cs="Arial"/>
          <w:color w:val="000000"/>
          <w:sz w:val="20"/>
          <w:lang w:val="en-GB"/>
        </w:rPr>
        <w:t>, 914–921 (2011).</w:t>
      </w:r>
    </w:p>
    <w:p w14:paraId="4D52E22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49. </w:t>
      </w:r>
      <w:r w:rsidRPr="00492802">
        <w:rPr>
          <w:rFonts w:ascii="Arial" w:hAnsi="Arial" w:cs="Arial"/>
          <w:color w:val="000000"/>
          <w:sz w:val="20"/>
          <w:lang w:val="en-GB"/>
        </w:rPr>
        <w:tab/>
        <w:t xml:space="preserve">S. F. Uiterwaal, J. P. DeLong, Functional responses are maximized at intermediate temperatures.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101</w:t>
      </w:r>
      <w:r w:rsidRPr="00492802">
        <w:rPr>
          <w:rFonts w:ascii="Arial" w:hAnsi="Arial" w:cs="Arial"/>
          <w:color w:val="000000"/>
          <w:sz w:val="20"/>
          <w:lang w:val="en-GB"/>
        </w:rPr>
        <w:t>, e02975 (2020).</w:t>
      </w:r>
    </w:p>
    <w:p w14:paraId="7FBAD4C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50. </w:t>
      </w:r>
      <w:r w:rsidRPr="00492802">
        <w:rPr>
          <w:rFonts w:ascii="Arial" w:hAnsi="Arial" w:cs="Arial"/>
          <w:color w:val="000000"/>
          <w:sz w:val="20"/>
          <w:lang w:val="en-GB"/>
        </w:rPr>
        <w:tab/>
        <w:t>Xiaojun. Xie, Ruyung. Sun, The Bioenergetics of the Southern Catfish (</w:t>
      </w:r>
      <w:r w:rsidRPr="00492802">
        <w:rPr>
          <w:rFonts w:ascii="Arial" w:hAnsi="Arial" w:cs="Arial"/>
          <w:i/>
          <w:iCs/>
          <w:color w:val="000000"/>
          <w:sz w:val="20"/>
          <w:lang w:val="en-GB"/>
        </w:rPr>
        <w:t>Silurus meridionalis</w:t>
      </w:r>
      <w:r w:rsidRPr="00492802">
        <w:rPr>
          <w:rFonts w:ascii="Arial" w:hAnsi="Arial" w:cs="Arial"/>
          <w:color w:val="000000"/>
          <w:sz w:val="20"/>
          <w:lang w:val="en-GB"/>
        </w:rPr>
        <w:t xml:space="preserve"> Chen). I. Resting Metabolic Rate as a Function of Body Weight and Temperature. </w:t>
      </w:r>
      <w:r w:rsidRPr="00492802">
        <w:rPr>
          <w:rFonts w:ascii="Arial" w:hAnsi="Arial" w:cs="Arial"/>
          <w:i/>
          <w:iCs/>
          <w:color w:val="000000"/>
          <w:sz w:val="20"/>
          <w:lang w:val="en-GB"/>
        </w:rPr>
        <w:t>Physiological Zoology</w:t>
      </w:r>
      <w:r w:rsidRPr="00492802">
        <w:rPr>
          <w:rFonts w:ascii="Arial" w:hAnsi="Arial" w:cs="Arial"/>
          <w:color w:val="000000"/>
          <w:sz w:val="20"/>
          <w:lang w:val="en-GB"/>
        </w:rPr>
        <w:t xml:space="preserve"> </w:t>
      </w:r>
      <w:r w:rsidRPr="00492802">
        <w:rPr>
          <w:rFonts w:ascii="Arial" w:hAnsi="Arial" w:cs="Arial"/>
          <w:b/>
          <w:bCs/>
          <w:color w:val="000000"/>
          <w:sz w:val="20"/>
          <w:lang w:val="en-GB"/>
        </w:rPr>
        <w:t>63</w:t>
      </w:r>
      <w:r w:rsidRPr="00492802">
        <w:rPr>
          <w:rFonts w:ascii="Arial" w:hAnsi="Arial" w:cs="Arial"/>
          <w:color w:val="000000"/>
          <w:sz w:val="20"/>
          <w:lang w:val="en-GB"/>
        </w:rPr>
        <w:t>, 1181–1195 (1990).</w:t>
      </w:r>
    </w:p>
    <w:p w14:paraId="3D818B4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51. </w:t>
      </w:r>
      <w:r w:rsidRPr="00492802">
        <w:rPr>
          <w:rFonts w:ascii="Arial" w:hAnsi="Arial" w:cs="Arial"/>
          <w:color w:val="000000"/>
          <w:sz w:val="20"/>
          <w:lang w:val="en-GB"/>
        </w:rPr>
        <w:tab/>
        <w:t>B. García García, J. Cerezo Valverde, F. Aguado-Giménez, J. García García, M. D. Hernández, Effect of the interaction between body weight and temperature on growth and maximum daily food intake in sharpsnout sea bream (</w:t>
      </w:r>
      <w:r w:rsidRPr="00492802">
        <w:rPr>
          <w:rFonts w:ascii="Arial" w:hAnsi="Arial" w:cs="Arial"/>
          <w:i/>
          <w:iCs/>
          <w:color w:val="000000"/>
          <w:sz w:val="20"/>
          <w:lang w:val="en-GB"/>
        </w:rPr>
        <w:t>Diplodus puntazzo</w:t>
      </w:r>
      <w:r w:rsidRPr="00492802">
        <w:rPr>
          <w:rFonts w:ascii="Arial" w:hAnsi="Arial" w:cs="Arial"/>
          <w:color w:val="000000"/>
          <w:sz w:val="20"/>
          <w:lang w:val="en-GB"/>
        </w:rPr>
        <w:t xml:space="preserve">). </w:t>
      </w:r>
      <w:r w:rsidRPr="00492802">
        <w:rPr>
          <w:rFonts w:ascii="Arial" w:hAnsi="Arial" w:cs="Arial"/>
          <w:i/>
          <w:iCs/>
          <w:color w:val="000000"/>
          <w:sz w:val="20"/>
          <w:lang w:val="en-GB"/>
        </w:rPr>
        <w:t>Aquaculture International</w:t>
      </w:r>
      <w:r w:rsidRPr="00492802">
        <w:rPr>
          <w:rFonts w:ascii="Arial" w:hAnsi="Arial" w:cs="Arial"/>
          <w:color w:val="000000"/>
          <w:sz w:val="20"/>
          <w:lang w:val="en-GB"/>
        </w:rPr>
        <w:t xml:space="preserve"> </w:t>
      </w:r>
      <w:r w:rsidRPr="00492802">
        <w:rPr>
          <w:rFonts w:ascii="Arial" w:hAnsi="Arial" w:cs="Arial"/>
          <w:b/>
          <w:bCs/>
          <w:color w:val="000000"/>
          <w:sz w:val="20"/>
          <w:lang w:val="en-GB"/>
        </w:rPr>
        <w:t>19</w:t>
      </w:r>
      <w:r w:rsidRPr="00492802">
        <w:rPr>
          <w:rFonts w:ascii="Arial" w:hAnsi="Arial" w:cs="Arial"/>
          <w:color w:val="000000"/>
          <w:sz w:val="20"/>
          <w:lang w:val="en-GB"/>
        </w:rPr>
        <w:t>, 131–141 (2011).</w:t>
      </w:r>
    </w:p>
    <w:p w14:paraId="2DC899B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52. </w:t>
      </w:r>
      <w:r w:rsidRPr="00492802">
        <w:rPr>
          <w:rFonts w:ascii="Arial" w:hAnsi="Arial" w:cs="Arial"/>
          <w:color w:val="000000"/>
          <w:sz w:val="20"/>
          <w:lang w:val="en-GB"/>
        </w:rPr>
        <w:tab/>
        <w:t xml:space="preserve">J. Ohlberger, Thomas. Mehner, Georg. Staaks, Franz. Hölker, Intraspecific temperature dependence of the scaling of metabolic rate with body mass in fishes and its ecological implications. </w:t>
      </w:r>
      <w:r w:rsidRPr="00492802">
        <w:rPr>
          <w:rFonts w:ascii="Arial" w:hAnsi="Arial" w:cs="Arial"/>
          <w:i/>
          <w:iCs/>
          <w:color w:val="000000"/>
          <w:sz w:val="20"/>
          <w:lang w:val="en-GB"/>
        </w:rPr>
        <w:t>Oikos</w:t>
      </w:r>
      <w:r w:rsidRPr="00492802">
        <w:rPr>
          <w:rFonts w:ascii="Arial" w:hAnsi="Arial" w:cs="Arial"/>
          <w:color w:val="000000"/>
          <w:sz w:val="20"/>
          <w:lang w:val="en-GB"/>
        </w:rPr>
        <w:t xml:space="preserve"> </w:t>
      </w:r>
      <w:r w:rsidRPr="00492802">
        <w:rPr>
          <w:rFonts w:ascii="Arial" w:hAnsi="Arial" w:cs="Arial"/>
          <w:b/>
          <w:bCs/>
          <w:color w:val="000000"/>
          <w:sz w:val="20"/>
          <w:lang w:val="en-GB"/>
        </w:rPr>
        <w:t>121</w:t>
      </w:r>
      <w:r w:rsidRPr="00492802">
        <w:rPr>
          <w:rFonts w:ascii="Arial" w:hAnsi="Arial" w:cs="Arial"/>
          <w:color w:val="000000"/>
          <w:sz w:val="20"/>
          <w:lang w:val="en-GB"/>
        </w:rPr>
        <w:t>, 245–251 (2012).</w:t>
      </w:r>
    </w:p>
    <w:p w14:paraId="03BE4F3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53. </w:t>
      </w:r>
      <w:r w:rsidRPr="00492802">
        <w:rPr>
          <w:rFonts w:ascii="Arial" w:hAnsi="Arial" w:cs="Arial"/>
          <w:color w:val="000000"/>
          <w:sz w:val="20"/>
          <w:lang w:val="en-GB"/>
        </w:rPr>
        <w:tab/>
        <w:t xml:space="preserve">M. Lindmark, M. Huss, J. Ohlberger, A. Gårdmark, Temperature-dependent body size effects determine population responses to climate warming.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21</w:t>
      </w:r>
      <w:r w:rsidRPr="00492802">
        <w:rPr>
          <w:rFonts w:ascii="Arial" w:hAnsi="Arial" w:cs="Arial"/>
          <w:color w:val="000000"/>
          <w:sz w:val="20"/>
          <w:lang w:val="en-GB"/>
        </w:rPr>
        <w:t>, 181–189 (2018).</w:t>
      </w:r>
    </w:p>
    <w:p w14:paraId="36F2826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54. </w:t>
      </w:r>
      <w:r w:rsidRPr="00492802">
        <w:rPr>
          <w:rFonts w:ascii="Arial" w:hAnsi="Arial" w:cs="Arial"/>
          <w:color w:val="000000"/>
          <w:sz w:val="20"/>
          <w:lang w:val="en-GB"/>
        </w:rPr>
        <w:tab/>
        <w:t xml:space="preserve">R. M. Schoolfield, P. J. H. Sharpe, C. E. Magnuson, Non-linear regression of biological temperature-dependent rate models based on absolute reaction-rate theory. </w:t>
      </w:r>
      <w:r w:rsidRPr="00492802">
        <w:rPr>
          <w:rFonts w:ascii="Arial" w:hAnsi="Arial" w:cs="Arial"/>
          <w:i/>
          <w:iCs/>
          <w:color w:val="000000"/>
          <w:sz w:val="20"/>
          <w:lang w:val="en-GB"/>
        </w:rPr>
        <w:t>Journal of Theoretical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88</w:t>
      </w:r>
      <w:r w:rsidRPr="00492802">
        <w:rPr>
          <w:rFonts w:ascii="Arial" w:hAnsi="Arial" w:cs="Arial"/>
          <w:color w:val="000000"/>
          <w:sz w:val="20"/>
          <w:lang w:val="en-GB"/>
        </w:rPr>
        <w:t>, 719–731 (1981).</w:t>
      </w:r>
    </w:p>
    <w:p w14:paraId="10812F1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55. </w:t>
      </w:r>
      <w:r w:rsidRPr="00492802">
        <w:rPr>
          <w:rFonts w:ascii="Arial" w:hAnsi="Arial" w:cs="Arial"/>
          <w:color w:val="000000"/>
          <w:sz w:val="20"/>
          <w:lang w:val="en-GB"/>
        </w:rPr>
        <w:tab/>
        <w:t xml:space="preserve">D. Pauly, W. W. L. Cheung, On confusing cause and effect in the oxygen limitation of fish.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24</w:t>
      </w:r>
      <w:r w:rsidRPr="00492802">
        <w:rPr>
          <w:rFonts w:ascii="Arial" w:hAnsi="Arial" w:cs="Arial"/>
          <w:color w:val="000000"/>
          <w:sz w:val="20"/>
          <w:lang w:val="en-GB"/>
        </w:rPr>
        <w:t>, e743–e744 (2018).</w:t>
      </w:r>
    </w:p>
    <w:p w14:paraId="46F93DE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56. </w:t>
      </w:r>
      <w:r w:rsidRPr="00492802">
        <w:rPr>
          <w:rFonts w:ascii="Arial" w:hAnsi="Arial" w:cs="Arial"/>
          <w:color w:val="000000"/>
          <w:sz w:val="20"/>
          <w:lang w:val="en-GB"/>
        </w:rPr>
        <w:tab/>
        <w:t xml:space="preserve">N. P. Lemoine, D. E. Burkepile, Temperature-induced mismatches between consumption and metabolism reduce consumer fitness.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93</w:t>
      </w:r>
      <w:r w:rsidRPr="00492802">
        <w:rPr>
          <w:rFonts w:ascii="Arial" w:hAnsi="Arial" w:cs="Arial"/>
          <w:color w:val="000000"/>
          <w:sz w:val="20"/>
          <w:lang w:val="en-GB"/>
        </w:rPr>
        <w:t>, 2483–2489 (2012).</w:t>
      </w:r>
    </w:p>
    <w:p w14:paraId="62C7D27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57. </w:t>
      </w:r>
      <w:r w:rsidRPr="00492802">
        <w:rPr>
          <w:rFonts w:ascii="Arial" w:hAnsi="Arial" w:cs="Arial"/>
          <w:color w:val="000000"/>
          <w:sz w:val="20"/>
          <w:lang w:val="en-GB"/>
        </w:rPr>
        <w:tab/>
        <w:t>B. C. Rall, O. Vucic</w:t>
      </w:r>
      <w:r w:rsidRPr="00492802">
        <w:rPr>
          <w:rFonts w:ascii="Cambria Math" w:hAnsi="Cambria Math" w:cs="Cambria Math"/>
          <w:color w:val="000000"/>
          <w:sz w:val="20"/>
          <w:lang w:val="en-GB"/>
        </w:rPr>
        <w:t>‐</w:t>
      </w:r>
      <w:r w:rsidRPr="00492802">
        <w:rPr>
          <w:rFonts w:ascii="Arial" w:hAnsi="Arial" w:cs="Arial"/>
          <w:color w:val="000000"/>
          <w:sz w:val="20"/>
          <w:lang w:val="en-GB"/>
        </w:rPr>
        <w:t xml:space="preserve">Pestic, R. B. Ehnes, M. Emmerson, U. Brose, Temperature, predator–prey interaction strength and population stability.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16</w:t>
      </w:r>
      <w:r w:rsidRPr="00492802">
        <w:rPr>
          <w:rFonts w:ascii="Arial" w:hAnsi="Arial" w:cs="Arial"/>
          <w:color w:val="000000"/>
          <w:sz w:val="20"/>
          <w:lang w:val="en-GB"/>
        </w:rPr>
        <w:t>, 2145–2157 (2010).</w:t>
      </w:r>
    </w:p>
    <w:p w14:paraId="26E2882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58. </w:t>
      </w:r>
      <w:r w:rsidRPr="00492802">
        <w:rPr>
          <w:rFonts w:ascii="Arial" w:hAnsi="Arial" w:cs="Arial"/>
          <w:color w:val="000000"/>
          <w:sz w:val="20"/>
          <w:lang w:val="en-GB"/>
        </w:rPr>
        <w:tab/>
        <w:t xml:space="preserve">M. J. Angilletta, A. E. Dunham, The temperature-size rule in ectotherms: simple evolutionary explanations may not be general.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162</w:t>
      </w:r>
      <w:r w:rsidRPr="00492802">
        <w:rPr>
          <w:rFonts w:ascii="Arial" w:hAnsi="Arial" w:cs="Arial"/>
          <w:color w:val="000000"/>
          <w:sz w:val="20"/>
          <w:lang w:val="en-GB"/>
        </w:rPr>
        <w:t>, 332–342 (2003).</w:t>
      </w:r>
    </w:p>
    <w:p w14:paraId="5B8F423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59. </w:t>
      </w:r>
      <w:r w:rsidRPr="00492802">
        <w:rPr>
          <w:rFonts w:ascii="Arial" w:hAnsi="Arial" w:cs="Arial"/>
          <w:color w:val="000000"/>
          <w:sz w:val="20"/>
          <w:lang w:val="en-GB"/>
        </w:rPr>
        <w:tab/>
        <w:t xml:space="preserve">D. A. Vasseur, K. S. McCann, A mechanistic approach for modelling temperature-dependent consumer-resource dynamics.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166</w:t>
      </w:r>
      <w:r w:rsidRPr="00492802">
        <w:rPr>
          <w:rFonts w:ascii="Arial" w:hAnsi="Arial" w:cs="Arial"/>
          <w:color w:val="000000"/>
          <w:sz w:val="20"/>
          <w:lang w:val="en-GB"/>
        </w:rPr>
        <w:t>, 184–198 (2005).</w:t>
      </w:r>
    </w:p>
    <w:p w14:paraId="21EB712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60. </w:t>
      </w:r>
      <w:r w:rsidRPr="00492802">
        <w:rPr>
          <w:rFonts w:ascii="Arial" w:hAnsi="Arial" w:cs="Arial"/>
          <w:color w:val="000000"/>
          <w:sz w:val="20"/>
          <w:lang w:val="en-GB"/>
        </w:rPr>
        <w:tab/>
        <w:t xml:space="preserve">K. E. Fussmann, F. Schwarzmüller, U. Brose, A. Jousset, B. C. Rall, Ecological stability in response to warming. </w:t>
      </w:r>
      <w:r w:rsidRPr="00492802">
        <w:rPr>
          <w:rFonts w:ascii="Arial" w:hAnsi="Arial" w:cs="Arial"/>
          <w:i/>
          <w:iCs/>
          <w:color w:val="000000"/>
          <w:sz w:val="20"/>
          <w:lang w:val="en-GB"/>
        </w:rPr>
        <w:t>Nature Climate Change</w:t>
      </w:r>
      <w:r w:rsidRPr="00492802">
        <w:rPr>
          <w:rFonts w:ascii="Arial" w:hAnsi="Arial" w:cs="Arial"/>
          <w:color w:val="000000"/>
          <w:sz w:val="20"/>
          <w:lang w:val="en-GB"/>
        </w:rPr>
        <w:t xml:space="preserve"> </w:t>
      </w:r>
      <w:r w:rsidRPr="00492802">
        <w:rPr>
          <w:rFonts w:ascii="Arial" w:hAnsi="Arial" w:cs="Arial"/>
          <w:b/>
          <w:bCs/>
          <w:color w:val="000000"/>
          <w:sz w:val="20"/>
          <w:lang w:val="en-GB"/>
        </w:rPr>
        <w:t>4</w:t>
      </w:r>
      <w:r w:rsidRPr="00492802">
        <w:rPr>
          <w:rFonts w:ascii="Arial" w:hAnsi="Arial" w:cs="Arial"/>
          <w:color w:val="000000"/>
          <w:sz w:val="20"/>
          <w:lang w:val="en-GB"/>
        </w:rPr>
        <w:t>, 206–210 (2014).</w:t>
      </w:r>
    </w:p>
    <w:p w14:paraId="60618C3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61. </w:t>
      </w:r>
      <w:r w:rsidRPr="00492802">
        <w:rPr>
          <w:rFonts w:ascii="Arial" w:hAnsi="Arial" w:cs="Arial"/>
          <w:color w:val="000000"/>
          <w:sz w:val="20"/>
          <w:lang w:val="en-GB"/>
        </w:rPr>
        <w:tab/>
        <w:t>M. Lindmark, J. Ohlberger, M. Huss, A. Gårdmark, Size</w:t>
      </w:r>
      <w:r w:rsidRPr="00492802">
        <w:rPr>
          <w:rFonts w:ascii="Cambria Math" w:hAnsi="Cambria Math" w:cs="Cambria Math"/>
          <w:color w:val="000000"/>
          <w:sz w:val="20"/>
          <w:lang w:val="en-GB"/>
        </w:rPr>
        <w:t>‐</w:t>
      </w:r>
      <w:r w:rsidRPr="00492802">
        <w:rPr>
          <w:rFonts w:ascii="Arial" w:hAnsi="Arial" w:cs="Arial"/>
          <w:color w:val="000000"/>
          <w:sz w:val="20"/>
          <w:lang w:val="en-GB"/>
        </w:rPr>
        <w:t xml:space="preserve">based ecological interactions drive food web responses to climate warming.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22</w:t>
      </w:r>
      <w:r w:rsidRPr="00492802">
        <w:rPr>
          <w:rFonts w:ascii="Arial" w:hAnsi="Arial" w:cs="Arial"/>
          <w:color w:val="000000"/>
          <w:sz w:val="20"/>
          <w:lang w:val="en-GB"/>
        </w:rPr>
        <w:t>, 778–786 (2019).</w:t>
      </w:r>
    </w:p>
    <w:p w14:paraId="194DBF2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62. </w:t>
      </w:r>
      <w:r w:rsidRPr="00492802">
        <w:rPr>
          <w:rFonts w:ascii="Arial" w:hAnsi="Arial" w:cs="Arial"/>
          <w:color w:val="000000"/>
          <w:sz w:val="20"/>
          <w:lang w:val="en-GB"/>
        </w:rPr>
        <w:tab/>
        <w:t>J. Wyban, W. A. Walsh, D. M. Godin, Temperature effects on growth, feeding rate and feed conversion of the Pacific white shrimp (</w:t>
      </w:r>
      <w:r w:rsidRPr="00492802">
        <w:rPr>
          <w:rFonts w:ascii="Arial" w:hAnsi="Arial" w:cs="Arial"/>
          <w:i/>
          <w:iCs/>
          <w:color w:val="000000"/>
          <w:sz w:val="20"/>
          <w:lang w:val="en-GB"/>
        </w:rPr>
        <w:t>Penaeus vannamei</w:t>
      </w:r>
      <w:r w:rsidRPr="00492802">
        <w:rPr>
          <w:rFonts w:ascii="Arial" w:hAnsi="Arial" w:cs="Arial"/>
          <w:color w:val="000000"/>
          <w:sz w:val="20"/>
          <w:lang w:val="en-GB"/>
        </w:rPr>
        <w:t xml:space="preserve">).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138</w:t>
      </w:r>
      <w:r w:rsidRPr="00492802">
        <w:rPr>
          <w:rFonts w:ascii="Arial" w:hAnsi="Arial" w:cs="Arial"/>
          <w:color w:val="000000"/>
          <w:sz w:val="20"/>
          <w:lang w:val="en-GB"/>
        </w:rPr>
        <w:t>, 267–279 (1995).</w:t>
      </w:r>
    </w:p>
    <w:p w14:paraId="56ABF1F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63. </w:t>
      </w:r>
      <w:r w:rsidRPr="00492802">
        <w:rPr>
          <w:rFonts w:ascii="Arial" w:hAnsi="Arial" w:cs="Arial"/>
          <w:color w:val="000000"/>
          <w:sz w:val="20"/>
          <w:lang w:val="en-GB"/>
        </w:rPr>
        <w:tab/>
        <w:t xml:space="preserve">V. E. Panov, D. J. McQueen, Effects of temperature on individual growth rate and body size of a freshwater amphipod. </w:t>
      </w:r>
      <w:r w:rsidRPr="00492802">
        <w:rPr>
          <w:rFonts w:ascii="Arial" w:hAnsi="Arial" w:cs="Arial"/>
          <w:b/>
          <w:bCs/>
          <w:color w:val="000000"/>
          <w:sz w:val="20"/>
          <w:lang w:val="en-GB"/>
        </w:rPr>
        <w:t>76</w:t>
      </w:r>
      <w:r w:rsidRPr="00492802">
        <w:rPr>
          <w:rFonts w:ascii="Arial" w:hAnsi="Arial" w:cs="Arial"/>
          <w:color w:val="000000"/>
          <w:sz w:val="20"/>
          <w:lang w:val="en-GB"/>
        </w:rPr>
        <w:t>, 1107–1116 (1998).</w:t>
      </w:r>
    </w:p>
    <w:p w14:paraId="1D6EA20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64. </w:t>
      </w:r>
      <w:r w:rsidRPr="00492802">
        <w:rPr>
          <w:rFonts w:ascii="Arial" w:hAnsi="Arial" w:cs="Arial"/>
          <w:color w:val="000000"/>
          <w:sz w:val="20"/>
          <w:lang w:val="en-GB"/>
        </w:rPr>
        <w:tab/>
        <w:t>A. Steinarsson, A. K. Imsland, Size dependent variation in optimum growth temperature of red abalone (</w:t>
      </w:r>
      <w:r w:rsidRPr="00492802">
        <w:rPr>
          <w:rFonts w:ascii="Arial" w:hAnsi="Arial" w:cs="Arial"/>
          <w:i/>
          <w:iCs/>
          <w:color w:val="000000"/>
          <w:sz w:val="20"/>
          <w:lang w:val="en-GB"/>
        </w:rPr>
        <w:t>Haliotis rufescens</w:t>
      </w:r>
      <w:r w:rsidRPr="00492802">
        <w:rPr>
          <w:rFonts w:ascii="Arial" w:hAnsi="Arial" w:cs="Arial"/>
          <w:color w:val="000000"/>
          <w:sz w:val="20"/>
          <w:lang w:val="en-GB"/>
        </w:rPr>
        <w:t xml:space="preserve">).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224</w:t>
      </w:r>
      <w:r w:rsidRPr="00492802">
        <w:rPr>
          <w:rFonts w:ascii="Arial" w:hAnsi="Arial" w:cs="Arial"/>
          <w:color w:val="000000"/>
          <w:sz w:val="20"/>
          <w:lang w:val="en-GB"/>
        </w:rPr>
        <w:t>, 353–362 (2003).</w:t>
      </w:r>
    </w:p>
    <w:p w14:paraId="384A550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65. </w:t>
      </w:r>
      <w:r w:rsidRPr="00492802">
        <w:rPr>
          <w:rFonts w:ascii="Arial" w:hAnsi="Arial" w:cs="Arial"/>
          <w:color w:val="000000"/>
          <w:sz w:val="20"/>
          <w:lang w:val="en-GB"/>
        </w:rPr>
        <w:tab/>
        <w:t>B. Björnsson, A. Steinarsson, T. Árnason, Growth model for Atlantic cod (</w:t>
      </w:r>
      <w:r w:rsidRPr="00492802">
        <w:rPr>
          <w:rFonts w:ascii="Arial" w:hAnsi="Arial" w:cs="Arial"/>
          <w:i/>
          <w:iCs/>
          <w:color w:val="000000"/>
          <w:sz w:val="20"/>
          <w:lang w:val="en-GB"/>
        </w:rPr>
        <w:t>Gadus morhua</w:t>
      </w:r>
      <w:r w:rsidRPr="00492802">
        <w:rPr>
          <w:rFonts w:ascii="Arial" w:hAnsi="Arial" w:cs="Arial"/>
          <w:color w:val="000000"/>
          <w:sz w:val="20"/>
          <w:lang w:val="en-GB"/>
        </w:rPr>
        <w:t xml:space="preserve">): Effects of temperature and body weight on growth rate.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271</w:t>
      </w:r>
      <w:r w:rsidRPr="00492802">
        <w:rPr>
          <w:rFonts w:ascii="Arial" w:hAnsi="Arial" w:cs="Arial"/>
          <w:color w:val="000000"/>
          <w:sz w:val="20"/>
          <w:lang w:val="en-GB"/>
        </w:rPr>
        <w:t>, 216–226 (2007).</w:t>
      </w:r>
    </w:p>
    <w:p w14:paraId="16AC1A9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66. </w:t>
      </w:r>
      <w:r w:rsidRPr="00492802">
        <w:rPr>
          <w:rFonts w:ascii="Arial" w:hAnsi="Arial" w:cs="Arial"/>
          <w:color w:val="000000"/>
          <w:sz w:val="20"/>
          <w:lang w:val="en-GB"/>
        </w:rPr>
        <w:tab/>
        <w:t xml:space="preserve">S. O. Handeland, A. K. Imsland, S. O. Stefansson, The effect of temperature and fish size on growth, feed intake, food conversion efficiency and stomach evacuation rate of Atlantic salmon post-smolts. </w:t>
      </w:r>
      <w:r w:rsidRPr="00492802">
        <w:rPr>
          <w:rFonts w:ascii="Arial" w:hAnsi="Arial" w:cs="Arial"/>
          <w:i/>
          <w:iCs/>
          <w:color w:val="000000"/>
          <w:sz w:val="20"/>
          <w:lang w:val="en-GB"/>
        </w:rPr>
        <w:t>Aquaculture</w:t>
      </w:r>
      <w:r w:rsidRPr="00492802">
        <w:rPr>
          <w:rFonts w:ascii="Arial" w:hAnsi="Arial" w:cs="Arial"/>
          <w:color w:val="000000"/>
          <w:sz w:val="20"/>
          <w:lang w:val="en-GB"/>
        </w:rPr>
        <w:t xml:space="preserve"> </w:t>
      </w:r>
      <w:r w:rsidRPr="00492802">
        <w:rPr>
          <w:rFonts w:ascii="Arial" w:hAnsi="Arial" w:cs="Arial"/>
          <w:b/>
          <w:bCs/>
          <w:color w:val="000000"/>
          <w:sz w:val="20"/>
          <w:lang w:val="en-GB"/>
        </w:rPr>
        <w:t>283</w:t>
      </w:r>
      <w:r w:rsidRPr="00492802">
        <w:rPr>
          <w:rFonts w:ascii="Arial" w:hAnsi="Arial" w:cs="Arial"/>
          <w:color w:val="000000"/>
          <w:sz w:val="20"/>
          <w:lang w:val="en-GB"/>
        </w:rPr>
        <w:t>, 36–42 (2008).</w:t>
      </w:r>
    </w:p>
    <w:p w14:paraId="6385367F"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67. </w:t>
      </w:r>
      <w:r w:rsidRPr="00492802">
        <w:rPr>
          <w:rFonts w:ascii="Arial" w:hAnsi="Arial" w:cs="Arial"/>
          <w:color w:val="000000"/>
          <w:sz w:val="20"/>
          <w:lang w:val="en-GB"/>
        </w:rPr>
        <w:tab/>
        <w:t xml:space="preserve">J. R. Brett, J. E. Shelbourn, C. T. Shoop, Growth rate and body composition of fingerling sockeye salmon, </w:t>
      </w:r>
      <w:r w:rsidRPr="00492802">
        <w:rPr>
          <w:rFonts w:ascii="Arial" w:hAnsi="Arial" w:cs="Arial"/>
          <w:i/>
          <w:iCs/>
          <w:color w:val="000000"/>
          <w:sz w:val="20"/>
          <w:lang w:val="en-GB"/>
        </w:rPr>
        <w:t>Oncorhynchus nerka</w:t>
      </w:r>
      <w:r w:rsidRPr="00492802">
        <w:rPr>
          <w:rFonts w:ascii="Arial" w:hAnsi="Arial" w:cs="Arial"/>
          <w:color w:val="000000"/>
          <w:sz w:val="20"/>
          <w:lang w:val="en-GB"/>
        </w:rPr>
        <w:t xml:space="preserve">, in relation to temperature and ration size. </w:t>
      </w:r>
      <w:r w:rsidRPr="00492802">
        <w:rPr>
          <w:rFonts w:ascii="Arial" w:hAnsi="Arial" w:cs="Arial"/>
          <w:i/>
          <w:iCs/>
          <w:color w:val="000000"/>
          <w:sz w:val="20"/>
          <w:lang w:val="en-GB"/>
        </w:rPr>
        <w:t>J. Fish. Res. Bd. Can.</w:t>
      </w:r>
      <w:r w:rsidRPr="00492802">
        <w:rPr>
          <w:rFonts w:ascii="Arial" w:hAnsi="Arial" w:cs="Arial"/>
          <w:color w:val="000000"/>
          <w:sz w:val="20"/>
          <w:lang w:val="en-GB"/>
        </w:rPr>
        <w:t xml:space="preserve"> </w:t>
      </w:r>
      <w:r w:rsidRPr="00492802">
        <w:rPr>
          <w:rFonts w:ascii="Arial" w:hAnsi="Arial" w:cs="Arial"/>
          <w:b/>
          <w:bCs/>
          <w:color w:val="000000"/>
          <w:sz w:val="20"/>
          <w:lang w:val="en-GB"/>
        </w:rPr>
        <w:t>26</w:t>
      </w:r>
      <w:r w:rsidRPr="00492802">
        <w:rPr>
          <w:rFonts w:ascii="Arial" w:hAnsi="Arial" w:cs="Arial"/>
          <w:color w:val="000000"/>
          <w:sz w:val="20"/>
          <w:lang w:val="en-GB"/>
        </w:rPr>
        <w:t>, 2363–2394 (1969).</w:t>
      </w:r>
    </w:p>
    <w:p w14:paraId="08889AF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68. </w:t>
      </w:r>
      <w:r w:rsidRPr="00492802">
        <w:rPr>
          <w:rFonts w:ascii="Arial" w:hAnsi="Arial" w:cs="Arial"/>
          <w:color w:val="000000"/>
          <w:sz w:val="20"/>
          <w:lang w:val="en-GB"/>
        </w:rPr>
        <w:tab/>
        <w:t xml:space="preserve">J. M. Elliott, M. A. Hurley, The functional relationship between body size and growth rate in fish. </w:t>
      </w:r>
      <w:r w:rsidRPr="00492802">
        <w:rPr>
          <w:rFonts w:ascii="Arial" w:hAnsi="Arial" w:cs="Arial"/>
          <w:i/>
          <w:iCs/>
          <w:color w:val="000000"/>
          <w:sz w:val="20"/>
          <w:lang w:val="en-GB"/>
        </w:rPr>
        <w:t>Functional Ecology</w:t>
      </w:r>
      <w:r w:rsidRPr="00492802">
        <w:rPr>
          <w:rFonts w:ascii="Arial" w:hAnsi="Arial" w:cs="Arial"/>
          <w:color w:val="000000"/>
          <w:sz w:val="20"/>
          <w:lang w:val="en-GB"/>
        </w:rPr>
        <w:t xml:space="preserve"> </w:t>
      </w:r>
      <w:r w:rsidRPr="00492802">
        <w:rPr>
          <w:rFonts w:ascii="Arial" w:hAnsi="Arial" w:cs="Arial"/>
          <w:b/>
          <w:bCs/>
          <w:color w:val="000000"/>
          <w:sz w:val="20"/>
          <w:lang w:val="en-GB"/>
        </w:rPr>
        <w:t>9</w:t>
      </w:r>
      <w:r w:rsidRPr="00492802">
        <w:rPr>
          <w:rFonts w:ascii="Arial" w:hAnsi="Arial" w:cs="Arial"/>
          <w:color w:val="000000"/>
          <w:sz w:val="20"/>
          <w:lang w:val="en-GB"/>
        </w:rPr>
        <w:t>, 625 (1995).</w:t>
      </w:r>
    </w:p>
    <w:p w14:paraId="7BAD3CEE"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69. </w:t>
      </w:r>
      <w:r w:rsidRPr="00492802">
        <w:rPr>
          <w:rFonts w:ascii="Arial" w:hAnsi="Arial" w:cs="Arial"/>
          <w:color w:val="000000"/>
          <w:sz w:val="20"/>
          <w:lang w:val="en-GB"/>
        </w:rPr>
        <w:tab/>
        <w:t xml:space="preserve">D. R. Barneche, D. R. Robertson, C. R. White, D. J. Marshall, Fish reproductive-energy output increases disproportionately with body size. </w:t>
      </w:r>
      <w:r w:rsidRPr="00492802">
        <w:rPr>
          <w:rFonts w:ascii="Arial" w:hAnsi="Arial" w:cs="Arial"/>
          <w:i/>
          <w:iCs/>
          <w:color w:val="000000"/>
          <w:sz w:val="20"/>
          <w:lang w:val="en-GB"/>
        </w:rPr>
        <w:t>Science</w:t>
      </w:r>
      <w:r w:rsidRPr="00492802">
        <w:rPr>
          <w:rFonts w:ascii="Arial" w:hAnsi="Arial" w:cs="Arial"/>
          <w:color w:val="000000"/>
          <w:sz w:val="20"/>
          <w:lang w:val="en-GB"/>
        </w:rPr>
        <w:t xml:space="preserve"> </w:t>
      </w:r>
      <w:r w:rsidRPr="00492802">
        <w:rPr>
          <w:rFonts w:ascii="Arial" w:hAnsi="Arial" w:cs="Arial"/>
          <w:b/>
          <w:bCs/>
          <w:color w:val="000000"/>
          <w:sz w:val="20"/>
          <w:lang w:val="en-GB"/>
        </w:rPr>
        <w:t>360</w:t>
      </w:r>
      <w:r w:rsidRPr="00492802">
        <w:rPr>
          <w:rFonts w:ascii="Arial" w:hAnsi="Arial" w:cs="Arial"/>
          <w:color w:val="000000"/>
          <w:sz w:val="20"/>
          <w:lang w:val="en-GB"/>
        </w:rPr>
        <w:t>, 642–645 (2018).</w:t>
      </w:r>
    </w:p>
    <w:p w14:paraId="400782C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70. </w:t>
      </w:r>
      <w:r w:rsidRPr="00492802">
        <w:rPr>
          <w:rFonts w:ascii="Arial" w:hAnsi="Arial" w:cs="Arial"/>
          <w:color w:val="000000"/>
          <w:sz w:val="20"/>
          <w:lang w:val="en-GB"/>
        </w:rPr>
        <w:tab/>
        <w:t xml:space="preserve">K. Lorenzen, The relationship between body weight and natural mortality in juvenile and adult fish: a comparison of natural ecosystems and aquaculture. </w:t>
      </w:r>
      <w:r w:rsidRPr="00492802">
        <w:rPr>
          <w:rFonts w:ascii="Arial" w:hAnsi="Arial" w:cs="Arial"/>
          <w:i/>
          <w:iCs/>
          <w:color w:val="000000"/>
          <w:sz w:val="20"/>
          <w:lang w:val="en-GB"/>
        </w:rPr>
        <w:t>Journal of Fish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49</w:t>
      </w:r>
      <w:r w:rsidRPr="00492802">
        <w:rPr>
          <w:rFonts w:ascii="Arial" w:hAnsi="Arial" w:cs="Arial"/>
          <w:color w:val="000000"/>
          <w:sz w:val="20"/>
          <w:lang w:val="en-GB"/>
        </w:rPr>
        <w:t>, 627–642 (1996).</w:t>
      </w:r>
    </w:p>
    <w:p w14:paraId="7B31D48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71. </w:t>
      </w:r>
      <w:r w:rsidRPr="00492802">
        <w:rPr>
          <w:rFonts w:ascii="Arial" w:hAnsi="Arial" w:cs="Arial"/>
          <w:color w:val="000000"/>
          <w:sz w:val="20"/>
          <w:lang w:val="en-GB"/>
        </w:rPr>
        <w:tab/>
        <w:t xml:space="preserve">R. B. Huey, J. G. Kingsolver, Climate warming, resource availability, and the metabolic meltdown of ectotherms.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194</w:t>
      </w:r>
      <w:r w:rsidRPr="00492802">
        <w:rPr>
          <w:rFonts w:ascii="Arial" w:hAnsi="Arial" w:cs="Arial"/>
          <w:color w:val="000000"/>
          <w:sz w:val="20"/>
          <w:lang w:val="en-GB"/>
        </w:rPr>
        <w:t>, E140–E150 (2019).</w:t>
      </w:r>
    </w:p>
    <w:p w14:paraId="41B41C8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72. </w:t>
      </w:r>
      <w:r w:rsidRPr="00492802">
        <w:rPr>
          <w:rFonts w:ascii="Arial" w:hAnsi="Arial" w:cs="Arial"/>
          <w:color w:val="000000"/>
          <w:sz w:val="20"/>
          <w:lang w:val="en-GB"/>
        </w:rPr>
        <w:tab/>
        <w:t xml:space="preserve">S. Neuenfeldt, </w:t>
      </w:r>
      <w:r w:rsidRPr="00492802">
        <w:rPr>
          <w:rFonts w:ascii="Arial" w:hAnsi="Arial" w:cs="Arial"/>
          <w:i/>
          <w:iCs/>
          <w:color w:val="000000"/>
          <w:sz w:val="20"/>
          <w:lang w:val="en-GB"/>
        </w:rPr>
        <w:t>et al.</w:t>
      </w:r>
      <w:r w:rsidRPr="00492802">
        <w:rPr>
          <w:rFonts w:ascii="Arial" w:hAnsi="Arial" w:cs="Arial"/>
          <w:color w:val="000000"/>
          <w:sz w:val="20"/>
          <w:lang w:val="en-GB"/>
        </w:rPr>
        <w:t>, Feeding and growth of Atlantic cod (</w:t>
      </w:r>
      <w:r w:rsidRPr="00492802">
        <w:rPr>
          <w:rFonts w:ascii="Arial" w:hAnsi="Arial" w:cs="Arial"/>
          <w:i/>
          <w:iCs/>
          <w:color w:val="000000"/>
          <w:sz w:val="20"/>
          <w:lang w:val="en-GB"/>
        </w:rPr>
        <w:t>Gadus morhua</w:t>
      </w:r>
      <w:r w:rsidRPr="00492802">
        <w:rPr>
          <w:rFonts w:ascii="Arial" w:hAnsi="Arial" w:cs="Arial"/>
          <w:color w:val="000000"/>
          <w:sz w:val="20"/>
          <w:lang w:val="en-GB"/>
        </w:rPr>
        <w:t xml:space="preserve"> L.) in the eastern Baltic Sea under environmental change. </w:t>
      </w:r>
      <w:r w:rsidRPr="00492802">
        <w:rPr>
          <w:rFonts w:ascii="Arial" w:hAnsi="Arial" w:cs="Arial"/>
          <w:i/>
          <w:iCs/>
          <w:color w:val="000000"/>
          <w:sz w:val="20"/>
          <w:lang w:val="en-GB"/>
        </w:rPr>
        <w:t>ICES Journal of Marine Science</w:t>
      </w:r>
      <w:r w:rsidRPr="00492802">
        <w:rPr>
          <w:rFonts w:ascii="Arial" w:hAnsi="Arial" w:cs="Arial"/>
          <w:color w:val="000000"/>
          <w:sz w:val="20"/>
          <w:lang w:val="en-GB"/>
        </w:rPr>
        <w:t xml:space="preserve"> </w:t>
      </w:r>
      <w:r w:rsidRPr="00492802">
        <w:rPr>
          <w:rFonts w:ascii="Arial" w:hAnsi="Arial" w:cs="Arial"/>
          <w:b/>
          <w:bCs/>
          <w:color w:val="000000"/>
          <w:sz w:val="20"/>
          <w:lang w:val="en-GB"/>
        </w:rPr>
        <w:t>77</w:t>
      </w:r>
      <w:r w:rsidRPr="00492802">
        <w:rPr>
          <w:rFonts w:ascii="Arial" w:hAnsi="Arial" w:cs="Arial"/>
          <w:color w:val="000000"/>
          <w:sz w:val="20"/>
          <w:lang w:val="en-GB"/>
        </w:rPr>
        <w:t>, 624–632 (2020).</w:t>
      </w:r>
    </w:p>
    <w:p w14:paraId="35B687A9"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73. </w:t>
      </w:r>
      <w:r w:rsidRPr="00492802">
        <w:rPr>
          <w:rFonts w:ascii="Arial" w:hAnsi="Arial" w:cs="Arial"/>
          <w:color w:val="000000"/>
          <w:sz w:val="20"/>
          <w:lang w:val="en-GB"/>
        </w:rPr>
        <w:tab/>
        <w:t xml:space="preserve">J. Ohlberger, E. Edeline, L. A. Vollestad, N. C. Stenseth, D. Claessen, Temperature-driven regime shifts in the dynamics of size-structured populations. </w:t>
      </w:r>
      <w:r w:rsidRPr="00492802">
        <w:rPr>
          <w:rFonts w:ascii="Arial" w:hAnsi="Arial" w:cs="Arial"/>
          <w:i/>
          <w:iCs/>
          <w:color w:val="000000"/>
          <w:sz w:val="20"/>
          <w:lang w:val="en-GB"/>
        </w:rPr>
        <w:t>The American Naturalist</w:t>
      </w:r>
      <w:r w:rsidRPr="00492802">
        <w:rPr>
          <w:rFonts w:ascii="Arial" w:hAnsi="Arial" w:cs="Arial"/>
          <w:color w:val="000000"/>
          <w:sz w:val="20"/>
          <w:lang w:val="en-GB"/>
        </w:rPr>
        <w:t xml:space="preserve"> </w:t>
      </w:r>
      <w:r w:rsidRPr="00492802">
        <w:rPr>
          <w:rFonts w:ascii="Arial" w:hAnsi="Arial" w:cs="Arial"/>
          <w:b/>
          <w:bCs/>
          <w:color w:val="000000"/>
          <w:sz w:val="20"/>
          <w:lang w:val="en-GB"/>
        </w:rPr>
        <w:t>177</w:t>
      </w:r>
      <w:r w:rsidRPr="00492802">
        <w:rPr>
          <w:rFonts w:ascii="Arial" w:hAnsi="Arial" w:cs="Arial"/>
          <w:color w:val="000000"/>
          <w:sz w:val="20"/>
          <w:lang w:val="en-GB"/>
        </w:rPr>
        <w:t>, 211–223 (2011).</w:t>
      </w:r>
    </w:p>
    <w:p w14:paraId="367F2F7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74. </w:t>
      </w:r>
      <w:r w:rsidRPr="00492802">
        <w:rPr>
          <w:rFonts w:ascii="Arial" w:hAnsi="Arial" w:cs="Arial"/>
          <w:color w:val="000000"/>
          <w:sz w:val="20"/>
          <w:lang w:val="en-GB"/>
        </w:rPr>
        <w:tab/>
        <w:t>J. R. Brett, Energetic responses of salmon to temperature. A study of some thermal relations in the physiology and freshwater ecology of sockeye salmon (</w:t>
      </w:r>
      <w:r w:rsidRPr="00492802">
        <w:rPr>
          <w:rFonts w:ascii="Arial" w:hAnsi="Arial" w:cs="Arial"/>
          <w:i/>
          <w:iCs/>
          <w:color w:val="000000"/>
          <w:sz w:val="20"/>
          <w:lang w:val="en-GB"/>
        </w:rPr>
        <w:t>Oncorhynchus nerka</w:t>
      </w:r>
      <w:r w:rsidRPr="00492802">
        <w:rPr>
          <w:rFonts w:ascii="Arial" w:hAnsi="Arial" w:cs="Arial"/>
          <w:color w:val="000000"/>
          <w:sz w:val="20"/>
          <w:lang w:val="en-GB"/>
        </w:rPr>
        <w:t xml:space="preserve">). </w:t>
      </w:r>
      <w:r w:rsidRPr="00492802">
        <w:rPr>
          <w:rFonts w:ascii="Arial" w:hAnsi="Arial" w:cs="Arial"/>
          <w:i/>
          <w:iCs/>
          <w:color w:val="000000"/>
          <w:sz w:val="20"/>
          <w:lang w:val="en-GB"/>
        </w:rPr>
        <w:t>Integr Comp Biol</w:t>
      </w:r>
      <w:r w:rsidRPr="00492802">
        <w:rPr>
          <w:rFonts w:ascii="Arial" w:hAnsi="Arial" w:cs="Arial"/>
          <w:color w:val="000000"/>
          <w:sz w:val="20"/>
          <w:lang w:val="en-GB"/>
        </w:rPr>
        <w:t xml:space="preserve"> </w:t>
      </w:r>
      <w:r w:rsidRPr="00492802">
        <w:rPr>
          <w:rFonts w:ascii="Arial" w:hAnsi="Arial" w:cs="Arial"/>
          <w:b/>
          <w:bCs/>
          <w:color w:val="000000"/>
          <w:sz w:val="20"/>
          <w:lang w:val="en-GB"/>
        </w:rPr>
        <w:t>11</w:t>
      </w:r>
      <w:r w:rsidRPr="00492802">
        <w:rPr>
          <w:rFonts w:ascii="Arial" w:hAnsi="Arial" w:cs="Arial"/>
          <w:color w:val="000000"/>
          <w:sz w:val="20"/>
          <w:lang w:val="en-GB"/>
        </w:rPr>
        <w:t>, 99–113 (1971).</w:t>
      </w:r>
    </w:p>
    <w:p w14:paraId="484CD69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75. </w:t>
      </w:r>
      <w:r w:rsidRPr="00492802">
        <w:rPr>
          <w:rFonts w:ascii="Arial" w:hAnsi="Arial" w:cs="Arial"/>
          <w:color w:val="000000"/>
          <w:sz w:val="20"/>
          <w:lang w:val="en-GB"/>
        </w:rPr>
        <w:tab/>
        <w:t xml:space="preserve">E. E. Werner, D. J. Hall, Ontogenetic habitat shifts in bluegill: The foraging rate-predation risk trade-off. </w:t>
      </w:r>
      <w:r w:rsidRPr="00492802">
        <w:rPr>
          <w:rFonts w:ascii="Arial" w:hAnsi="Arial" w:cs="Arial"/>
          <w:i/>
          <w:iCs/>
          <w:color w:val="000000"/>
          <w:sz w:val="20"/>
          <w:lang w:val="en-GB"/>
        </w:rPr>
        <w:t>Ecology</w:t>
      </w:r>
      <w:r w:rsidRPr="00492802">
        <w:rPr>
          <w:rFonts w:ascii="Arial" w:hAnsi="Arial" w:cs="Arial"/>
          <w:color w:val="000000"/>
          <w:sz w:val="20"/>
          <w:lang w:val="en-GB"/>
        </w:rPr>
        <w:t xml:space="preserve"> </w:t>
      </w:r>
      <w:r w:rsidRPr="00492802">
        <w:rPr>
          <w:rFonts w:ascii="Arial" w:hAnsi="Arial" w:cs="Arial"/>
          <w:b/>
          <w:bCs/>
          <w:color w:val="000000"/>
          <w:sz w:val="20"/>
          <w:lang w:val="en-GB"/>
        </w:rPr>
        <w:t>69</w:t>
      </w:r>
      <w:r w:rsidRPr="00492802">
        <w:rPr>
          <w:rFonts w:ascii="Arial" w:hAnsi="Arial" w:cs="Arial"/>
          <w:color w:val="000000"/>
          <w:sz w:val="20"/>
          <w:lang w:val="en-GB"/>
        </w:rPr>
        <w:t>, 1352–1366 (1988).</w:t>
      </w:r>
    </w:p>
    <w:p w14:paraId="46D19AC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76. </w:t>
      </w:r>
      <w:r w:rsidRPr="00492802">
        <w:rPr>
          <w:rFonts w:ascii="Arial" w:hAnsi="Arial" w:cs="Arial"/>
          <w:color w:val="000000"/>
          <w:sz w:val="20"/>
          <w:lang w:val="en-GB"/>
        </w:rPr>
        <w:tab/>
        <w:t xml:space="preserve">E. Lloret-Lloret, </w:t>
      </w:r>
      <w:r w:rsidRPr="00492802">
        <w:rPr>
          <w:rFonts w:ascii="Arial" w:hAnsi="Arial" w:cs="Arial"/>
          <w:i/>
          <w:iCs/>
          <w:color w:val="000000"/>
          <w:sz w:val="20"/>
          <w:lang w:val="en-GB"/>
        </w:rPr>
        <w:t>et al.</w:t>
      </w:r>
      <w:r w:rsidRPr="00492802">
        <w:rPr>
          <w:rFonts w:ascii="Arial" w:hAnsi="Arial" w:cs="Arial"/>
          <w:color w:val="000000"/>
          <w:sz w:val="20"/>
          <w:lang w:val="en-GB"/>
        </w:rPr>
        <w:t xml:space="preserve">, The seasonal distribution of a highly commercial fish is related to ontogenetic changes in its feeding strategy. </w:t>
      </w:r>
      <w:r w:rsidRPr="00492802">
        <w:rPr>
          <w:rFonts w:ascii="Arial" w:hAnsi="Arial" w:cs="Arial"/>
          <w:i/>
          <w:iCs/>
          <w:color w:val="000000"/>
          <w:sz w:val="20"/>
          <w:lang w:val="en-GB"/>
        </w:rPr>
        <w:t>Front. Mar. Sci.</w:t>
      </w:r>
      <w:r w:rsidRPr="00492802">
        <w:rPr>
          <w:rFonts w:ascii="Arial" w:hAnsi="Arial" w:cs="Arial"/>
          <w:color w:val="000000"/>
          <w:sz w:val="20"/>
          <w:lang w:val="en-GB"/>
        </w:rPr>
        <w:t xml:space="preserve"> </w:t>
      </w:r>
      <w:r w:rsidRPr="00492802">
        <w:rPr>
          <w:rFonts w:ascii="Arial" w:hAnsi="Arial" w:cs="Arial"/>
          <w:b/>
          <w:bCs/>
          <w:color w:val="000000"/>
          <w:sz w:val="20"/>
          <w:lang w:val="en-GB"/>
        </w:rPr>
        <w:t>7</w:t>
      </w:r>
      <w:r w:rsidRPr="00492802">
        <w:rPr>
          <w:rFonts w:ascii="Arial" w:hAnsi="Arial" w:cs="Arial"/>
          <w:color w:val="000000"/>
          <w:sz w:val="20"/>
          <w:lang w:val="en-GB"/>
        </w:rPr>
        <w:t xml:space="preserve"> (2020).</w:t>
      </w:r>
    </w:p>
    <w:p w14:paraId="722B8D0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77. </w:t>
      </w:r>
      <w:r w:rsidRPr="00492802">
        <w:rPr>
          <w:rFonts w:ascii="Arial" w:hAnsi="Arial" w:cs="Arial"/>
          <w:color w:val="000000"/>
          <w:sz w:val="20"/>
          <w:lang w:val="en-GB"/>
        </w:rPr>
        <w:tab/>
        <w:t>Heincke F., Rapp. Proc. Verb. Réun. ICES 16, 1–70. (1913).</w:t>
      </w:r>
    </w:p>
    <w:p w14:paraId="0BCEED8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78. </w:t>
      </w:r>
      <w:r w:rsidRPr="00492802">
        <w:rPr>
          <w:rFonts w:ascii="Arial" w:hAnsi="Arial" w:cs="Arial"/>
          <w:color w:val="000000"/>
          <w:sz w:val="20"/>
          <w:lang w:val="en-GB"/>
        </w:rPr>
        <w:tab/>
        <w:t xml:space="preserve">A. Audzijonyte, G. T. Pecl, Deep impact of fisheries. </w:t>
      </w:r>
      <w:r w:rsidRPr="00492802">
        <w:rPr>
          <w:rFonts w:ascii="Arial" w:hAnsi="Arial" w:cs="Arial"/>
          <w:i/>
          <w:iCs/>
          <w:color w:val="000000"/>
          <w:sz w:val="20"/>
          <w:lang w:val="en-GB"/>
        </w:rPr>
        <w:t>Nature Ecology &amp;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2</w:t>
      </w:r>
      <w:r w:rsidRPr="00492802">
        <w:rPr>
          <w:rFonts w:ascii="Arial" w:hAnsi="Arial" w:cs="Arial"/>
          <w:color w:val="000000"/>
          <w:sz w:val="20"/>
          <w:lang w:val="en-GB"/>
        </w:rPr>
        <w:t>, 1348–1349 (2018).</w:t>
      </w:r>
    </w:p>
    <w:p w14:paraId="1C7A80A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79. </w:t>
      </w:r>
      <w:r w:rsidRPr="00492802">
        <w:rPr>
          <w:rFonts w:ascii="Arial" w:hAnsi="Arial" w:cs="Arial"/>
          <w:color w:val="000000"/>
          <w:sz w:val="20"/>
          <w:lang w:val="en-GB"/>
        </w:rPr>
        <w:tab/>
        <w:t xml:space="preserve">H. O. Pörtner, R. Knust, Climate change affects marine fishes through the oxygen limitation of thermal tolerance. </w:t>
      </w:r>
      <w:r w:rsidRPr="00492802">
        <w:rPr>
          <w:rFonts w:ascii="Arial" w:hAnsi="Arial" w:cs="Arial"/>
          <w:i/>
          <w:iCs/>
          <w:color w:val="000000"/>
          <w:sz w:val="20"/>
          <w:lang w:val="en-GB"/>
        </w:rPr>
        <w:t>Science</w:t>
      </w:r>
      <w:r w:rsidRPr="00492802">
        <w:rPr>
          <w:rFonts w:ascii="Arial" w:hAnsi="Arial" w:cs="Arial"/>
          <w:color w:val="000000"/>
          <w:sz w:val="20"/>
          <w:lang w:val="en-GB"/>
        </w:rPr>
        <w:t xml:space="preserve"> </w:t>
      </w:r>
      <w:r w:rsidRPr="00492802">
        <w:rPr>
          <w:rFonts w:ascii="Arial" w:hAnsi="Arial" w:cs="Arial"/>
          <w:b/>
          <w:bCs/>
          <w:color w:val="000000"/>
          <w:sz w:val="20"/>
          <w:lang w:val="en-GB"/>
        </w:rPr>
        <w:t>315</w:t>
      </w:r>
      <w:r w:rsidRPr="00492802">
        <w:rPr>
          <w:rFonts w:ascii="Arial" w:hAnsi="Arial" w:cs="Arial"/>
          <w:color w:val="000000"/>
          <w:sz w:val="20"/>
          <w:lang w:val="en-GB"/>
        </w:rPr>
        <w:t>, 95–97 (2007).</w:t>
      </w:r>
    </w:p>
    <w:p w14:paraId="22A633C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80. </w:t>
      </w:r>
      <w:r w:rsidRPr="00492802">
        <w:rPr>
          <w:rFonts w:ascii="Arial" w:hAnsi="Arial" w:cs="Arial"/>
          <w:color w:val="000000"/>
          <w:sz w:val="20"/>
          <w:lang w:val="en-GB"/>
        </w:rPr>
        <w:tab/>
        <w:t xml:space="preserve">W. W. L. Cheung, </w:t>
      </w:r>
      <w:r w:rsidRPr="00492802">
        <w:rPr>
          <w:rFonts w:ascii="Arial" w:hAnsi="Arial" w:cs="Arial"/>
          <w:i/>
          <w:iCs/>
          <w:color w:val="000000"/>
          <w:sz w:val="20"/>
          <w:lang w:val="en-GB"/>
        </w:rPr>
        <w:t>et al.</w:t>
      </w:r>
      <w:r w:rsidRPr="00492802">
        <w:rPr>
          <w:rFonts w:ascii="Arial" w:hAnsi="Arial" w:cs="Arial"/>
          <w:color w:val="000000"/>
          <w:sz w:val="20"/>
          <w:lang w:val="en-GB"/>
        </w:rPr>
        <w:t xml:space="preserve">, Shrinking of fishes exacerbates impacts of global ocean changes on marine ecosystems. </w:t>
      </w:r>
      <w:r w:rsidRPr="00492802">
        <w:rPr>
          <w:rFonts w:ascii="Arial" w:hAnsi="Arial" w:cs="Arial"/>
          <w:i/>
          <w:iCs/>
          <w:color w:val="000000"/>
          <w:sz w:val="20"/>
          <w:lang w:val="en-GB"/>
        </w:rPr>
        <w:t>Nature Climate Change</w:t>
      </w:r>
      <w:r w:rsidRPr="00492802">
        <w:rPr>
          <w:rFonts w:ascii="Arial" w:hAnsi="Arial" w:cs="Arial"/>
          <w:color w:val="000000"/>
          <w:sz w:val="20"/>
          <w:lang w:val="en-GB"/>
        </w:rPr>
        <w:t xml:space="preserve"> </w:t>
      </w:r>
      <w:r w:rsidRPr="00492802">
        <w:rPr>
          <w:rFonts w:ascii="Arial" w:hAnsi="Arial" w:cs="Arial"/>
          <w:b/>
          <w:bCs/>
          <w:color w:val="000000"/>
          <w:sz w:val="20"/>
          <w:lang w:val="en-GB"/>
        </w:rPr>
        <w:t>3</w:t>
      </w:r>
      <w:r w:rsidRPr="00492802">
        <w:rPr>
          <w:rFonts w:ascii="Arial" w:hAnsi="Arial" w:cs="Arial"/>
          <w:color w:val="000000"/>
          <w:sz w:val="20"/>
          <w:lang w:val="en-GB"/>
        </w:rPr>
        <w:t>, 254–258 (2013).</w:t>
      </w:r>
    </w:p>
    <w:p w14:paraId="5D1D1A1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81. </w:t>
      </w:r>
      <w:r w:rsidRPr="00492802">
        <w:rPr>
          <w:rFonts w:ascii="Arial" w:hAnsi="Arial" w:cs="Arial"/>
          <w:color w:val="000000"/>
          <w:sz w:val="20"/>
          <w:lang w:val="en-GB"/>
        </w:rPr>
        <w:tab/>
        <w:t xml:space="preserve">B. Gilbert, </w:t>
      </w:r>
      <w:r w:rsidRPr="00492802">
        <w:rPr>
          <w:rFonts w:ascii="Arial" w:hAnsi="Arial" w:cs="Arial"/>
          <w:i/>
          <w:iCs/>
          <w:color w:val="000000"/>
          <w:sz w:val="20"/>
          <w:lang w:val="en-GB"/>
        </w:rPr>
        <w:t>et al.</w:t>
      </w:r>
      <w:r w:rsidRPr="00492802">
        <w:rPr>
          <w:rFonts w:ascii="Arial" w:hAnsi="Arial" w:cs="Arial"/>
          <w:color w:val="000000"/>
          <w:sz w:val="20"/>
          <w:lang w:val="en-GB"/>
        </w:rPr>
        <w:t xml:space="preserve">, A bioenergetic framework for the temperature dependence of trophic interactions. </w:t>
      </w:r>
      <w:r w:rsidRPr="00492802">
        <w:rPr>
          <w:rFonts w:ascii="Arial" w:hAnsi="Arial" w:cs="Arial"/>
          <w:i/>
          <w:iCs/>
          <w:color w:val="000000"/>
          <w:sz w:val="20"/>
          <w:lang w:val="en-GB"/>
        </w:rPr>
        <w:t>Ecology Letters</w:t>
      </w:r>
      <w:r w:rsidRPr="00492802">
        <w:rPr>
          <w:rFonts w:ascii="Arial" w:hAnsi="Arial" w:cs="Arial"/>
          <w:color w:val="000000"/>
          <w:sz w:val="20"/>
          <w:lang w:val="en-GB"/>
        </w:rPr>
        <w:t xml:space="preserve"> </w:t>
      </w:r>
      <w:r w:rsidRPr="00492802">
        <w:rPr>
          <w:rFonts w:ascii="Arial" w:hAnsi="Arial" w:cs="Arial"/>
          <w:b/>
          <w:bCs/>
          <w:color w:val="000000"/>
          <w:sz w:val="20"/>
          <w:lang w:val="en-GB"/>
        </w:rPr>
        <w:t>17</w:t>
      </w:r>
      <w:r w:rsidRPr="00492802">
        <w:rPr>
          <w:rFonts w:ascii="Arial" w:hAnsi="Arial" w:cs="Arial"/>
          <w:color w:val="000000"/>
          <w:sz w:val="20"/>
          <w:lang w:val="en-GB"/>
        </w:rPr>
        <w:t>, 902–914 (2014).</w:t>
      </w:r>
    </w:p>
    <w:p w14:paraId="407F5C3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82. </w:t>
      </w:r>
      <w:r w:rsidRPr="00492802">
        <w:rPr>
          <w:rFonts w:ascii="Arial" w:hAnsi="Arial" w:cs="Arial"/>
          <w:color w:val="000000"/>
          <w:sz w:val="20"/>
          <w:lang w:val="en-GB"/>
        </w:rPr>
        <w:tab/>
        <w:t xml:space="preserve">J. A. Nelson, Oxygen consumption rate v. rate of energy utilization of fishes: a comparison and brief history of the two measurements. </w:t>
      </w:r>
      <w:r w:rsidRPr="00492802">
        <w:rPr>
          <w:rFonts w:ascii="Arial" w:hAnsi="Arial" w:cs="Arial"/>
          <w:i/>
          <w:iCs/>
          <w:color w:val="000000"/>
          <w:sz w:val="20"/>
          <w:lang w:val="en-GB"/>
        </w:rPr>
        <w:t>Journal of Fish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88</w:t>
      </w:r>
      <w:r w:rsidRPr="00492802">
        <w:rPr>
          <w:rFonts w:ascii="Arial" w:hAnsi="Arial" w:cs="Arial"/>
          <w:color w:val="000000"/>
          <w:sz w:val="20"/>
          <w:lang w:val="en-GB"/>
        </w:rPr>
        <w:t>, 10–25 (2016).</w:t>
      </w:r>
    </w:p>
    <w:p w14:paraId="7101A516"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83. </w:t>
      </w:r>
      <w:r w:rsidRPr="00492802">
        <w:rPr>
          <w:rFonts w:ascii="Arial" w:hAnsi="Arial" w:cs="Arial"/>
          <w:color w:val="000000"/>
          <w:sz w:val="20"/>
          <w:lang w:val="en-GB"/>
        </w:rPr>
        <w:tab/>
        <w:t xml:space="preserve">J. D. Armstrong, L. A. Hawkins, Standard metabolic rate of pike, </w:t>
      </w:r>
      <w:r w:rsidRPr="00492802">
        <w:rPr>
          <w:rFonts w:ascii="Arial" w:hAnsi="Arial" w:cs="Arial"/>
          <w:i/>
          <w:iCs/>
          <w:color w:val="000000"/>
          <w:sz w:val="20"/>
          <w:lang w:val="en-GB"/>
        </w:rPr>
        <w:t>Esox lucius</w:t>
      </w:r>
      <w:r w:rsidRPr="00492802">
        <w:rPr>
          <w:rFonts w:ascii="Arial" w:hAnsi="Arial" w:cs="Arial"/>
          <w:color w:val="000000"/>
          <w:sz w:val="20"/>
          <w:lang w:val="en-GB"/>
        </w:rPr>
        <w:t xml:space="preserve">: variation among studies and implications for energy flow modelling. </w:t>
      </w:r>
      <w:r w:rsidRPr="00492802">
        <w:rPr>
          <w:rFonts w:ascii="Arial" w:hAnsi="Arial" w:cs="Arial"/>
          <w:i/>
          <w:iCs/>
          <w:color w:val="000000"/>
          <w:sz w:val="20"/>
          <w:lang w:val="en-GB"/>
        </w:rPr>
        <w:t>Hydrobiologia</w:t>
      </w:r>
      <w:r w:rsidRPr="00492802">
        <w:rPr>
          <w:rFonts w:ascii="Arial" w:hAnsi="Arial" w:cs="Arial"/>
          <w:color w:val="000000"/>
          <w:sz w:val="20"/>
          <w:lang w:val="en-GB"/>
        </w:rPr>
        <w:t xml:space="preserve"> </w:t>
      </w:r>
      <w:r w:rsidRPr="00492802">
        <w:rPr>
          <w:rFonts w:ascii="Arial" w:hAnsi="Arial" w:cs="Arial"/>
          <w:b/>
          <w:bCs/>
          <w:color w:val="000000"/>
          <w:sz w:val="20"/>
          <w:lang w:val="en-GB"/>
        </w:rPr>
        <w:t>601</w:t>
      </w:r>
      <w:r w:rsidRPr="00492802">
        <w:rPr>
          <w:rFonts w:ascii="Arial" w:hAnsi="Arial" w:cs="Arial"/>
          <w:color w:val="000000"/>
          <w:sz w:val="20"/>
          <w:lang w:val="en-GB"/>
        </w:rPr>
        <w:t>, 83–90 (2008).</w:t>
      </w:r>
    </w:p>
    <w:p w14:paraId="6727278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84. </w:t>
      </w:r>
      <w:r w:rsidRPr="00492802">
        <w:rPr>
          <w:rFonts w:ascii="Arial" w:hAnsi="Arial" w:cs="Arial"/>
          <w:color w:val="000000"/>
          <w:sz w:val="20"/>
          <w:lang w:val="en-GB"/>
        </w:rPr>
        <w:tab/>
        <w:t xml:space="preserve">A. Rohatgi, </w:t>
      </w:r>
      <w:r w:rsidRPr="00492802">
        <w:rPr>
          <w:rFonts w:ascii="Arial" w:hAnsi="Arial" w:cs="Arial"/>
          <w:i/>
          <w:iCs/>
          <w:color w:val="000000"/>
          <w:sz w:val="20"/>
          <w:lang w:val="en-GB"/>
        </w:rPr>
        <w:t>WebPlotDigitalizer: HTML5 based online tool to extract numerical data from plot images. Version 4.1. [WWW document] URL https://automeris.io/WebPlotDigitizer (accessed on January 2019).</w:t>
      </w:r>
      <w:r w:rsidRPr="00492802">
        <w:rPr>
          <w:rFonts w:ascii="Arial" w:hAnsi="Arial" w:cs="Arial"/>
          <w:color w:val="000000"/>
          <w:sz w:val="20"/>
          <w:lang w:val="en-GB"/>
        </w:rPr>
        <w:t xml:space="preserve"> (2012).</w:t>
      </w:r>
    </w:p>
    <w:p w14:paraId="6424BE5C"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85. </w:t>
      </w:r>
      <w:r w:rsidRPr="00492802">
        <w:rPr>
          <w:rFonts w:ascii="Arial" w:hAnsi="Arial" w:cs="Arial"/>
          <w:color w:val="000000"/>
          <w:sz w:val="20"/>
          <w:lang w:val="en-GB"/>
        </w:rPr>
        <w:tab/>
        <w:t xml:space="preserve">A. Gelman, J. Hill, </w:t>
      </w:r>
      <w:r w:rsidRPr="00492802">
        <w:rPr>
          <w:rFonts w:ascii="Arial" w:hAnsi="Arial" w:cs="Arial"/>
          <w:i/>
          <w:iCs/>
          <w:color w:val="000000"/>
          <w:sz w:val="20"/>
          <w:lang w:val="en-GB"/>
        </w:rPr>
        <w:t>Data Analysis Using Regression and Multilevel/Hierarchical Models</w:t>
      </w:r>
      <w:r w:rsidRPr="00492802">
        <w:rPr>
          <w:rFonts w:ascii="Arial" w:hAnsi="Arial" w:cs="Arial"/>
          <w:color w:val="000000"/>
          <w:sz w:val="20"/>
          <w:lang w:val="en-GB"/>
        </w:rPr>
        <w:t xml:space="preserve"> (Cambridge University Press, 2007).</w:t>
      </w:r>
    </w:p>
    <w:p w14:paraId="70A7B87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86. </w:t>
      </w:r>
      <w:r w:rsidRPr="00492802">
        <w:rPr>
          <w:rFonts w:ascii="Arial" w:hAnsi="Arial" w:cs="Arial"/>
          <w:color w:val="000000"/>
          <w:sz w:val="20"/>
          <w:lang w:val="en-GB"/>
        </w:rPr>
        <w:tab/>
        <w:t xml:space="preserve">X. A. Harrison, </w:t>
      </w:r>
      <w:r w:rsidRPr="00492802">
        <w:rPr>
          <w:rFonts w:ascii="Arial" w:hAnsi="Arial" w:cs="Arial"/>
          <w:i/>
          <w:iCs/>
          <w:color w:val="000000"/>
          <w:sz w:val="20"/>
          <w:lang w:val="en-GB"/>
        </w:rPr>
        <w:t>et al.</w:t>
      </w:r>
      <w:r w:rsidRPr="00492802">
        <w:rPr>
          <w:rFonts w:ascii="Arial" w:hAnsi="Arial" w:cs="Arial"/>
          <w:color w:val="000000"/>
          <w:sz w:val="20"/>
          <w:lang w:val="en-GB"/>
        </w:rPr>
        <w:t xml:space="preserve">, A brief introduction to mixed effects modelling and multi-model inference in ecology. </w:t>
      </w:r>
      <w:r w:rsidRPr="00492802">
        <w:rPr>
          <w:rFonts w:ascii="Arial" w:hAnsi="Arial" w:cs="Arial"/>
          <w:i/>
          <w:iCs/>
          <w:color w:val="000000"/>
          <w:sz w:val="20"/>
          <w:lang w:val="en-GB"/>
        </w:rPr>
        <w:t>PeerJ</w:t>
      </w:r>
      <w:r w:rsidRPr="00492802">
        <w:rPr>
          <w:rFonts w:ascii="Arial" w:hAnsi="Arial" w:cs="Arial"/>
          <w:color w:val="000000"/>
          <w:sz w:val="20"/>
          <w:lang w:val="en-GB"/>
        </w:rPr>
        <w:t xml:space="preserve"> </w:t>
      </w:r>
      <w:r w:rsidRPr="00492802">
        <w:rPr>
          <w:rFonts w:ascii="Arial" w:hAnsi="Arial" w:cs="Arial"/>
          <w:b/>
          <w:bCs/>
          <w:color w:val="000000"/>
          <w:sz w:val="20"/>
          <w:lang w:val="en-GB"/>
        </w:rPr>
        <w:t>6</w:t>
      </w:r>
      <w:r w:rsidRPr="00492802">
        <w:rPr>
          <w:rFonts w:ascii="Arial" w:hAnsi="Arial" w:cs="Arial"/>
          <w:color w:val="000000"/>
          <w:sz w:val="20"/>
          <w:lang w:val="en-GB"/>
        </w:rPr>
        <w:t>, e4794 (2018).</w:t>
      </w:r>
    </w:p>
    <w:p w14:paraId="6D5CC6C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87. </w:t>
      </w:r>
      <w:r w:rsidRPr="00492802">
        <w:rPr>
          <w:rFonts w:ascii="Arial" w:hAnsi="Arial" w:cs="Arial"/>
          <w:color w:val="000000"/>
          <w:sz w:val="20"/>
          <w:lang w:val="en-GB"/>
        </w:rPr>
        <w:tab/>
        <w:t xml:space="preserve">H. Schielzeth, Simple means to improve the interpretability of regression coefficients: Interpretation of regression coefficients. </w:t>
      </w:r>
      <w:r w:rsidRPr="00492802">
        <w:rPr>
          <w:rFonts w:ascii="Arial" w:hAnsi="Arial" w:cs="Arial"/>
          <w:i/>
          <w:iCs/>
          <w:color w:val="000000"/>
          <w:sz w:val="20"/>
          <w:lang w:val="en-GB"/>
        </w:rPr>
        <w:t>Methods in Ecology and Evolution</w:t>
      </w:r>
      <w:r w:rsidRPr="00492802">
        <w:rPr>
          <w:rFonts w:ascii="Arial" w:hAnsi="Arial" w:cs="Arial"/>
          <w:color w:val="000000"/>
          <w:sz w:val="20"/>
          <w:lang w:val="en-GB"/>
        </w:rPr>
        <w:t xml:space="preserve"> </w:t>
      </w:r>
      <w:r w:rsidRPr="00492802">
        <w:rPr>
          <w:rFonts w:ascii="Arial" w:hAnsi="Arial" w:cs="Arial"/>
          <w:b/>
          <w:bCs/>
          <w:color w:val="000000"/>
          <w:sz w:val="20"/>
          <w:lang w:val="en-GB"/>
        </w:rPr>
        <w:t>1</w:t>
      </w:r>
      <w:r w:rsidRPr="00492802">
        <w:rPr>
          <w:rFonts w:ascii="Arial" w:hAnsi="Arial" w:cs="Arial"/>
          <w:color w:val="000000"/>
          <w:sz w:val="20"/>
          <w:lang w:val="en-GB"/>
        </w:rPr>
        <w:t>, 103–113 (2010).</w:t>
      </w:r>
    </w:p>
    <w:p w14:paraId="1B41E15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88. </w:t>
      </w:r>
      <w:r w:rsidRPr="00492802">
        <w:rPr>
          <w:rFonts w:ascii="Arial" w:hAnsi="Arial" w:cs="Arial"/>
          <w:color w:val="000000"/>
          <w:sz w:val="20"/>
          <w:lang w:val="en-GB"/>
        </w:rPr>
        <w:tab/>
        <w:t xml:space="preserve">F. W. H. Beamish, Respiration of fishes with special emphasis on standard oxygen consumption II. Influence of weight and temperature on respiration of several species’. </w:t>
      </w:r>
      <w:r w:rsidRPr="00492802">
        <w:rPr>
          <w:rFonts w:ascii="Arial" w:hAnsi="Arial" w:cs="Arial"/>
          <w:i/>
          <w:iCs/>
          <w:color w:val="000000"/>
          <w:sz w:val="20"/>
          <w:lang w:val="en-GB"/>
        </w:rPr>
        <w:t>Canadian Journal of Zoology/Revue Canadienne de Zoologie</w:t>
      </w:r>
      <w:r w:rsidRPr="00492802">
        <w:rPr>
          <w:rFonts w:ascii="Arial" w:hAnsi="Arial" w:cs="Arial"/>
          <w:color w:val="000000"/>
          <w:sz w:val="20"/>
          <w:lang w:val="en-GB"/>
        </w:rPr>
        <w:t xml:space="preserve"> </w:t>
      </w:r>
      <w:r w:rsidRPr="00492802">
        <w:rPr>
          <w:rFonts w:ascii="Arial" w:hAnsi="Arial" w:cs="Arial"/>
          <w:b/>
          <w:bCs/>
          <w:color w:val="000000"/>
          <w:sz w:val="20"/>
          <w:lang w:val="en-GB"/>
        </w:rPr>
        <w:t>42</w:t>
      </w:r>
      <w:r w:rsidRPr="00492802">
        <w:rPr>
          <w:rFonts w:ascii="Arial" w:hAnsi="Arial" w:cs="Arial"/>
          <w:color w:val="000000"/>
          <w:sz w:val="20"/>
          <w:lang w:val="en-GB"/>
        </w:rPr>
        <w:t>, 177–188 (1964).</w:t>
      </w:r>
    </w:p>
    <w:p w14:paraId="496F5B0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89. </w:t>
      </w:r>
      <w:r w:rsidRPr="00492802">
        <w:rPr>
          <w:rFonts w:ascii="Arial" w:hAnsi="Arial" w:cs="Arial"/>
          <w:color w:val="000000"/>
          <w:sz w:val="20"/>
          <w:lang w:val="en-GB"/>
        </w:rPr>
        <w:tab/>
        <w:t>J. Ohlberger, G. Staaks, F. Hölker, Effects of temperature, swimming speed and body mass on standard and active metabolic rate in vendace (</w:t>
      </w:r>
      <w:r w:rsidRPr="00492802">
        <w:rPr>
          <w:rFonts w:ascii="Arial" w:hAnsi="Arial" w:cs="Arial"/>
          <w:i/>
          <w:iCs/>
          <w:color w:val="000000"/>
          <w:sz w:val="20"/>
          <w:lang w:val="en-GB"/>
        </w:rPr>
        <w:t>Coregonus albula</w:t>
      </w:r>
      <w:r w:rsidRPr="00492802">
        <w:rPr>
          <w:rFonts w:ascii="Arial" w:hAnsi="Arial" w:cs="Arial"/>
          <w:color w:val="000000"/>
          <w:sz w:val="20"/>
          <w:lang w:val="en-GB"/>
        </w:rPr>
        <w:t xml:space="preserve">). </w:t>
      </w:r>
      <w:r w:rsidRPr="00492802">
        <w:rPr>
          <w:rFonts w:ascii="Arial" w:hAnsi="Arial" w:cs="Arial"/>
          <w:i/>
          <w:iCs/>
          <w:color w:val="000000"/>
          <w:sz w:val="20"/>
          <w:lang w:val="en-GB"/>
        </w:rPr>
        <w:t>Journal of Comparative Physiology, B</w:t>
      </w:r>
      <w:r w:rsidRPr="00492802">
        <w:rPr>
          <w:rFonts w:ascii="Arial" w:hAnsi="Arial" w:cs="Arial"/>
          <w:color w:val="000000"/>
          <w:sz w:val="20"/>
          <w:lang w:val="en-GB"/>
        </w:rPr>
        <w:t xml:space="preserve"> </w:t>
      </w:r>
      <w:r w:rsidRPr="00492802">
        <w:rPr>
          <w:rFonts w:ascii="Arial" w:hAnsi="Arial" w:cs="Arial"/>
          <w:b/>
          <w:bCs/>
          <w:color w:val="000000"/>
          <w:sz w:val="20"/>
          <w:lang w:val="en-GB"/>
        </w:rPr>
        <w:t>177</w:t>
      </w:r>
      <w:r w:rsidRPr="00492802">
        <w:rPr>
          <w:rFonts w:ascii="Arial" w:hAnsi="Arial" w:cs="Arial"/>
          <w:color w:val="000000"/>
          <w:sz w:val="20"/>
          <w:lang w:val="en-GB"/>
        </w:rPr>
        <w:t>, 905–916 (2007).</w:t>
      </w:r>
    </w:p>
    <w:p w14:paraId="50038510"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lastRenderedPageBreak/>
        <w:t xml:space="preserve">90. </w:t>
      </w:r>
      <w:r w:rsidRPr="00492802">
        <w:rPr>
          <w:rFonts w:ascii="Arial" w:hAnsi="Arial" w:cs="Arial"/>
          <w:color w:val="000000"/>
          <w:sz w:val="20"/>
          <w:lang w:val="en-GB"/>
        </w:rPr>
        <w:tab/>
        <w:t xml:space="preserve">D. Padfield, M. Castledine, A. Buckling, Temperature-dependent changes to host–parasite interactions alter the thermal performance of a bacterial host. </w:t>
      </w:r>
      <w:r w:rsidRPr="00492802">
        <w:rPr>
          <w:rFonts w:ascii="Arial" w:hAnsi="Arial" w:cs="Arial"/>
          <w:i/>
          <w:iCs/>
          <w:color w:val="000000"/>
          <w:sz w:val="20"/>
          <w:lang w:val="en-GB"/>
        </w:rPr>
        <w:t>The ISME Journal</w:t>
      </w:r>
      <w:r w:rsidRPr="00492802">
        <w:rPr>
          <w:rFonts w:ascii="Arial" w:hAnsi="Arial" w:cs="Arial"/>
          <w:color w:val="000000"/>
          <w:sz w:val="20"/>
          <w:lang w:val="en-GB"/>
        </w:rPr>
        <w:t xml:space="preserve"> </w:t>
      </w:r>
      <w:r w:rsidRPr="00492802">
        <w:rPr>
          <w:rFonts w:ascii="Arial" w:hAnsi="Arial" w:cs="Arial"/>
          <w:b/>
          <w:bCs/>
          <w:color w:val="000000"/>
          <w:sz w:val="20"/>
          <w:lang w:val="en-GB"/>
        </w:rPr>
        <w:t>14</w:t>
      </w:r>
      <w:r w:rsidRPr="00492802">
        <w:rPr>
          <w:rFonts w:ascii="Arial" w:hAnsi="Arial" w:cs="Arial"/>
          <w:color w:val="000000"/>
          <w:sz w:val="20"/>
          <w:lang w:val="en-GB"/>
        </w:rPr>
        <w:t>, 389–398 (2020).</w:t>
      </w:r>
    </w:p>
    <w:p w14:paraId="3214A42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91. </w:t>
      </w:r>
      <w:r w:rsidRPr="00492802">
        <w:rPr>
          <w:rFonts w:ascii="Arial" w:hAnsi="Arial" w:cs="Arial"/>
          <w:color w:val="000000"/>
          <w:sz w:val="20"/>
          <w:lang w:val="en-GB"/>
        </w:rPr>
        <w:tab/>
        <w:t xml:space="preserve">R Core Team, </w:t>
      </w:r>
      <w:r w:rsidRPr="00492802">
        <w:rPr>
          <w:rFonts w:ascii="Arial" w:hAnsi="Arial" w:cs="Arial"/>
          <w:i/>
          <w:iCs/>
          <w:color w:val="000000"/>
          <w:sz w:val="20"/>
          <w:lang w:val="en-GB"/>
        </w:rPr>
        <w:t>R: A Language and Environment for Statistical Computing. R Foundation for Statistical Computing</w:t>
      </w:r>
      <w:r w:rsidRPr="00492802">
        <w:rPr>
          <w:rFonts w:ascii="Arial" w:hAnsi="Arial" w:cs="Arial"/>
          <w:color w:val="000000"/>
          <w:sz w:val="20"/>
          <w:lang w:val="en-GB"/>
        </w:rPr>
        <w:t xml:space="preserve"> (2020).</w:t>
      </w:r>
    </w:p>
    <w:p w14:paraId="5CE986B7"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92. </w:t>
      </w:r>
      <w:r w:rsidRPr="00492802">
        <w:rPr>
          <w:rFonts w:ascii="Arial" w:hAnsi="Arial" w:cs="Arial"/>
          <w:color w:val="000000"/>
          <w:sz w:val="20"/>
          <w:lang w:val="en-GB"/>
        </w:rPr>
        <w:tab/>
        <w:t xml:space="preserve">M. Plummer, JAGS: A program for analysis of Bayesian graphical models using Gibbs sampling. </w:t>
      </w:r>
      <w:r w:rsidRPr="00492802">
        <w:rPr>
          <w:rFonts w:ascii="Arial" w:hAnsi="Arial" w:cs="Arial"/>
          <w:i/>
          <w:iCs/>
          <w:color w:val="000000"/>
          <w:sz w:val="20"/>
          <w:lang w:val="en-GB"/>
        </w:rPr>
        <w:t>Working Papers</w:t>
      </w:r>
      <w:r w:rsidRPr="00492802">
        <w:rPr>
          <w:rFonts w:ascii="Arial" w:hAnsi="Arial" w:cs="Arial"/>
          <w:color w:val="000000"/>
          <w:sz w:val="20"/>
          <w:lang w:val="en-GB"/>
        </w:rPr>
        <w:t>, 8 (2003).</w:t>
      </w:r>
    </w:p>
    <w:p w14:paraId="05E1F692"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93. </w:t>
      </w:r>
      <w:r w:rsidRPr="00492802">
        <w:rPr>
          <w:rFonts w:ascii="Arial" w:hAnsi="Arial" w:cs="Arial"/>
          <w:color w:val="000000"/>
          <w:sz w:val="20"/>
          <w:lang w:val="en-GB"/>
        </w:rPr>
        <w:tab/>
        <w:t xml:space="preserve">M. Plummer, </w:t>
      </w:r>
      <w:r w:rsidRPr="00492802">
        <w:rPr>
          <w:rFonts w:ascii="Arial" w:hAnsi="Arial" w:cs="Arial"/>
          <w:i/>
          <w:iCs/>
          <w:color w:val="000000"/>
          <w:sz w:val="20"/>
          <w:lang w:val="en-GB"/>
        </w:rPr>
        <w:t>rjags</w:t>
      </w:r>
      <w:r w:rsidRPr="00492802">
        <w:rPr>
          <w:rFonts w:ascii="Arial" w:hAnsi="Arial" w:cs="Arial"/>
          <w:color w:val="000000"/>
          <w:sz w:val="20"/>
          <w:lang w:val="en-GB"/>
        </w:rPr>
        <w:t xml:space="preserve"> (2019).</w:t>
      </w:r>
    </w:p>
    <w:p w14:paraId="48BCFB9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94. </w:t>
      </w:r>
      <w:r w:rsidRPr="00492802">
        <w:rPr>
          <w:rFonts w:ascii="Arial" w:hAnsi="Arial" w:cs="Arial"/>
          <w:color w:val="000000"/>
          <w:sz w:val="20"/>
          <w:lang w:val="en-GB"/>
        </w:rPr>
        <w:tab/>
        <w:t xml:space="preserve">A. Gelman, J. Carlin, H. Stern, D. Rubin, </w:t>
      </w:r>
      <w:r w:rsidRPr="00492802">
        <w:rPr>
          <w:rFonts w:ascii="Arial" w:hAnsi="Arial" w:cs="Arial"/>
          <w:i/>
          <w:iCs/>
          <w:color w:val="000000"/>
          <w:sz w:val="20"/>
          <w:lang w:val="en-GB"/>
        </w:rPr>
        <w:t>Bayesian Data Analysis. 2nd edition</w:t>
      </w:r>
      <w:r w:rsidRPr="00492802">
        <w:rPr>
          <w:rFonts w:ascii="Arial" w:hAnsi="Arial" w:cs="Arial"/>
          <w:color w:val="000000"/>
          <w:sz w:val="20"/>
          <w:lang w:val="en-GB"/>
        </w:rPr>
        <w:t xml:space="preserve"> (Chapman and Hall/CRC, 2003).</w:t>
      </w:r>
    </w:p>
    <w:p w14:paraId="150C53FB"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95. </w:t>
      </w:r>
      <w:r w:rsidRPr="00492802">
        <w:rPr>
          <w:rFonts w:ascii="Arial" w:hAnsi="Arial" w:cs="Arial"/>
          <w:color w:val="000000"/>
          <w:sz w:val="20"/>
          <w:lang w:val="en-GB"/>
        </w:rPr>
        <w:tab/>
        <w:t xml:space="preserve">H. Wickham, </w:t>
      </w:r>
      <w:r w:rsidRPr="00492802">
        <w:rPr>
          <w:rFonts w:ascii="Arial" w:hAnsi="Arial" w:cs="Arial"/>
          <w:i/>
          <w:iCs/>
          <w:color w:val="000000"/>
          <w:sz w:val="20"/>
          <w:lang w:val="en-GB"/>
        </w:rPr>
        <w:t>et al.</w:t>
      </w:r>
      <w:r w:rsidRPr="00492802">
        <w:rPr>
          <w:rFonts w:ascii="Arial" w:hAnsi="Arial" w:cs="Arial"/>
          <w:color w:val="000000"/>
          <w:sz w:val="20"/>
          <w:lang w:val="en-GB"/>
        </w:rPr>
        <w:t xml:space="preserve">, Welcome to the tidyverse. </w:t>
      </w:r>
      <w:r w:rsidRPr="00492802">
        <w:rPr>
          <w:rFonts w:ascii="Arial" w:hAnsi="Arial" w:cs="Arial"/>
          <w:i/>
          <w:iCs/>
          <w:color w:val="000000"/>
          <w:sz w:val="20"/>
          <w:lang w:val="en-GB"/>
        </w:rPr>
        <w:t>Journal of Open Source Software</w:t>
      </w:r>
      <w:r w:rsidRPr="00492802">
        <w:rPr>
          <w:rFonts w:ascii="Arial" w:hAnsi="Arial" w:cs="Arial"/>
          <w:color w:val="000000"/>
          <w:sz w:val="20"/>
          <w:lang w:val="en-GB"/>
        </w:rPr>
        <w:t>, 1686 (2019).</w:t>
      </w:r>
    </w:p>
    <w:p w14:paraId="14FE774A"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96. </w:t>
      </w:r>
      <w:r w:rsidRPr="00492802">
        <w:rPr>
          <w:rFonts w:ascii="Arial" w:hAnsi="Arial" w:cs="Arial"/>
          <w:color w:val="000000"/>
          <w:sz w:val="20"/>
          <w:lang w:val="en-GB"/>
        </w:rPr>
        <w:tab/>
        <w:t xml:space="preserve">X. Fernández-i-Marín, ggmcmc: Analysis of MCMC Samples and Bayesian Inference. </w:t>
      </w:r>
      <w:r w:rsidRPr="00492802">
        <w:rPr>
          <w:rFonts w:ascii="Arial" w:hAnsi="Arial" w:cs="Arial"/>
          <w:i/>
          <w:iCs/>
          <w:color w:val="000000"/>
          <w:sz w:val="20"/>
          <w:lang w:val="en-GB"/>
        </w:rPr>
        <w:t>Journal of Statistical Software</w:t>
      </w:r>
      <w:r w:rsidRPr="00492802">
        <w:rPr>
          <w:rFonts w:ascii="Arial" w:hAnsi="Arial" w:cs="Arial"/>
          <w:color w:val="000000"/>
          <w:sz w:val="20"/>
          <w:lang w:val="en-GB"/>
        </w:rPr>
        <w:t xml:space="preserve"> </w:t>
      </w:r>
      <w:r w:rsidRPr="00492802">
        <w:rPr>
          <w:rFonts w:ascii="Arial" w:hAnsi="Arial" w:cs="Arial"/>
          <w:b/>
          <w:bCs/>
          <w:color w:val="000000"/>
          <w:sz w:val="20"/>
          <w:lang w:val="en-GB"/>
        </w:rPr>
        <w:t>70</w:t>
      </w:r>
      <w:r w:rsidRPr="00492802">
        <w:rPr>
          <w:rFonts w:ascii="Arial" w:hAnsi="Arial" w:cs="Arial"/>
          <w:color w:val="000000"/>
          <w:sz w:val="20"/>
          <w:lang w:val="en-GB"/>
        </w:rPr>
        <w:t>, 1–20 (2016).</w:t>
      </w:r>
    </w:p>
    <w:p w14:paraId="013300B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97. </w:t>
      </w:r>
      <w:r w:rsidRPr="00492802">
        <w:rPr>
          <w:rFonts w:ascii="Arial" w:hAnsi="Arial" w:cs="Arial"/>
          <w:color w:val="000000"/>
          <w:sz w:val="20"/>
          <w:lang w:val="en-GB"/>
        </w:rPr>
        <w:tab/>
        <w:t xml:space="preserve">C. Youngflesh, MCMCvis: Tools to Visualize, Manipulate, and Summarize MCMC Output. </w:t>
      </w:r>
      <w:r w:rsidRPr="00492802">
        <w:rPr>
          <w:rFonts w:ascii="Arial" w:hAnsi="Arial" w:cs="Arial"/>
          <w:i/>
          <w:iCs/>
          <w:color w:val="000000"/>
          <w:sz w:val="20"/>
          <w:lang w:val="en-GB"/>
        </w:rPr>
        <w:t>Journal of Open Source Software</w:t>
      </w:r>
      <w:r w:rsidRPr="00492802">
        <w:rPr>
          <w:rFonts w:ascii="Arial" w:hAnsi="Arial" w:cs="Arial"/>
          <w:color w:val="000000"/>
          <w:sz w:val="20"/>
          <w:lang w:val="en-GB"/>
        </w:rPr>
        <w:t xml:space="preserve"> </w:t>
      </w:r>
      <w:r w:rsidRPr="00492802">
        <w:rPr>
          <w:rFonts w:ascii="Arial" w:hAnsi="Arial" w:cs="Arial"/>
          <w:b/>
          <w:bCs/>
          <w:color w:val="000000"/>
          <w:sz w:val="20"/>
          <w:lang w:val="en-GB"/>
        </w:rPr>
        <w:t>3</w:t>
      </w:r>
      <w:r w:rsidRPr="00492802">
        <w:rPr>
          <w:rFonts w:ascii="Arial" w:hAnsi="Arial" w:cs="Arial"/>
          <w:color w:val="000000"/>
          <w:sz w:val="20"/>
          <w:lang w:val="en-GB"/>
        </w:rPr>
        <w:t>, 640 (2018).</w:t>
      </w:r>
    </w:p>
    <w:p w14:paraId="1CAF341D"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98. </w:t>
      </w:r>
      <w:r w:rsidRPr="00492802">
        <w:rPr>
          <w:rFonts w:ascii="Arial" w:hAnsi="Arial" w:cs="Arial"/>
          <w:color w:val="000000"/>
          <w:sz w:val="20"/>
          <w:lang w:val="en-GB"/>
        </w:rPr>
        <w:tab/>
        <w:t xml:space="preserve">J. Gabry, D. Simpson, A. Vehtari, M. Betancourt, A. Gelman, Visualization in Bayesian workflow. </w:t>
      </w:r>
      <w:r w:rsidRPr="00492802">
        <w:rPr>
          <w:rFonts w:ascii="Arial" w:hAnsi="Arial" w:cs="Arial"/>
          <w:i/>
          <w:iCs/>
          <w:color w:val="000000"/>
          <w:sz w:val="20"/>
          <w:lang w:val="en-GB"/>
        </w:rPr>
        <w:t>J. R. Stat. Soc. A</w:t>
      </w:r>
      <w:r w:rsidRPr="00492802">
        <w:rPr>
          <w:rFonts w:ascii="Arial" w:hAnsi="Arial" w:cs="Arial"/>
          <w:color w:val="000000"/>
          <w:sz w:val="20"/>
          <w:lang w:val="en-GB"/>
        </w:rPr>
        <w:t xml:space="preserve"> </w:t>
      </w:r>
      <w:r w:rsidRPr="00492802">
        <w:rPr>
          <w:rFonts w:ascii="Arial" w:hAnsi="Arial" w:cs="Arial"/>
          <w:b/>
          <w:bCs/>
          <w:color w:val="000000"/>
          <w:sz w:val="20"/>
          <w:lang w:val="en-GB"/>
        </w:rPr>
        <w:t>182</w:t>
      </w:r>
      <w:r w:rsidRPr="00492802">
        <w:rPr>
          <w:rFonts w:ascii="Arial" w:hAnsi="Arial" w:cs="Arial"/>
          <w:color w:val="000000"/>
          <w:sz w:val="20"/>
          <w:lang w:val="en-GB"/>
        </w:rPr>
        <w:t>, 389–402 (2019).</w:t>
      </w:r>
    </w:p>
    <w:p w14:paraId="086F08E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99. </w:t>
      </w:r>
      <w:r w:rsidRPr="00492802">
        <w:rPr>
          <w:rFonts w:ascii="Arial" w:hAnsi="Arial" w:cs="Arial"/>
          <w:color w:val="000000"/>
          <w:sz w:val="20"/>
          <w:lang w:val="en-GB"/>
        </w:rPr>
        <w:tab/>
        <w:t xml:space="preserve">S. Watanabe, A Widely Applicable Bayesian Information Criterion. </w:t>
      </w:r>
      <w:r w:rsidRPr="00492802">
        <w:rPr>
          <w:rFonts w:ascii="Arial" w:hAnsi="Arial" w:cs="Arial"/>
          <w:i/>
          <w:iCs/>
          <w:color w:val="000000"/>
          <w:sz w:val="20"/>
          <w:lang w:val="en-GB"/>
        </w:rPr>
        <w:t>Journal of Machine Learning Research</w:t>
      </w:r>
      <w:r w:rsidRPr="00492802">
        <w:rPr>
          <w:rFonts w:ascii="Arial" w:hAnsi="Arial" w:cs="Arial"/>
          <w:color w:val="000000"/>
          <w:sz w:val="20"/>
          <w:lang w:val="en-GB"/>
        </w:rPr>
        <w:t xml:space="preserve"> </w:t>
      </w:r>
      <w:r w:rsidRPr="00492802">
        <w:rPr>
          <w:rFonts w:ascii="Arial" w:hAnsi="Arial" w:cs="Arial"/>
          <w:b/>
          <w:bCs/>
          <w:color w:val="000000"/>
          <w:sz w:val="20"/>
          <w:lang w:val="en-GB"/>
        </w:rPr>
        <w:t>14</w:t>
      </w:r>
      <w:r w:rsidRPr="00492802">
        <w:rPr>
          <w:rFonts w:ascii="Arial" w:hAnsi="Arial" w:cs="Arial"/>
          <w:color w:val="000000"/>
          <w:sz w:val="20"/>
          <w:lang w:val="en-GB"/>
        </w:rPr>
        <w:t>, 867–897 (2013).</w:t>
      </w:r>
    </w:p>
    <w:p w14:paraId="26B4D554"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100. </w:t>
      </w:r>
      <w:r w:rsidRPr="00492802">
        <w:rPr>
          <w:rFonts w:ascii="Arial" w:hAnsi="Arial" w:cs="Arial"/>
          <w:color w:val="000000"/>
          <w:sz w:val="20"/>
          <w:lang w:val="en-GB"/>
        </w:rPr>
        <w:tab/>
        <w:t xml:space="preserve">A. Vehtari, A. Gelman, J. Gabry, Practical Bayesian model evaluation using leave-one-out cross-validation and WAIC. </w:t>
      </w:r>
      <w:r w:rsidRPr="00492802">
        <w:rPr>
          <w:rFonts w:ascii="Arial" w:hAnsi="Arial" w:cs="Arial"/>
          <w:i/>
          <w:iCs/>
          <w:color w:val="000000"/>
          <w:sz w:val="20"/>
          <w:lang w:val="en-GB"/>
        </w:rPr>
        <w:t>Stat Comput</w:t>
      </w:r>
      <w:r w:rsidRPr="00492802">
        <w:rPr>
          <w:rFonts w:ascii="Arial" w:hAnsi="Arial" w:cs="Arial"/>
          <w:color w:val="000000"/>
          <w:sz w:val="20"/>
          <w:lang w:val="en-GB"/>
        </w:rPr>
        <w:t xml:space="preserve"> </w:t>
      </w:r>
      <w:r w:rsidRPr="00492802">
        <w:rPr>
          <w:rFonts w:ascii="Arial" w:hAnsi="Arial" w:cs="Arial"/>
          <w:b/>
          <w:bCs/>
          <w:color w:val="000000"/>
          <w:sz w:val="20"/>
          <w:lang w:val="en-GB"/>
        </w:rPr>
        <w:t>27</w:t>
      </w:r>
      <w:r w:rsidRPr="00492802">
        <w:rPr>
          <w:rFonts w:ascii="Arial" w:hAnsi="Arial" w:cs="Arial"/>
          <w:color w:val="000000"/>
          <w:sz w:val="20"/>
          <w:lang w:val="en-GB"/>
        </w:rPr>
        <w:t>, 1413–1432 (2017).</w:t>
      </w:r>
    </w:p>
    <w:p w14:paraId="0268C615"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101. </w:t>
      </w:r>
      <w:r w:rsidRPr="00492802">
        <w:rPr>
          <w:rFonts w:ascii="Arial" w:hAnsi="Arial" w:cs="Arial"/>
          <w:color w:val="000000"/>
          <w:sz w:val="20"/>
          <w:lang w:val="en-GB"/>
        </w:rPr>
        <w:tab/>
        <w:t xml:space="preserve">M. Olmos, </w:t>
      </w:r>
      <w:r w:rsidRPr="00492802">
        <w:rPr>
          <w:rFonts w:ascii="Arial" w:hAnsi="Arial" w:cs="Arial"/>
          <w:i/>
          <w:iCs/>
          <w:color w:val="000000"/>
          <w:sz w:val="20"/>
          <w:lang w:val="en-GB"/>
        </w:rPr>
        <w:t>et al.</w:t>
      </w:r>
      <w:r w:rsidRPr="00492802">
        <w:rPr>
          <w:rFonts w:ascii="Arial" w:hAnsi="Arial" w:cs="Arial"/>
          <w:color w:val="000000"/>
          <w:sz w:val="20"/>
          <w:lang w:val="en-GB"/>
        </w:rPr>
        <w:t>, Spatial synchrony in the response of a long range migratory species (</w:t>
      </w:r>
      <w:r w:rsidRPr="00492802">
        <w:rPr>
          <w:rFonts w:ascii="Arial" w:hAnsi="Arial" w:cs="Arial"/>
          <w:i/>
          <w:iCs/>
          <w:color w:val="000000"/>
          <w:sz w:val="20"/>
          <w:lang w:val="en-GB"/>
        </w:rPr>
        <w:t>Salmo salar</w:t>
      </w:r>
      <w:r w:rsidRPr="00492802">
        <w:rPr>
          <w:rFonts w:ascii="Arial" w:hAnsi="Arial" w:cs="Arial"/>
          <w:color w:val="000000"/>
          <w:sz w:val="20"/>
          <w:lang w:val="en-GB"/>
        </w:rPr>
        <w:t xml:space="preserve">) to climate change in the North Atlantic Ocean. </w:t>
      </w:r>
      <w:r w:rsidRPr="00492802">
        <w:rPr>
          <w:rFonts w:ascii="Arial" w:hAnsi="Arial" w:cs="Arial"/>
          <w:i/>
          <w:iCs/>
          <w:color w:val="000000"/>
          <w:sz w:val="20"/>
          <w:lang w:val="en-GB"/>
        </w:rPr>
        <w:t>Global Change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26</w:t>
      </w:r>
      <w:r w:rsidRPr="00492802">
        <w:rPr>
          <w:rFonts w:ascii="Arial" w:hAnsi="Arial" w:cs="Arial"/>
          <w:color w:val="000000"/>
          <w:sz w:val="20"/>
          <w:lang w:val="en-GB"/>
        </w:rPr>
        <w:t>, 1319–1337 (2019).</w:t>
      </w:r>
    </w:p>
    <w:p w14:paraId="0883C533"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102. </w:t>
      </w:r>
      <w:r w:rsidRPr="00492802">
        <w:rPr>
          <w:rFonts w:ascii="Arial" w:hAnsi="Arial" w:cs="Arial"/>
          <w:color w:val="000000"/>
          <w:sz w:val="20"/>
          <w:lang w:val="en-GB"/>
        </w:rPr>
        <w:tab/>
        <w:t xml:space="preserve">B. Hepher, </w:t>
      </w:r>
      <w:r w:rsidRPr="00492802">
        <w:rPr>
          <w:rFonts w:ascii="Arial" w:hAnsi="Arial" w:cs="Arial"/>
          <w:i/>
          <w:iCs/>
          <w:color w:val="000000"/>
          <w:sz w:val="20"/>
          <w:lang w:val="en-GB"/>
        </w:rPr>
        <w:t>Nutrition of Pond Fishes</w:t>
      </w:r>
      <w:r w:rsidRPr="00492802">
        <w:rPr>
          <w:rFonts w:ascii="Arial" w:hAnsi="Arial" w:cs="Arial"/>
          <w:color w:val="000000"/>
          <w:sz w:val="20"/>
          <w:lang w:val="en-GB"/>
        </w:rPr>
        <w:t xml:space="preserve"> (Cambridge University Press, 1988).</w:t>
      </w:r>
    </w:p>
    <w:p w14:paraId="4230DBC8" w14:textId="77777777" w:rsidR="00492802" w:rsidRPr="00492802" w:rsidRDefault="00492802" w:rsidP="00D26D5B">
      <w:pPr>
        <w:pStyle w:val="Bibliography"/>
        <w:contextualSpacing/>
        <w:rPr>
          <w:rFonts w:ascii="Arial" w:hAnsi="Arial" w:cs="Arial"/>
          <w:color w:val="000000"/>
          <w:sz w:val="20"/>
          <w:lang w:val="en-GB"/>
        </w:rPr>
      </w:pPr>
      <w:r w:rsidRPr="00492802">
        <w:rPr>
          <w:rFonts w:ascii="Arial" w:hAnsi="Arial" w:cs="Arial"/>
          <w:color w:val="000000"/>
          <w:sz w:val="20"/>
          <w:lang w:val="en-GB"/>
        </w:rPr>
        <w:t xml:space="preserve">103. </w:t>
      </w:r>
      <w:r w:rsidRPr="00492802">
        <w:rPr>
          <w:rFonts w:ascii="Arial" w:hAnsi="Arial" w:cs="Arial"/>
          <w:color w:val="000000"/>
          <w:sz w:val="20"/>
          <w:lang w:val="en-GB"/>
        </w:rPr>
        <w:tab/>
        <w:t xml:space="preserve">A. D. Rijnsdorp, B. Ibelings, Sexual dimorphism in the energetics of reproduction and growth of North Sea plaice, Pleuronectes platessa L. </w:t>
      </w:r>
      <w:r w:rsidRPr="00492802">
        <w:rPr>
          <w:rFonts w:ascii="Arial" w:hAnsi="Arial" w:cs="Arial"/>
          <w:i/>
          <w:iCs/>
          <w:color w:val="000000"/>
          <w:sz w:val="20"/>
          <w:lang w:val="en-GB"/>
        </w:rPr>
        <w:t>Journal of Fish Biology</w:t>
      </w:r>
      <w:r w:rsidRPr="00492802">
        <w:rPr>
          <w:rFonts w:ascii="Arial" w:hAnsi="Arial" w:cs="Arial"/>
          <w:color w:val="000000"/>
          <w:sz w:val="20"/>
          <w:lang w:val="en-GB"/>
        </w:rPr>
        <w:t xml:space="preserve"> </w:t>
      </w:r>
      <w:r w:rsidRPr="00492802">
        <w:rPr>
          <w:rFonts w:ascii="Arial" w:hAnsi="Arial" w:cs="Arial"/>
          <w:b/>
          <w:bCs/>
          <w:color w:val="000000"/>
          <w:sz w:val="20"/>
          <w:lang w:val="en-GB"/>
        </w:rPr>
        <w:t>35</w:t>
      </w:r>
      <w:r w:rsidRPr="00492802">
        <w:rPr>
          <w:rFonts w:ascii="Arial" w:hAnsi="Arial" w:cs="Arial"/>
          <w:color w:val="000000"/>
          <w:sz w:val="20"/>
          <w:lang w:val="en-GB"/>
        </w:rPr>
        <w:t>, 401–415 (1989).</w:t>
      </w:r>
    </w:p>
    <w:p w14:paraId="0072F1CA" w14:textId="769084B1" w:rsidR="00E6133D" w:rsidRPr="00980C22" w:rsidRDefault="00492802" w:rsidP="00D26D5B">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4B2741A" w14:textId="77777777" w:rsidR="00E6133D"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5D1CD93E" w14:textId="77777777"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47EF197A" w14:textId="380ADE5B" w:rsidR="00E466CD" w:rsidRDefault="004A631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14011F27" wp14:editId="64DF5AB6">
            <wp:extent cx="4529455" cy="5207000"/>
            <wp:effectExtent l="0" t="0" r="4445"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8642" t="1234" r="8792" b="3850"/>
                    <a:stretch/>
                  </pic:blipFill>
                  <pic:spPr bwMode="auto">
                    <a:xfrm>
                      <a:off x="0" y="0"/>
                      <a:ext cx="4529844" cy="5207447"/>
                    </a:xfrm>
                    <a:prstGeom prst="rect">
                      <a:avLst/>
                    </a:prstGeom>
                    <a:ln>
                      <a:noFill/>
                    </a:ln>
                    <a:extLst>
                      <a:ext uri="{53640926-AAD7-44D8-BBD7-CCE9431645EC}">
                        <a14:shadowObscured xmlns:a14="http://schemas.microsoft.com/office/drawing/2010/main"/>
                      </a:ext>
                    </a:extLst>
                  </pic:spPr>
                </pic:pic>
              </a:graphicData>
            </a:graphic>
          </wp:inline>
        </w:drawing>
      </w:r>
    </w:p>
    <w:p w14:paraId="2A676FE0" w14:textId="168C29A0" w:rsidR="00E6133D" w:rsidRPr="00C10B06"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C10B06">
        <w:rPr>
          <w:rFonts w:ascii="Arial" w:hAnsi="Arial" w:cs="Arial"/>
          <w:b/>
          <w:color w:val="000000"/>
          <w:sz w:val="20"/>
          <w:szCs w:val="20"/>
        </w:rPr>
        <w:t>Fig</w:t>
      </w:r>
      <w:r w:rsidR="00980C22" w:rsidRPr="00C10B06">
        <w:rPr>
          <w:rFonts w:ascii="Arial" w:hAnsi="Arial" w:cs="Arial"/>
          <w:b/>
          <w:color w:val="000000"/>
          <w:sz w:val="20"/>
          <w:szCs w:val="20"/>
        </w:rPr>
        <w:t>ure</w:t>
      </w:r>
      <w:r w:rsidRPr="00C10B06">
        <w:rPr>
          <w:rFonts w:ascii="Arial" w:hAnsi="Arial" w:cs="Arial"/>
          <w:b/>
          <w:color w:val="000000"/>
          <w:sz w:val="20"/>
          <w:szCs w:val="20"/>
        </w:rPr>
        <w:t xml:space="preserve"> 1. </w:t>
      </w:r>
      <w:r w:rsidR="00AC09FF" w:rsidRPr="00C10B06">
        <w:rPr>
          <w:rFonts w:ascii="Arial" w:hAnsi="Arial" w:cs="Arial"/>
          <w:color w:val="000000"/>
          <w:sz w:val="20"/>
          <w:szCs w:val="20"/>
        </w:rPr>
        <w:t>Natural log of mass-specific maximum consumption rate (A) and metabolic rate (B) against body mass on a logarithmic x-axis. Lines are global predictions at the average temperature in each data set (both 19</w:t>
      </w:r>
      <m:oMath>
        <m:r>
          <m:rPr>
            <m:sty m:val="p"/>
          </m:rPr>
          <w:rPr>
            <w:rFonts w:ascii="Cambria Math" w:hAnsi="Cambria Math" w:cs="Arial"/>
            <w:color w:val="000000"/>
            <w:sz w:val="20"/>
            <w:szCs w:val="20"/>
          </w:rPr>
          <m:t>℃</m:t>
        </m:r>
      </m:oMath>
      <w:r w:rsidR="00AC09FF" w:rsidRPr="00C10B06">
        <w:rPr>
          <w:rFonts w:ascii="Arial" w:hAnsi="Arial" w:cs="Arial"/>
          <w:color w:val="000000"/>
          <w:sz w:val="20"/>
          <w:szCs w:val="20"/>
        </w:rPr>
        <w:t>, but note the model is fitted using mean-</w:t>
      </w:r>
      <w:proofErr w:type="spellStart"/>
      <w:r w:rsidR="00AC09FF" w:rsidRPr="00C10B06">
        <w:rPr>
          <w:rFonts w:ascii="Arial" w:hAnsi="Arial" w:cs="Arial"/>
          <w:color w:val="000000"/>
          <w:sz w:val="20"/>
          <w:szCs w:val="20"/>
        </w:rPr>
        <w:t>centred</w:t>
      </w:r>
      <w:proofErr w:type="spellEnd"/>
      <w:r w:rsidR="00AC09FF" w:rsidRPr="00C10B06">
        <w:rPr>
          <w:rFonts w:ascii="Arial" w:hAnsi="Arial" w:cs="Arial"/>
          <w:color w:val="000000"/>
          <w:sz w:val="20"/>
          <w:szCs w:val="20"/>
        </w:rPr>
        <w:t xml:space="preserve"> Arrhenius temperature). Shaded areas correspond to 80% and 95% credible intervals. Species are grouped by color (legend not shown, n=20 for consumption and n=34 for metabolism, respectively). C) 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1</m:t>
                </m:r>
              </m:sub>
            </m:sSub>
          </m:sub>
        </m:sSub>
      </m:oMath>
      <w:r w:rsidR="00AC09FF" w:rsidRPr="00C10B06">
        <w:rPr>
          <w:rFonts w:ascii="Arial" w:hAnsi="Arial" w:cs="Arial"/>
          <w:color w:val="000000"/>
          <w:sz w:val="20"/>
          <w:szCs w:val="20"/>
        </w:rPr>
        <w:t xml:space="preserve"> and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2</m:t>
                </m:r>
              </m:sub>
            </m:sSub>
          </m:sub>
        </m:sSub>
      </m:oMath>
      <w:r w:rsidR="00AC09FF" w:rsidRPr="00C10B06">
        <w:rPr>
          <w:rFonts w:ascii="Arial" w:hAnsi="Arial" w:cs="Arial"/>
          <w:color w:val="000000"/>
          <w:sz w:val="20"/>
          <w:szCs w:val="20"/>
        </w:rPr>
        <w:t xml:space="preserve"> in Eqs. 6-8 for the mass and temperature coefficients, respectively). The shaded horizontal rectangles correspond to the posterior median </w:t>
      </w:r>
      <m:oMath>
        <m:r>
          <m:rPr>
            <m:sty m:val="p"/>
          </m:rPr>
          <w:rPr>
            <w:rFonts w:ascii="Cambria Math" w:hAnsi="Cambria Math" w:cs="Arial"/>
            <w:color w:val="000000"/>
            <w:sz w:val="20"/>
            <w:szCs w:val="20"/>
          </w:rPr>
          <m:t>±2</m:t>
        </m:r>
      </m:oMath>
      <w:r w:rsidR="00AC09FF" w:rsidRPr="00C10B06">
        <w:rPr>
          <w:rFonts w:ascii="Arial" w:hAnsi="Arial" w:cs="Arial"/>
          <w:color w:val="000000"/>
          <w:sz w:val="20"/>
          <w:szCs w:val="20"/>
        </w:rPr>
        <w:t xml:space="preserve"> standard deviations. Points and triangles show the posterior medians for each species-level coefficient (for maximum consumption rate and metabolic rate, respectively), and the vertical bars show their 80% and 95% credible interval.</w:t>
      </w:r>
    </w:p>
    <w:p w14:paraId="5D3BAD94" w14:textId="24EA58B2" w:rsidR="00344ADD" w:rsidRDefault="00344ADD">
      <w:pPr>
        <w:rPr>
          <w:rFonts w:ascii="Arial" w:hAnsi="Arial" w:cs="Arial"/>
          <w:color w:val="000000"/>
          <w:sz w:val="20"/>
          <w:szCs w:val="20"/>
        </w:rPr>
      </w:pPr>
      <w:r>
        <w:rPr>
          <w:rFonts w:ascii="Arial" w:hAnsi="Arial" w:cs="Arial"/>
          <w:color w:val="000000"/>
          <w:sz w:val="20"/>
          <w:szCs w:val="20"/>
        </w:rPr>
        <w:br w:type="page"/>
      </w:r>
    </w:p>
    <w:p w14:paraId="00CD4E32" w14:textId="7928F780" w:rsidR="00E54CAE" w:rsidRDefault="00586613" w:rsidP="00586613">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33ABF0AC" wp14:editId="5594DD1A">
            <wp:extent cx="2438189" cy="2463800"/>
            <wp:effectExtent l="0" t="0" r="63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12" cstate="print">
                      <a:extLst>
                        <a:ext uri="{28A0092B-C50C-407E-A947-70E740481C1C}">
                          <a14:useLocalDpi xmlns:a14="http://schemas.microsoft.com/office/drawing/2010/main" val="0"/>
                        </a:ext>
                      </a:extLst>
                    </a:blip>
                    <a:srcRect l="3258" t="2606" r="2917" b="2582"/>
                    <a:stretch/>
                  </pic:blipFill>
                  <pic:spPr bwMode="auto">
                    <a:xfrm>
                      <a:off x="0" y="0"/>
                      <a:ext cx="2446050" cy="2471744"/>
                    </a:xfrm>
                    <a:prstGeom prst="rect">
                      <a:avLst/>
                    </a:prstGeom>
                    <a:ln>
                      <a:noFill/>
                    </a:ln>
                    <a:extLst>
                      <a:ext uri="{53640926-AAD7-44D8-BBD7-CCE9431645EC}">
                        <a14:shadowObscured xmlns:a14="http://schemas.microsoft.com/office/drawing/2010/main"/>
                      </a:ext>
                    </a:extLst>
                  </pic:spPr>
                </pic:pic>
              </a:graphicData>
            </a:graphic>
          </wp:inline>
        </w:drawing>
      </w:r>
    </w:p>
    <w:p w14:paraId="1287F6B0" w14:textId="6E6A5860" w:rsidR="00E6133D" w:rsidRPr="00C65C77"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C65C77">
        <w:rPr>
          <w:rFonts w:ascii="Arial" w:hAnsi="Arial" w:cs="Arial"/>
          <w:b/>
          <w:color w:val="000000"/>
          <w:sz w:val="20"/>
          <w:szCs w:val="20"/>
        </w:rPr>
        <w:t>Fig</w:t>
      </w:r>
      <w:r w:rsidR="00980C22" w:rsidRPr="00C65C77">
        <w:rPr>
          <w:rFonts w:ascii="Arial" w:hAnsi="Arial" w:cs="Arial"/>
          <w:b/>
          <w:color w:val="000000"/>
          <w:sz w:val="20"/>
          <w:szCs w:val="20"/>
        </w:rPr>
        <w:t>ure</w:t>
      </w:r>
      <w:r w:rsidRPr="00C65C77">
        <w:rPr>
          <w:rFonts w:ascii="Arial" w:hAnsi="Arial" w:cs="Arial"/>
          <w:b/>
          <w:color w:val="000000"/>
          <w:sz w:val="20"/>
          <w:szCs w:val="20"/>
        </w:rPr>
        <w:t xml:space="preserve"> 2. </w:t>
      </w:r>
      <w:r w:rsidR="005A7FB8" w:rsidRPr="00C65C77">
        <w:rPr>
          <w:rFonts w:ascii="Arial" w:hAnsi="Arial" w:cs="Arial"/>
          <w:color w:val="000000"/>
          <w:sz w:val="20"/>
          <w:szCs w:val="20"/>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67E459E1" w:rsidR="00FD21CA" w:rsidRDefault="00FD21CA">
      <w:pPr>
        <w:rPr>
          <w:rFonts w:ascii="Arial" w:hAnsi="Arial" w:cs="Arial"/>
          <w:color w:val="000000"/>
          <w:sz w:val="20"/>
          <w:szCs w:val="20"/>
        </w:rPr>
      </w:pPr>
      <w:r>
        <w:rPr>
          <w:rFonts w:ascii="Arial" w:hAnsi="Arial" w:cs="Arial"/>
          <w:color w:val="000000"/>
          <w:sz w:val="20"/>
          <w:szCs w:val="20"/>
        </w:rPr>
        <w:br w:type="page"/>
      </w:r>
    </w:p>
    <w:p w14:paraId="650909F7" w14:textId="34E59CE9" w:rsidR="00FE2765" w:rsidRDefault="004D27CD" w:rsidP="00C948E2">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67C1653E" wp14:editId="11D9EEBB">
            <wp:extent cx="2416616" cy="5332058"/>
            <wp:effectExtent l="0" t="0" r="0" b="254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l="27888" t="1321" r="28053" b="1468"/>
                    <a:stretch/>
                  </pic:blipFill>
                  <pic:spPr bwMode="auto">
                    <a:xfrm>
                      <a:off x="0" y="0"/>
                      <a:ext cx="2417216" cy="5333381"/>
                    </a:xfrm>
                    <a:prstGeom prst="rect">
                      <a:avLst/>
                    </a:prstGeom>
                    <a:ln>
                      <a:noFill/>
                    </a:ln>
                    <a:extLst>
                      <a:ext uri="{53640926-AAD7-44D8-BBD7-CCE9431645EC}">
                        <a14:shadowObscured xmlns:a14="http://schemas.microsoft.com/office/drawing/2010/main"/>
                      </a:ext>
                    </a:extLst>
                  </pic:spPr>
                </pic:pic>
              </a:graphicData>
            </a:graphic>
          </wp:inline>
        </w:drawing>
      </w:r>
    </w:p>
    <w:p w14:paraId="3E590479" w14:textId="76007E78" w:rsidR="00270945" w:rsidRDefault="00FD21CA" w:rsidP="00FD21CA">
      <w:pPr>
        <w:keepNext/>
        <w:pBdr>
          <w:top w:val="nil"/>
          <w:left w:val="nil"/>
          <w:bottom w:val="nil"/>
          <w:right w:val="nil"/>
          <w:between w:val="nil"/>
        </w:pBdr>
        <w:spacing w:before="240" w:after="60"/>
        <w:contextualSpacing/>
        <w:rPr>
          <w:rFonts w:ascii="Arial" w:hAnsi="Arial" w:cs="Arial"/>
          <w:color w:val="000000"/>
          <w:sz w:val="20"/>
          <w:szCs w:val="20"/>
        </w:rPr>
      </w:pPr>
      <w:r w:rsidRPr="008164F8">
        <w:rPr>
          <w:rFonts w:ascii="Arial" w:hAnsi="Arial" w:cs="Arial"/>
          <w:b/>
          <w:color w:val="000000"/>
          <w:sz w:val="20"/>
          <w:szCs w:val="20"/>
        </w:rPr>
        <w:t xml:space="preserve">Figure 3. </w:t>
      </w:r>
      <w:r w:rsidRPr="008164F8">
        <w:rPr>
          <w:rFonts w:ascii="Arial" w:hAnsi="Arial" w:cs="Arial"/>
          <w:color w:val="000000"/>
          <w:sz w:val="20"/>
          <w:szCs w:val="20"/>
        </w:rPr>
        <w:t>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p>
    <w:p w14:paraId="0C00BBA8" w14:textId="45F99CCC" w:rsidR="004665BD" w:rsidRDefault="004665BD">
      <w:pPr>
        <w:rPr>
          <w:rFonts w:ascii="Arial" w:hAnsi="Arial" w:cs="Arial"/>
          <w:color w:val="000000"/>
          <w:sz w:val="20"/>
          <w:szCs w:val="20"/>
        </w:rPr>
      </w:pPr>
      <w:r>
        <w:rPr>
          <w:rFonts w:ascii="Arial" w:hAnsi="Arial" w:cs="Arial"/>
          <w:color w:val="000000"/>
          <w:sz w:val="20"/>
          <w:szCs w:val="20"/>
        </w:rPr>
        <w:br w:type="page"/>
      </w:r>
    </w:p>
    <w:p w14:paraId="7BA87AC3" w14:textId="0339590E" w:rsidR="00321376" w:rsidRDefault="008C1A6F" w:rsidP="008C1A6F">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4A1A28D4" wp14:editId="29AB42F8">
            <wp:extent cx="2997200" cy="2386965"/>
            <wp:effectExtent l="0" t="0" r="0" b="63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l="2689" t="12365" r="2110" b="11816"/>
                    <a:stretch/>
                  </pic:blipFill>
                  <pic:spPr bwMode="auto">
                    <a:xfrm>
                      <a:off x="0" y="0"/>
                      <a:ext cx="3005386" cy="2393484"/>
                    </a:xfrm>
                    <a:prstGeom prst="rect">
                      <a:avLst/>
                    </a:prstGeom>
                    <a:ln>
                      <a:noFill/>
                    </a:ln>
                    <a:extLst>
                      <a:ext uri="{53640926-AAD7-44D8-BBD7-CCE9431645EC}">
                        <a14:shadowObscured xmlns:a14="http://schemas.microsoft.com/office/drawing/2010/main"/>
                      </a:ext>
                    </a:extLst>
                  </pic:spPr>
                </pic:pic>
              </a:graphicData>
            </a:graphic>
          </wp:inline>
        </w:drawing>
      </w:r>
    </w:p>
    <w:p w14:paraId="085CBE53" w14:textId="0B8DED9C" w:rsidR="004665BD" w:rsidRPr="001E2F32" w:rsidRDefault="004665BD" w:rsidP="004665BD">
      <w:pPr>
        <w:keepNext/>
        <w:pBdr>
          <w:top w:val="nil"/>
          <w:left w:val="nil"/>
          <w:bottom w:val="nil"/>
          <w:right w:val="nil"/>
          <w:between w:val="nil"/>
        </w:pBdr>
        <w:spacing w:before="240" w:after="60"/>
        <w:contextualSpacing/>
        <w:rPr>
          <w:rFonts w:ascii="Arial" w:hAnsi="Arial" w:cs="Arial"/>
          <w:color w:val="000000"/>
          <w:sz w:val="20"/>
          <w:szCs w:val="20"/>
        </w:rPr>
      </w:pPr>
      <w:r w:rsidRPr="001E2F32">
        <w:rPr>
          <w:rFonts w:ascii="Arial" w:hAnsi="Arial" w:cs="Arial"/>
          <w:b/>
          <w:color w:val="000000"/>
          <w:sz w:val="20"/>
          <w:szCs w:val="20"/>
        </w:rPr>
        <w:t xml:space="preserve">Figure 4. </w:t>
      </w:r>
      <w:r w:rsidR="001E2F32" w:rsidRPr="001E2F32">
        <w:rPr>
          <w:rFonts w:ascii="Arial" w:hAnsi="Arial" w:cs="Arial"/>
          <w:color w:val="000000"/>
          <w:sz w:val="20"/>
          <w:szCs w:val="20"/>
        </w:rPr>
        <w:t>Experimental data demonstrating optimum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0</m:t>
                </m:r>
              </m:sub>
            </m:sSub>
          </m:sub>
        </m:sSub>
      </m:oMath>
      <w:r w:rsidR="001E2F32" w:rsidRPr="001E2F32">
        <w:rPr>
          <w:rFonts w:ascii="Arial" w:hAnsi="Arial" w:cs="Arial"/>
          <w:color w:val="000000"/>
          <w:sz w:val="20"/>
          <w:szCs w:val="20"/>
        </w:rPr>
        <w:t xml:space="preserve"> and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μ</m:t>
            </m:r>
          </m:e>
          <m:sub>
            <m:sSub>
              <m:sSubPr>
                <m:ctrlPr>
                  <w:rPr>
                    <w:rFonts w:ascii="Cambria Math" w:hAnsi="Cambria Math" w:cs="Arial"/>
                    <w:bCs/>
                    <w:i/>
                    <w:iCs/>
                    <w:color w:val="000000"/>
                    <w:sz w:val="20"/>
                    <w:szCs w:val="20"/>
                  </w:rPr>
                </m:ctrlPr>
              </m:sSubPr>
              <m:e>
                <m:r>
                  <w:rPr>
                    <w:rFonts w:ascii="Cambria Math" w:hAnsi="Cambria Math" w:cs="Arial"/>
                    <w:color w:val="000000"/>
                    <w:sz w:val="20"/>
                    <w:szCs w:val="20"/>
                  </w:rPr>
                  <m:t>β</m:t>
                </m:r>
              </m:e>
              <m:sub>
                <m:r>
                  <w:rPr>
                    <w:rFonts w:ascii="Cambria Math" w:hAnsi="Cambria Math" w:cs="Arial"/>
                    <w:color w:val="000000"/>
                    <w:sz w:val="20"/>
                    <w:szCs w:val="20"/>
                  </w:rPr>
                  <m:t>1</m:t>
                </m:r>
              </m:sub>
            </m:sSub>
          </m:sub>
        </m:sSub>
      </m:oMath>
      <w:r w:rsidR="001E2F32" w:rsidRPr="001E2F32">
        <w:rPr>
          <w:rFonts w:ascii="Arial" w:hAnsi="Arial" w:cs="Arial"/>
          <w:color w:val="000000"/>
          <w:sz w:val="20"/>
          <w:szCs w:val="20"/>
        </w:rPr>
        <w:t xml:space="preserve">). Colors indicate species and the area of the circle corresponds to body mass in unit </w:t>
      </w:r>
      <m:oMath>
        <m:r>
          <m:rPr>
            <m:sty m:val="p"/>
          </m:rPr>
          <w:rPr>
            <w:rFonts w:ascii="Cambria Math" w:hAnsi="Cambria Math" w:cs="Arial"/>
            <w:color w:val="000000"/>
            <w:sz w:val="20"/>
            <w:szCs w:val="20"/>
          </w:rPr>
          <m:t>g</m:t>
        </m:r>
      </m:oMath>
      <w:r w:rsidR="001E2F32" w:rsidRPr="001E2F32">
        <w:rPr>
          <w:rFonts w:ascii="Arial" w:hAnsi="Arial" w:cs="Arial"/>
          <w:color w:val="000000"/>
          <w:sz w:val="20"/>
          <w:szCs w:val="20"/>
        </w:rPr>
        <w:t>.</w:t>
      </w:r>
    </w:p>
    <w:p w14:paraId="140113AE" w14:textId="77777777" w:rsidR="00095E18" w:rsidRPr="008164F8" w:rsidRDefault="00095E18" w:rsidP="00FD21CA">
      <w:pPr>
        <w:keepNext/>
        <w:pBdr>
          <w:top w:val="nil"/>
          <w:left w:val="nil"/>
          <w:bottom w:val="nil"/>
          <w:right w:val="nil"/>
          <w:between w:val="nil"/>
        </w:pBdr>
        <w:spacing w:before="240" w:after="60"/>
        <w:contextualSpacing/>
        <w:rPr>
          <w:rFonts w:ascii="Arial" w:hAnsi="Arial" w:cs="Arial"/>
          <w:color w:val="000000"/>
          <w:sz w:val="20"/>
          <w:szCs w:val="20"/>
        </w:rPr>
      </w:pPr>
    </w:p>
    <w:sectPr w:rsidR="00095E18" w:rsidRPr="008164F8" w:rsidSect="00971E7E">
      <w:headerReference w:type="default" r:id="rId15"/>
      <w:footerReference w:type="default" r:id="rId16"/>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F803F" w14:textId="77777777" w:rsidR="00DC5DC8" w:rsidRDefault="00DC5DC8">
      <w:pPr>
        <w:spacing w:after="0"/>
      </w:pPr>
      <w:r>
        <w:separator/>
      </w:r>
    </w:p>
  </w:endnote>
  <w:endnote w:type="continuationSeparator" w:id="0">
    <w:p w14:paraId="5E941218" w14:textId="77777777" w:rsidR="00DC5DC8" w:rsidRDefault="00DC5D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44FA" w14:textId="04397D9C"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23869">
      <w:rPr>
        <w:noProof/>
        <w:color w:val="000000"/>
      </w:rPr>
      <w:t>4</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D5491" w14:textId="77777777" w:rsidR="00DC5DC8" w:rsidRDefault="00DC5DC8">
      <w:pPr>
        <w:spacing w:after="0"/>
      </w:pPr>
      <w:r>
        <w:separator/>
      </w:r>
    </w:p>
  </w:footnote>
  <w:footnote w:type="continuationSeparator" w:id="0">
    <w:p w14:paraId="1146B407" w14:textId="77777777" w:rsidR="00DC5DC8" w:rsidRDefault="00DC5D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15559"/>
    <w:rsid w:val="000203EB"/>
    <w:rsid w:val="000306B2"/>
    <w:rsid w:val="0005187F"/>
    <w:rsid w:val="0006240A"/>
    <w:rsid w:val="00063D4F"/>
    <w:rsid w:val="000706DF"/>
    <w:rsid w:val="00095E18"/>
    <w:rsid w:val="000A0E58"/>
    <w:rsid w:val="000C3044"/>
    <w:rsid w:val="000D210C"/>
    <w:rsid w:val="000E128A"/>
    <w:rsid w:val="000F23DD"/>
    <w:rsid w:val="00160E89"/>
    <w:rsid w:val="001819A5"/>
    <w:rsid w:val="001C7931"/>
    <w:rsid w:val="001E2F32"/>
    <w:rsid w:val="00203D30"/>
    <w:rsid w:val="00215221"/>
    <w:rsid w:val="0025119E"/>
    <w:rsid w:val="00251342"/>
    <w:rsid w:val="00270945"/>
    <w:rsid w:val="002A7007"/>
    <w:rsid w:val="002A7053"/>
    <w:rsid w:val="002B2848"/>
    <w:rsid w:val="00310A33"/>
    <w:rsid w:val="00321376"/>
    <w:rsid w:val="00333F4D"/>
    <w:rsid w:val="00335CFA"/>
    <w:rsid w:val="00344ADD"/>
    <w:rsid w:val="00353878"/>
    <w:rsid w:val="0035434A"/>
    <w:rsid w:val="00362648"/>
    <w:rsid w:val="00371730"/>
    <w:rsid w:val="00371DAC"/>
    <w:rsid w:val="003830A5"/>
    <w:rsid w:val="00391049"/>
    <w:rsid w:val="003A49DC"/>
    <w:rsid w:val="00406567"/>
    <w:rsid w:val="004634B6"/>
    <w:rsid w:val="004665BD"/>
    <w:rsid w:val="00474D11"/>
    <w:rsid w:val="004768C8"/>
    <w:rsid w:val="00483D1D"/>
    <w:rsid w:val="00492802"/>
    <w:rsid w:val="004A631C"/>
    <w:rsid w:val="004B135C"/>
    <w:rsid w:val="004C04AD"/>
    <w:rsid w:val="004D1BC3"/>
    <w:rsid w:val="004D1E26"/>
    <w:rsid w:val="004D27CD"/>
    <w:rsid w:val="004D6D7D"/>
    <w:rsid w:val="004E567A"/>
    <w:rsid w:val="004F7B2F"/>
    <w:rsid w:val="005209AB"/>
    <w:rsid w:val="00586613"/>
    <w:rsid w:val="005A0531"/>
    <w:rsid w:val="005A78D5"/>
    <w:rsid w:val="005A7FB8"/>
    <w:rsid w:val="005B2D4A"/>
    <w:rsid w:val="005C7DD7"/>
    <w:rsid w:val="005D009E"/>
    <w:rsid w:val="00603405"/>
    <w:rsid w:val="00623869"/>
    <w:rsid w:val="00662D5F"/>
    <w:rsid w:val="006D1F2F"/>
    <w:rsid w:val="007205EF"/>
    <w:rsid w:val="007B51A1"/>
    <w:rsid w:val="007D7992"/>
    <w:rsid w:val="008164F8"/>
    <w:rsid w:val="00831E1B"/>
    <w:rsid w:val="0088167C"/>
    <w:rsid w:val="008A29A1"/>
    <w:rsid w:val="008C1A6F"/>
    <w:rsid w:val="008D124A"/>
    <w:rsid w:val="008E560C"/>
    <w:rsid w:val="008E6DB8"/>
    <w:rsid w:val="00904922"/>
    <w:rsid w:val="00904FBD"/>
    <w:rsid w:val="00933A40"/>
    <w:rsid w:val="00970542"/>
    <w:rsid w:val="00971E7E"/>
    <w:rsid w:val="00980C22"/>
    <w:rsid w:val="009B503E"/>
    <w:rsid w:val="009D7909"/>
    <w:rsid w:val="009E77FF"/>
    <w:rsid w:val="009F66BE"/>
    <w:rsid w:val="00A1401C"/>
    <w:rsid w:val="00A209CB"/>
    <w:rsid w:val="00A25284"/>
    <w:rsid w:val="00A364A9"/>
    <w:rsid w:val="00A53343"/>
    <w:rsid w:val="00A635A9"/>
    <w:rsid w:val="00A85CC3"/>
    <w:rsid w:val="00A90646"/>
    <w:rsid w:val="00A939B8"/>
    <w:rsid w:val="00AB0A2A"/>
    <w:rsid w:val="00AC09FF"/>
    <w:rsid w:val="00AD368E"/>
    <w:rsid w:val="00AE5EDF"/>
    <w:rsid w:val="00AE60EF"/>
    <w:rsid w:val="00B53A7E"/>
    <w:rsid w:val="00B9147E"/>
    <w:rsid w:val="00BC2EF3"/>
    <w:rsid w:val="00BD6D93"/>
    <w:rsid w:val="00C10B06"/>
    <w:rsid w:val="00C465DB"/>
    <w:rsid w:val="00C61B35"/>
    <w:rsid w:val="00C6498A"/>
    <w:rsid w:val="00C65C77"/>
    <w:rsid w:val="00C822FB"/>
    <w:rsid w:val="00C948E2"/>
    <w:rsid w:val="00C97AF8"/>
    <w:rsid w:val="00CA5211"/>
    <w:rsid w:val="00CB163A"/>
    <w:rsid w:val="00CC370B"/>
    <w:rsid w:val="00CC711A"/>
    <w:rsid w:val="00CD0597"/>
    <w:rsid w:val="00D05A92"/>
    <w:rsid w:val="00D12799"/>
    <w:rsid w:val="00D13800"/>
    <w:rsid w:val="00D26D5B"/>
    <w:rsid w:val="00D27252"/>
    <w:rsid w:val="00D31A4E"/>
    <w:rsid w:val="00D32411"/>
    <w:rsid w:val="00D7648D"/>
    <w:rsid w:val="00D90FB3"/>
    <w:rsid w:val="00DB1478"/>
    <w:rsid w:val="00DC0259"/>
    <w:rsid w:val="00DC5DC8"/>
    <w:rsid w:val="00DF4752"/>
    <w:rsid w:val="00E01958"/>
    <w:rsid w:val="00E04AE8"/>
    <w:rsid w:val="00E15230"/>
    <w:rsid w:val="00E37D6B"/>
    <w:rsid w:val="00E466CD"/>
    <w:rsid w:val="00E54CAE"/>
    <w:rsid w:val="00E550C7"/>
    <w:rsid w:val="00E5699D"/>
    <w:rsid w:val="00E6133D"/>
    <w:rsid w:val="00E805F1"/>
    <w:rsid w:val="00EE6DE3"/>
    <w:rsid w:val="00F649EE"/>
    <w:rsid w:val="00F863EF"/>
    <w:rsid w:val="00F908FD"/>
    <w:rsid w:val="00F91EAC"/>
    <w:rsid w:val="00FB554F"/>
    <w:rsid w:val="00FD21CA"/>
    <w:rsid w:val="00FE0D3F"/>
    <w:rsid w:val="00FE2765"/>
    <w:rsid w:val="00FF4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F4752"/>
    <w:rPr>
      <w:color w:val="605E5C"/>
      <w:shd w:val="clear" w:color="auto" w:fill="E1DFDD"/>
    </w:rPr>
  </w:style>
  <w:style w:type="paragraph" w:styleId="Bibliography">
    <w:name w:val="Bibliography"/>
    <w:basedOn w:val="Normal"/>
    <w:next w:val="Normal"/>
    <w:uiPriority w:val="37"/>
    <w:unhideWhenUsed/>
    <w:rsid w:val="00492802"/>
    <w:pPr>
      <w:tabs>
        <w:tab w:val="left" w:pos="620"/>
      </w:tabs>
      <w:spacing w:after="240"/>
      <w:ind w:left="624" w:hanging="624"/>
    </w:pPr>
  </w:style>
  <w:style w:type="paragraph" w:styleId="Header">
    <w:name w:val="header"/>
    <w:basedOn w:val="Normal"/>
    <w:link w:val="HeaderChar"/>
    <w:uiPriority w:val="99"/>
    <w:unhideWhenUsed/>
    <w:rsid w:val="004A631C"/>
    <w:pPr>
      <w:tabs>
        <w:tab w:val="center" w:pos="4513"/>
        <w:tab w:val="right" w:pos="9026"/>
      </w:tabs>
      <w:spacing w:after="0"/>
    </w:pPr>
  </w:style>
  <w:style w:type="character" w:customStyle="1" w:styleId="HeaderChar">
    <w:name w:val="Header Char"/>
    <w:basedOn w:val="DefaultParagraphFont"/>
    <w:link w:val="Header"/>
    <w:uiPriority w:val="99"/>
    <w:rsid w:val="004A631C"/>
  </w:style>
  <w:style w:type="paragraph" w:styleId="Footer">
    <w:name w:val="footer"/>
    <w:basedOn w:val="Normal"/>
    <w:link w:val="FooterChar"/>
    <w:uiPriority w:val="99"/>
    <w:unhideWhenUsed/>
    <w:rsid w:val="004A631C"/>
    <w:pPr>
      <w:tabs>
        <w:tab w:val="center" w:pos="4513"/>
        <w:tab w:val="right" w:pos="9026"/>
      </w:tabs>
      <w:spacing w:after="0"/>
    </w:pPr>
  </w:style>
  <w:style w:type="character" w:customStyle="1" w:styleId="FooterChar">
    <w:name w:val="Footer Char"/>
    <w:basedOn w:val="DefaultParagraphFont"/>
    <w:link w:val="Footer"/>
    <w:uiPriority w:val="99"/>
    <w:rsid w:val="004A631C"/>
  </w:style>
  <w:style w:type="character" w:styleId="LineNumber">
    <w:name w:val="line number"/>
    <w:basedOn w:val="DefaultParagraphFont"/>
    <w:uiPriority w:val="99"/>
    <w:semiHidden/>
    <w:unhideWhenUsed/>
    <w:rsid w:val="00971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93266259">
      <w:bodyDiv w:val="1"/>
      <w:marLeft w:val="0"/>
      <w:marRight w:val="0"/>
      <w:marTop w:val="0"/>
      <w:marBottom w:val="0"/>
      <w:divBdr>
        <w:top w:val="none" w:sz="0" w:space="0" w:color="auto"/>
        <w:left w:val="none" w:sz="0" w:space="0" w:color="auto"/>
        <w:bottom w:val="none" w:sz="0" w:space="0" w:color="auto"/>
        <w:right w:val="none" w:sz="0" w:space="0" w:color="auto"/>
      </w:divBdr>
    </w:div>
    <w:div w:id="1248806238">
      <w:bodyDiv w:val="1"/>
      <w:marLeft w:val="0"/>
      <w:marRight w:val="0"/>
      <w:marTop w:val="0"/>
      <w:marBottom w:val="0"/>
      <w:divBdr>
        <w:top w:val="none" w:sz="0" w:space="0" w:color="auto"/>
        <w:left w:val="none" w:sz="0" w:space="0" w:color="auto"/>
        <w:bottom w:val="none" w:sz="0" w:space="0" w:color="auto"/>
        <w:right w:val="none" w:sz="0" w:space="0" w:color="auto"/>
      </w:divBdr>
    </w:div>
    <w:div w:id="186470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maxlindmark/scaling" TargetMode="External"/><Relationship Id="rId4" Type="http://schemas.openxmlformats.org/officeDocument/2006/relationships/settings" Target="settings.xml"/><Relationship Id="rId9" Type="http://schemas.openxmlformats.org/officeDocument/2006/relationships/hyperlink" Target="mailto:max.lindmark@slu.s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6ECC7-B453-4A88-8946-6CAE26400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45629</Words>
  <Characters>260090</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305109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Max Lindmark</cp:lastModifiedBy>
  <cp:revision>7</cp:revision>
  <cp:lastPrinted>2021-01-21T14:39:00Z</cp:lastPrinted>
  <dcterms:created xsi:type="dcterms:W3CDTF">2021-01-21T14:39:00Z</dcterms:created>
  <dcterms:modified xsi:type="dcterms:W3CDTF">2021-01-21T14:40:00Z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id="YiXZEqqf"/&gt;&lt;style id="http://www.zotero.org/styles/pnas"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