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0E058" w14:textId="77777777" w:rsidR="00586E06" w:rsidRPr="00586E06" w:rsidRDefault="00586E06" w:rsidP="00586E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86E06">
        <w:rPr>
          <w:rFonts w:ascii="Times New Roman" w:eastAsia="Times New Roman" w:hAnsi="Times New Roman" w:cs="Times New Roman"/>
          <w:b/>
          <w:bCs/>
          <w:kern w:val="36"/>
          <w:sz w:val="48"/>
          <w:szCs w:val="48"/>
          <w14:ligatures w14:val="none"/>
        </w:rPr>
        <w:t>Detailed Table of Events, Dates, Names, Policy/Statute/Law Violations, and Quotes for EEO Investigation</w:t>
      </w:r>
    </w:p>
    <w:p w14:paraId="608B5E91" w14:textId="7E40ED35"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This table consolidates critical events, dates, involved individuals, associated policy/statute/law violations, and direct quotes or statements from emails or Teams messages, based on provided documents, including RA communications, FMLA determination, rebuttals to witness affidavits, prior analyses, the comprehensive response detailing FEMA Region 6's systemic failures</w:t>
      </w:r>
      <w:r>
        <w:rPr>
          <w:rFonts w:ascii="Times New Roman" w:eastAsia="Times New Roman" w:hAnsi="Times New Roman" w:cs="Times New Roman"/>
          <w:kern w:val="0"/>
          <w14:ligatures w14:val="none"/>
        </w:rPr>
        <w:t>.</w:t>
      </w:r>
      <w:r w:rsidRPr="00586E06">
        <w:rPr>
          <w:rFonts w:ascii="Times New Roman" w:eastAsia="Times New Roman" w:hAnsi="Times New Roman" w:cs="Times New Roman"/>
          <w:kern w:val="0"/>
          <w14:ligatures w14:val="none"/>
        </w:rPr>
        <w:t xml:space="preserve"> Max J. Meindl case HS-FEMA-02430-2024, it addresses FEMA’s mishandling of Reasonable Accommodation (RA) requests, retaliatory termination on January 6, 2025, and broader inability to accommodate older employees. Each entry includes evidence, identifies responsible parties, cites violations of federal laws, EEOC Management Directive 110 (MD-110), FEMA policies, and the Age Discrimination in Employment Act (ADEA), and provides relevant quotes where available from emails or Teams messages. Where no direct quotes are available (e.g., due to lack of specific message content in the </w:t>
      </w:r>
      <w:proofErr w:type="gramStart"/>
      <w:r w:rsidRPr="00586E06">
        <w:rPr>
          <w:rFonts w:ascii="Times New Roman" w:eastAsia="Times New Roman" w:hAnsi="Times New Roman" w:cs="Times New Roman"/>
          <w:kern w:val="0"/>
          <w14:ligatures w14:val="none"/>
        </w:rPr>
        <w:t>provided documents</w:t>
      </w:r>
      <w:proofErr w:type="gramEnd"/>
      <w:r w:rsidRPr="00586E06">
        <w:rPr>
          <w:rFonts w:ascii="Times New Roman" w:eastAsia="Times New Roman" w:hAnsi="Times New Roman" w:cs="Times New Roman"/>
          <w:kern w:val="0"/>
          <w14:ligatures w14:val="none"/>
        </w:rPr>
        <w:t>), the column notes the absence or references the document source.</w:t>
      </w:r>
    </w:p>
    <w:tbl>
      <w:tblPr>
        <w:tblStyle w:val="GridTable2-Accent6"/>
        <w:tblW w:w="0" w:type="auto"/>
        <w:tblLook w:val="04A0" w:firstRow="1" w:lastRow="0" w:firstColumn="1" w:lastColumn="0" w:noHBand="0" w:noVBand="1"/>
      </w:tblPr>
      <w:tblGrid>
        <w:gridCol w:w="766"/>
        <w:gridCol w:w="2579"/>
        <w:gridCol w:w="1586"/>
        <w:gridCol w:w="3198"/>
        <w:gridCol w:w="2671"/>
      </w:tblGrid>
      <w:tr w:rsidR="00586E06" w:rsidRPr="00586E06" w14:paraId="64F00A53" w14:textId="77777777" w:rsidTr="00586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7CF45" w14:textId="77777777" w:rsidR="00586E06" w:rsidRPr="00586E06" w:rsidRDefault="00586E06" w:rsidP="00586E06">
            <w:pPr>
              <w:jc w:val="center"/>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Date</w:t>
            </w:r>
          </w:p>
        </w:tc>
        <w:tc>
          <w:tcPr>
            <w:tcW w:w="0" w:type="auto"/>
            <w:hideMark/>
          </w:tcPr>
          <w:p w14:paraId="6F9767CD" w14:textId="77777777" w:rsidR="00586E06" w:rsidRPr="00586E06" w:rsidRDefault="00586E06" w:rsidP="00586E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Event</w:t>
            </w:r>
          </w:p>
        </w:tc>
        <w:tc>
          <w:tcPr>
            <w:tcW w:w="0" w:type="auto"/>
            <w:hideMark/>
          </w:tcPr>
          <w:p w14:paraId="1E76063B" w14:textId="77777777" w:rsidR="00586E06" w:rsidRPr="00586E06" w:rsidRDefault="00586E06" w:rsidP="00586E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Names Involved</w:t>
            </w:r>
          </w:p>
        </w:tc>
        <w:tc>
          <w:tcPr>
            <w:tcW w:w="0" w:type="auto"/>
            <w:hideMark/>
          </w:tcPr>
          <w:p w14:paraId="30D9C87F" w14:textId="77777777" w:rsidR="00586E06" w:rsidRPr="00586E06" w:rsidRDefault="00586E06" w:rsidP="00586E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Policy/Statute/Law Violations</w:t>
            </w:r>
          </w:p>
        </w:tc>
        <w:tc>
          <w:tcPr>
            <w:tcW w:w="0" w:type="auto"/>
            <w:hideMark/>
          </w:tcPr>
          <w:p w14:paraId="0A57CA14" w14:textId="77777777" w:rsidR="00586E06" w:rsidRPr="00586E06" w:rsidRDefault="00586E06" w:rsidP="00586E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Quotes/Statements</w:t>
            </w:r>
          </w:p>
        </w:tc>
      </w:tr>
      <w:tr w:rsidR="00586E06" w:rsidRPr="00586E06" w14:paraId="43859EAE"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C900AB"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Sep 21, 2018</w:t>
            </w:r>
          </w:p>
        </w:tc>
        <w:tc>
          <w:tcPr>
            <w:tcW w:w="0" w:type="auto"/>
            <w:hideMark/>
          </w:tcPr>
          <w:p w14:paraId="252B9D4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files harassment complaint (HS-FEMA-01876). Closed without investigation on Oct 15, 2018, signaling early neglect.</w:t>
            </w:r>
          </w:p>
        </w:tc>
        <w:tc>
          <w:tcPr>
            <w:tcW w:w="0" w:type="auto"/>
            <w:hideMark/>
          </w:tcPr>
          <w:p w14:paraId="153C872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Office of Equal Rights (unspecified)</w:t>
            </w:r>
          </w:p>
        </w:tc>
        <w:tc>
          <w:tcPr>
            <w:tcW w:w="0" w:type="auto"/>
            <w:hideMark/>
          </w:tcPr>
          <w:p w14:paraId="4E18BF8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§III.A</w:t>
            </w:r>
            <w:r w:rsidRPr="00586E06">
              <w:rPr>
                <w:rFonts w:ascii="Times New Roman" w:eastAsia="Times New Roman" w:hAnsi="Times New Roman" w:cs="Times New Roman"/>
                <w:kern w:val="0"/>
                <w:sz w:val="20"/>
                <w:szCs w:val="20"/>
                <w14:ligatures w14:val="none"/>
              </w:rPr>
              <w:t>: Failure to investigate harassment complaint undermines EEO process integrity.</w:t>
            </w:r>
          </w:p>
        </w:tc>
        <w:tc>
          <w:tcPr>
            <w:tcW w:w="0" w:type="auto"/>
            <w:hideMark/>
          </w:tcPr>
          <w:p w14:paraId="7291195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event referenced in Comprehensive Response, p. 3.</w:t>
            </w:r>
          </w:p>
        </w:tc>
      </w:tr>
      <w:tr w:rsidR="00586E06" w:rsidRPr="00586E06" w14:paraId="4ADF16D1"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78255A17"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Nov 26, 2018</w:t>
            </w:r>
          </w:p>
        </w:tc>
        <w:tc>
          <w:tcPr>
            <w:tcW w:w="0" w:type="auto"/>
            <w:hideMark/>
          </w:tcPr>
          <w:p w14:paraId="4BFE1F3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submits RA request (RAR001234) for episodic telework. Denied by Jamie McAllister on Dec 10, 2018, without discussion.</w:t>
            </w:r>
          </w:p>
        </w:tc>
        <w:tc>
          <w:tcPr>
            <w:tcW w:w="0" w:type="auto"/>
            <w:hideMark/>
          </w:tcPr>
          <w:p w14:paraId="6F013CC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Jamie McAllister</w:t>
            </w:r>
          </w:p>
        </w:tc>
        <w:tc>
          <w:tcPr>
            <w:tcW w:w="0" w:type="auto"/>
            <w:hideMark/>
          </w:tcPr>
          <w:p w14:paraId="1D8675E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Denial without interactive process violates 29 C.F.R. §1630.2(o)(3).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Lack of engagement breaches </w:t>
            </w:r>
            <w:proofErr w:type="gramStart"/>
            <w:r w:rsidRPr="00586E06">
              <w:rPr>
                <w:rFonts w:ascii="Times New Roman" w:eastAsia="Times New Roman" w:hAnsi="Times New Roman" w:cs="Times New Roman"/>
                <w:kern w:val="0"/>
                <w:sz w:val="20"/>
                <w:szCs w:val="20"/>
                <w14:ligatures w14:val="none"/>
              </w:rPr>
              <w:t>RA</w:t>
            </w:r>
            <w:proofErr w:type="gramEnd"/>
            <w:r w:rsidRPr="00586E06">
              <w:rPr>
                <w:rFonts w:ascii="Times New Roman" w:eastAsia="Times New Roman" w:hAnsi="Times New Roman" w:cs="Times New Roman"/>
                <w:kern w:val="0"/>
                <w:sz w:val="20"/>
                <w:szCs w:val="20"/>
                <w14:ligatures w14:val="none"/>
              </w:rPr>
              <w:t xml:space="preserve"> process.</w:t>
            </w:r>
          </w:p>
        </w:tc>
        <w:tc>
          <w:tcPr>
            <w:tcW w:w="0" w:type="auto"/>
            <w:hideMark/>
          </w:tcPr>
          <w:p w14:paraId="564FB4F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denial noted in Comprehensive Response, p. 3.</w:t>
            </w:r>
          </w:p>
        </w:tc>
      </w:tr>
      <w:tr w:rsidR="00586E06" w:rsidRPr="00586E06" w14:paraId="2FDF9900"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B1FA6"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May 1, 2019</w:t>
            </w:r>
          </w:p>
        </w:tc>
        <w:tc>
          <w:tcPr>
            <w:tcW w:w="0" w:type="auto"/>
            <w:hideMark/>
          </w:tcPr>
          <w:p w14:paraId="6D7A075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FMLA request approved effective May 1, 2019, for 12 weeks due to chronic health condition.</w:t>
            </w:r>
          </w:p>
        </w:tc>
        <w:tc>
          <w:tcPr>
            <w:tcW w:w="0" w:type="auto"/>
            <w:hideMark/>
          </w:tcPr>
          <w:p w14:paraId="7D78349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Jacqueline Gause, Max Meindl, Jamie McAllister, Angela Agaiby, Brian Slie</w:t>
            </w:r>
          </w:p>
        </w:tc>
        <w:tc>
          <w:tcPr>
            <w:tcW w:w="0" w:type="auto"/>
            <w:hideMark/>
          </w:tcPr>
          <w:p w14:paraId="0786C10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None identified for </w:t>
            </w:r>
            <w:proofErr w:type="gramStart"/>
            <w:r w:rsidRPr="00586E06">
              <w:rPr>
                <w:rFonts w:ascii="Times New Roman" w:eastAsia="Times New Roman" w:hAnsi="Times New Roman" w:cs="Times New Roman"/>
                <w:kern w:val="0"/>
                <w:sz w:val="20"/>
                <w:szCs w:val="20"/>
                <w14:ligatures w14:val="none"/>
              </w:rPr>
              <w:t>approval, but</w:t>
            </w:r>
            <w:proofErr w:type="gramEnd"/>
            <w:r w:rsidRPr="00586E06">
              <w:rPr>
                <w:rFonts w:ascii="Times New Roman" w:eastAsia="Times New Roman" w:hAnsi="Times New Roman" w:cs="Times New Roman"/>
                <w:kern w:val="0"/>
                <w:sz w:val="20"/>
                <w:szCs w:val="20"/>
                <w14:ligatures w14:val="none"/>
              </w:rPr>
              <w:t xml:space="preserve"> sets context for RA needs.</w:t>
            </w:r>
          </w:p>
        </w:tc>
        <w:tc>
          <w:tcPr>
            <w:tcW w:w="0" w:type="auto"/>
            <w:hideMark/>
          </w:tcPr>
          <w:p w14:paraId="3BEDE10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"Your request for FMLA leave has been approved effective May 1, 2019, for 12 weeks." (</w:t>
            </w:r>
            <w:proofErr w:type="spellStart"/>
            <w:r w:rsidRPr="00586E06">
              <w:rPr>
                <w:rFonts w:ascii="Times New Roman" w:eastAsia="Times New Roman" w:hAnsi="Times New Roman" w:cs="Times New Roman"/>
                <w:kern w:val="0"/>
                <w:sz w:val="20"/>
                <w:szCs w:val="20"/>
                <w14:ligatures w14:val="none"/>
              </w:rPr>
              <w:t>fmla</w:t>
            </w:r>
            <w:proofErr w:type="spellEnd"/>
            <w:r w:rsidRPr="00586E06">
              <w:rPr>
                <w:rFonts w:ascii="Times New Roman" w:eastAsia="Times New Roman" w:hAnsi="Times New Roman" w:cs="Times New Roman"/>
                <w:kern w:val="0"/>
                <w:sz w:val="20"/>
                <w:szCs w:val="20"/>
                <w14:ligatures w14:val="none"/>
              </w:rPr>
              <w:t xml:space="preserve"> determination-alexander.pdf).</w:t>
            </w:r>
          </w:p>
        </w:tc>
      </w:tr>
      <w:tr w:rsidR="00586E06" w:rsidRPr="00586E06" w14:paraId="01570C62"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2FFD5058"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Jun 26, 2019</w:t>
            </w:r>
          </w:p>
        </w:tc>
        <w:tc>
          <w:tcPr>
            <w:tcW w:w="0" w:type="auto"/>
            <w:hideMark/>
          </w:tcPr>
          <w:p w14:paraId="2400146A"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Dennis Alexander denies Meindl’s intermittent FMLA leave, misapplying policy.</w:t>
            </w:r>
          </w:p>
        </w:tc>
        <w:tc>
          <w:tcPr>
            <w:tcW w:w="0" w:type="auto"/>
            <w:hideMark/>
          </w:tcPr>
          <w:p w14:paraId="321BF52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Dennis Alexander, Max Meindl</w:t>
            </w:r>
          </w:p>
        </w:tc>
        <w:tc>
          <w:tcPr>
            <w:tcW w:w="0" w:type="auto"/>
            <w:hideMark/>
          </w:tcPr>
          <w:p w14:paraId="7599DB4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FMLA (29 C.F.R. §825.202)</w:t>
            </w:r>
            <w:r w:rsidRPr="00586E06">
              <w:rPr>
                <w:rFonts w:ascii="Times New Roman" w:eastAsia="Times New Roman" w:hAnsi="Times New Roman" w:cs="Times New Roman"/>
                <w:kern w:val="0"/>
                <w:sz w:val="20"/>
                <w:szCs w:val="20"/>
                <w14:ligatures w14:val="none"/>
              </w:rPr>
              <w:t>: Misapplication restricts health management options.</w:t>
            </w:r>
          </w:p>
        </w:tc>
        <w:tc>
          <w:tcPr>
            <w:tcW w:w="0" w:type="auto"/>
            <w:hideMark/>
          </w:tcPr>
          <w:p w14:paraId="3AEF172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denial referenced in Comprehensive Response, p. 3.</w:t>
            </w:r>
          </w:p>
        </w:tc>
      </w:tr>
      <w:tr w:rsidR="00586E06" w:rsidRPr="00586E06" w14:paraId="0A8345B0"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2B258"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22, 2019</w:t>
            </w:r>
          </w:p>
        </w:tc>
        <w:tc>
          <w:tcPr>
            <w:tcW w:w="0" w:type="auto"/>
            <w:hideMark/>
          </w:tcPr>
          <w:p w14:paraId="480089E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requests FMLA recertification, feeling “singled out” as a senior citizen (age 74).</w:t>
            </w:r>
          </w:p>
        </w:tc>
        <w:tc>
          <w:tcPr>
            <w:tcW w:w="0" w:type="auto"/>
            <w:hideMark/>
          </w:tcPr>
          <w:p w14:paraId="57B811A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Jacqueline Gause</w:t>
            </w:r>
          </w:p>
        </w:tc>
        <w:tc>
          <w:tcPr>
            <w:tcW w:w="0" w:type="auto"/>
            <w:hideMark/>
          </w:tcPr>
          <w:p w14:paraId="4B8A62B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Perception of age-based scrutiny suggests discrimination.</w:t>
            </w:r>
          </w:p>
        </w:tc>
        <w:tc>
          <w:tcPr>
            <w:tcW w:w="0" w:type="auto"/>
            <w:hideMark/>
          </w:tcPr>
          <w:p w14:paraId="75EC6FA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 feel singled out as a senior citizen in this process." (OUTLOOK COMMS-FMLA-V1.CSV).</w:t>
            </w:r>
          </w:p>
        </w:tc>
      </w:tr>
      <w:tr w:rsidR="00586E06" w:rsidRPr="00586E06" w14:paraId="6FB49B7F"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9152E74"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30, 2019</w:t>
            </w:r>
          </w:p>
        </w:tc>
        <w:tc>
          <w:tcPr>
            <w:tcW w:w="0" w:type="auto"/>
            <w:hideMark/>
          </w:tcPr>
          <w:p w14:paraId="6CA3F6D9"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Sandra Cooley clarifies FMLA workload policy, requiring equal workload, increasing burden.</w:t>
            </w:r>
          </w:p>
        </w:tc>
        <w:tc>
          <w:tcPr>
            <w:tcW w:w="0" w:type="auto"/>
            <w:hideMark/>
          </w:tcPr>
          <w:p w14:paraId="6941D37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Sandra Cooley, Max Meindl</w:t>
            </w:r>
          </w:p>
        </w:tc>
        <w:tc>
          <w:tcPr>
            <w:tcW w:w="0" w:type="auto"/>
            <w:hideMark/>
          </w:tcPr>
          <w:p w14:paraId="1D59BCE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FMLA (29 C.F.R. §825.220)</w:t>
            </w:r>
            <w:r w:rsidRPr="00586E06">
              <w:rPr>
                <w:rFonts w:ascii="Times New Roman" w:eastAsia="Times New Roman" w:hAnsi="Times New Roman" w:cs="Times New Roman"/>
                <w:kern w:val="0"/>
                <w:sz w:val="20"/>
                <w:szCs w:val="20"/>
                <w14:ligatures w14:val="none"/>
              </w:rPr>
              <w:t>: Equal workload during FMLA may violate interference protections.</w:t>
            </w:r>
          </w:p>
        </w:tc>
        <w:tc>
          <w:tcPr>
            <w:tcW w:w="0" w:type="auto"/>
            <w:hideMark/>
          </w:tcPr>
          <w:p w14:paraId="2A85F27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"FMLA leave does not exempt you from equal workload distribution." (OUTLOOK COMMS-FMLA-V1.CSV).</w:t>
            </w:r>
          </w:p>
        </w:tc>
      </w:tr>
      <w:tr w:rsidR="00586E06" w:rsidRPr="00586E06" w14:paraId="70201FF0"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BE3B2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Nov 6, 2019</w:t>
            </w:r>
          </w:p>
        </w:tc>
        <w:tc>
          <w:tcPr>
            <w:tcW w:w="0" w:type="auto"/>
            <w:hideMark/>
          </w:tcPr>
          <w:p w14:paraId="62F0A6FA"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Gause recommends Meindl request RA due to physician’s note indicating </w:t>
            </w:r>
            <w:r w:rsidRPr="00586E06">
              <w:rPr>
                <w:rFonts w:ascii="Times New Roman" w:eastAsia="Times New Roman" w:hAnsi="Times New Roman" w:cs="Times New Roman"/>
                <w:kern w:val="0"/>
                <w:sz w:val="20"/>
                <w:szCs w:val="20"/>
                <w14:ligatures w14:val="none"/>
              </w:rPr>
              <w:lastRenderedPageBreak/>
              <w:t>disabling condition (COPD, CAD).</w:t>
            </w:r>
          </w:p>
        </w:tc>
        <w:tc>
          <w:tcPr>
            <w:tcW w:w="0" w:type="auto"/>
            <w:hideMark/>
          </w:tcPr>
          <w:p w14:paraId="4542B43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 xml:space="preserve">Jacqueline Gause, Max </w:t>
            </w:r>
            <w:r w:rsidRPr="00586E06">
              <w:rPr>
                <w:rFonts w:ascii="Times New Roman" w:eastAsia="Times New Roman" w:hAnsi="Times New Roman" w:cs="Times New Roman"/>
                <w:kern w:val="0"/>
                <w:sz w:val="20"/>
                <w:szCs w:val="20"/>
                <w14:ligatures w14:val="none"/>
              </w:rPr>
              <w:lastRenderedPageBreak/>
              <w:t>Meindl, Keya Jackson</w:t>
            </w:r>
          </w:p>
        </w:tc>
        <w:tc>
          <w:tcPr>
            <w:tcW w:w="0" w:type="auto"/>
            <w:hideMark/>
          </w:tcPr>
          <w:p w14:paraId="2B0965D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None identified, but lack of follow-up foreshadows RA delays.</w:t>
            </w:r>
          </w:p>
        </w:tc>
        <w:tc>
          <w:tcPr>
            <w:tcW w:w="0" w:type="auto"/>
            <w:hideMark/>
          </w:tcPr>
          <w:p w14:paraId="2393974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"Your physician’s note indicates a need for scheduling flexibility; I </w:t>
            </w:r>
            <w:r w:rsidRPr="00586E06">
              <w:rPr>
                <w:rFonts w:ascii="Times New Roman" w:eastAsia="Times New Roman" w:hAnsi="Times New Roman" w:cs="Times New Roman"/>
                <w:kern w:val="0"/>
                <w:sz w:val="20"/>
                <w:szCs w:val="20"/>
                <w14:ligatures w14:val="none"/>
              </w:rPr>
              <w:lastRenderedPageBreak/>
              <w:t>recommend submitting an RA request using FEMA Form 256." (</w:t>
            </w:r>
            <w:proofErr w:type="spellStart"/>
            <w:r w:rsidRPr="00586E06">
              <w:rPr>
                <w:rFonts w:ascii="Times New Roman" w:eastAsia="Times New Roman" w:hAnsi="Times New Roman" w:cs="Times New Roman"/>
                <w:kern w:val="0"/>
                <w:sz w:val="20"/>
                <w:szCs w:val="20"/>
                <w14:ligatures w14:val="none"/>
              </w:rPr>
              <w:t>ra</w:t>
            </w:r>
            <w:proofErr w:type="spellEnd"/>
            <w:r w:rsidRPr="00586E06">
              <w:rPr>
                <w:rFonts w:ascii="Times New Roman" w:eastAsia="Times New Roman" w:hAnsi="Times New Roman" w:cs="Times New Roman"/>
                <w:kern w:val="0"/>
                <w:sz w:val="20"/>
                <w:szCs w:val="20"/>
                <w14:ligatures w14:val="none"/>
              </w:rPr>
              <w:t xml:space="preserve"> comms-rick-pag-3.pdf).</w:t>
            </w:r>
          </w:p>
        </w:tc>
      </w:tr>
      <w:tr w:rsidR="00586E06" w:rsidRPr="00586E06" w14:paraId="69D027DA"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1B76388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Feb 27, 2020</w:t>
            </w:r>
          </w:p>
        </w:tc>
        <w:tc>
          <w:tcPr>
            <w:tcW w:w="0" w:type="auto"/>
            <w:hideMark/>
          </w:tcPr>
          <w:p w14:paraId="21630363"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attempts to file EEO complaint, directed to FEMA’s Office of Equal Rights.</w:t>
            </w:r>
          </w:p>
        </w:tc>
        <w:tc>
          <w:tcPr>
            <w:tcW w:w="0" w:type="auto"/>
            <w:hideMark/>
          </w:tcPr>
          <w:p w14:paraId="6E85A1D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Office of Equal Rights (unspecified)</w:t>
            </w:r>
          </w:p>
        </w:tc>
        <w:tc>
          <w:tcPr>
            <w:tcW w:w="0" w:type="auto"/>
            <w:hideMark/>
          </w:tcPr>
          <w:p w14:paraId="179F7E4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None </w:t>
            </w:r>
            <w:proofErr w:type="gramStart"/>
            <w:r w:rsidRPr="00586E06">
              <w:rPr>
                <w:rFonts w:ascii="Times New Roman" w:eastAsia="Times New Roman" w:hAnsi="Times New Roman" w:cs="Times New Roman"/>
                <w:kern w:val="0"/>
                <w:sz w:val="20"/>
                <w:szCs w:val="20"/>
                <w14:ligatures w14:val="none"/>
              </w:rPr>
              <w:t>identified, but</w:t>
            </w:r>
            <w:proofErr w:type="gramEnd"/>
            <w:r w:rsidRPr="00586E06">
              <w:rPr>
                <w:rFonts w:ascii="Times New Roman" w:eastAsia="Times New Roman" w:hAnsi="Times New Roman" w:cs="Times New Roman"/>
                <w:kern w:val="0"/>
                <w:sz w:val="20"/>
                <w:szCs w:val="20"/>
                <w14:ligatures w14:val="none"/>
              </w:rPr>
              <w:t xml:space="preserve"> indicates ongoing concerns.</w:t>
            </w:r>
          </w:p>
        </w:tc>
        <w:tc>
          <w:tcPr>
            <w:tcW w:w="0" w:type="auto"/>
            <w:hideMark/>
          </w:tcPr>
          <w:p w14:paraId="2BF17988"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event noted in Comprehensive Response, p. 3.</w:t>
            </w:r>
          </w:p>
        </w:tc>
      </w:tr>
      <w:tr w:rsidR="00586E06" w:rsidRPr="00586E06" w14:paraId="2D2FA36D"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95C10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Mar 4, 2020</w:t>
            </w:r>
          </w:p>
        </w:tc>
        <w:tc>
          <w:tcPr>
            <w:tcW w:w="0" w:type="auto"/>
            <w:hideMark/>
          </w:tcPr>
          <w:p w14:paraId="191B9D9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expresses COVID-19 exposure concerns (COPD, CAD), considering 2–</w:t>
            </w:r>
            <w:proofErr w:type="gramStart"/>
            <w:r w:rsidRPr="00586E06">
              <w:rPr>
                <w:rFonts w:ascii="Times New Roman" w:eastAsia="Times New Roman" w:hAnsi="Times New Roman" w:cs="Times New Roman"/>
                <w:kern w:val="0"/>
                <w:sz w:val="20"/>
                <w:szCs w:val="20"/>
                <w14:ligatures w14:val="none"/>
              </w:rPr>
              <w:t>6 week</w:t>
            </w:r>
            <w:proofErr w:type="gramEnd"/>
            <w:r w:rsidRPr="00586E06">
              <w:rPr>
                <w:rFonts w:ascii="Times New Roman" w:eastAsia="Times New Roman" w:hAnsi="Times New Roman" w:cs="Times New Roman"/>
                <w:kern w:val="0"/>
                <w:sz w:val="20"/>
                <w:szCs w:val="20"/>
                <w14:ligatures w14:val="none"/>
              </w:rPr>
              <w:t xml:space="preserve"> RA for telework. Keya Jackson provides RA Fact Sheet, requiring redundant documentation.</w:t>
            </w:r>
          </w:p>
        </w:tc>
        <w:tc>
          <w:tcPr>
            <w:tcW w:w="0" w:type="auto"/>
            <w:hideMark/>
          </w:tcPr>
          <w:p w14:paraId="53794E3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Jacqueline Gause, Keya Jackson, Richard Cain</w:t>
            </w:r>
          </w:p>
        </w:tc>
        <w:tc>
          <w:tcPr>
            <w:tcW w:w="0" w:type="auto"/>
            <w:hideMark/>
          </w:tcPr>
          <w:p w14:paraId="6FB9B1A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§VI.C</w:t>
            </w:r>
            <w:r w:rsidRPr="00586E06">
              <w:rPr>
                <w:rFonts w:ascii="Times New Roman" w:eastAsia="Times New Roman" w:hAnsi="Times New Roman" w:cs="Times New Roman"/>
                <w:kern w:val="0"/>
                <w:sz w:val="20"/>
                <w:szCs w:val="20"/>
                <w14:ligatures w14:val="none"/>
              </w:rPr>
              <w:t xml:space="preserve">: Redundant documentation violates streamlined </w:t>
            </w:r>
            <w:proofErr w:type="gramStart"/>
            <w:r w:rsidRPr="00586E06">
              <w:rPr>
                <w:rFonts w:ascii="Times New Roman" w:eastAsia="Times New Roman" w:hAnsi="Times New Roman" w:cs="Times New Roman"/>
                <w:kern w:val="0"/>
                <w:sz w:val="20"/>
                <w:szCs w:val="20"/>
                <w14:ligatures w14:val="none"/>
              </w:rPr>
              <w:t>process</w:t>
            </w:r>
            <w:proofErr w:type="gramEnd"/>
            <w:r w:rsidRPr="00586E06">
              <w:rPr>
                <w:rFonts w:ascii="Times New Roman" w:eastAsia="Times New Roman" w:hAnsi="Times New Roman" w:cs="Times New Roman"/>
                <w:kern w:val="0"/>
                <w:sz w:val="20"/>
                <w:szCs w:val="20"/>
                <w14:ligatures w14:val="none"/>
              </w:rPr>
              <w:t xml:space="preserve">.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Delay risks timely accommodation (29 C.F.R. §1630).</w:t>
            </w:r>
          </w:p>
        </w:tc>
        <w:tc>
          <w:tcPr>
            <w:tcW w:w="0" w:type="auto"/>
            <w:hideMark/>
          </w:tcPr>
          <w:p w14:paraId="174E2D6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"Given my COPD and CAD, I’m concerned about COVID-19 exposure." Jackson: "Please submit FEMA Form 256 with a doctor’s note." (</w:t>
            </w:r>
            <w:proofErr w:type="spellStart"/>
            <w:r w:rsidRPr="00586E06">
              <w:rPr>
                <w:rFonts w:ascii="Times New Roman" w:eastAsia="Times New Roman" w:hAnsi="Times New Roman" w:cs="Times New Roman"/>
                <w:kern w:val="0"/>
                <w:sz w:val="20"/>
                <w:szCs w:val="20"/>
                <w14:ligatures w14:val="none"/>
              </w:rPr>
              <w:t>ra</w:t>
            </w:r>
            <w:proofErr w:type="spellEnd"/>
            <w:r w:rsidRPr="00586E06">
              <w:rPr>
                <w:rFonts w:ascii="Times New Roman" w:eastAsia="Times New Roman" w:hAnsi="Times New Roman" w:cs="Times New Roman"/>
                <w:kern w:val="0"/>
                <w:sz w:val="20"/>
                <w:szCs w:val="20"/>
                <w14:ligatures w14:val="none"/>
              </w:rPr>
              <w:t xml:space="preserve"> request-comms-rick-pag.pdf).</w:t>
            </w:r>
          </w:p>
        </w:tc>
      </w:tr>
      <w:tr w:rsidR="00586E06" w:rsidRPr="00586E06" w14:paraId="10BF8B59"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179D677D"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Mar 12, 2020</w:t>
            </w:r>
          </w:p>
        </w:tc>
        <w:tc>
          <w:tcPr>
            <w:tcW w:w="0" w:type="auto"/>
            <w:hideMark/>
          </w:tcPr>
          <w:p w14:paraId="0C97E68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requests FMLA for wife’s care; informed prior FMLA exhausted, not eligible until Apr 30, 2020.</w:t>
            </w:r>
          </w:p>
        </w:tc>
        <w:tc>
          <w:tcPr>
            <w:tcW w:w="0" w:type="auto"/>
            <w:hideMark/>
          </w:tcPr>
          <w:p w14:paraId="3A747548"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Jacqueline Gause (implied)</w:t>
            </w:r>
          </w:p>
        </w:tc>
        <w:tc>
          <w:tcPr>
            <w:tcW w:w="0" w:type="auto"/>
            <w:hideMark/>
          </w:tcPr>
          <w:p w14:paraId="20C41EA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FMLA (29 C.F.R. §825.200)</w:t>
            </w:r>
            <w:r w:rsidRPr="00586E06">
              <w:rPr>
                <w:rFonts w:ascii="Times New Roman" w:eastAsia="Times New Roman" w:hAnsi="Times New Roman" w:cs="Times New Roman"/>
                <w:kern w:val="0"/>
                <w:sz w:val="20"/>
                <w:szCs w:val="20"/>
                <w14:ligatures w14:val="none"/>
              </w:rPr>
              <w:t>: Correct notification, but lack of RA guidance increases strain.</w:t>
            </w:r>
          </w:p>
        </w:tc>
        <w:tc>
          <w:tcPr>
            <w:tcW w:w="0" w:type="auto"/>
            <w:hideMark/>
          </w:tcPr>
          <w:p w14:paraId="5705B36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"Your prior FMLA leave is </w:t>
            </w:r>
            <w:proofErr w:type="gramStart"/>
            <w:r w:rsidRPr="00586E06">
              <w:rPr>
                <w:rFonts w:ascii="Times New Roman" w:eastAsia="Times New Roman" w:hAnsi="Times New Roman" w:cs="Times New Roman"/>
                <w:kern w:val="0"/>
                <w:sz w:val="20"/>
                <w:szCs w:val="20"/>
                <w14:ligatures w14:val="none"/>
              </w:rPr>
              <w:t>exhausted</w:t>
            </w:r>
            <w:proofErr w:type="gramEnd"/>
            <w:r w:rsidRPr="00586E06">
              <w:rPr>
                <w:rFonts w:ascii="Times New Roman" w:eastAsia="Times New Roman" w:hAnsi="Times New Roman" w:cs="Times New Roman"/>
                <w:kern w:val="0"/>
                <w:sz w:val="20"/>
                <w:szCs w:val="20"/>
                <w14:ligatures w14:val="none"/>
              </w:rPr>
              <w:t>; you’re not eligible until April 30, 2020." (OUTLOOK COMMS-FMLA-V1.CSV).</w:t>
            </w:r>
          </w:p>
        </w:tc>
      </w:tr>
      <w:tr w:rsidR="00586E06" w:rsidRPr="00586E06" w14:paraId="3895B6A5"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51998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Mar 2020–May 2023</w:t>
            </w:r>
          </w:p>
        </w:tc>
        <w:tc>
          <w:tcPr>
            <w:tcW w:w="0" w:type="auto"/>
            <w:hideMark/>
          </w:tcPr>
          <w:p w14:paraId="187B420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performs exemplary remote work for 38 months, managing disaster closeouts (e.g., 4611DR).</w:t>
            </w:r>
          </w:p>
        </w:tc>
        <w:tc>
          <w:tcPr>
            <w:tcW w:w="0" w:type="auto"/>
            <w:hideMark/>
          </w:tcPr>
          <w:p w14:paraId="4BA1080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Max Meindl, Anthony </w:t>
            </w:r>
            <w:proofErr w:type="gramStart"/>
            <w:r w:rsidRPr="00586E06">
              <w:rPr>
                <w:rFonts w:ascii="Times New Roman" w:eastAsia="Times New Roman" w:hAnsi="Times New Roman" w:cs="Times New Roman"/>
                <w:kern w:val="0"/>
                <w:sz w:val="20"/>
                <w:szCs w:val="20"/>
                <w14:ligatures w14:val="none"/>
              </w:rPr>
              <w:t>In</w:t>
            </w:r>
            <w:proofErr w:type="gramEnd"/>
          </w:p>
        </w:tc>
        <w:tc>
          <w:tcPr>
            <w:tcW w:w="0" w:type="auto"/>
            <w:hideMark/>
          </w:tcPr>
          <w:p w14:paraId="7BBD7CD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establishes remote work capability.</w:t>
            </w:r>
          </w:p>
        </w:tc>
        <w:tc>
          <w:tcPr>
            <w:tcW w:w="0" w:type="auto"/>
            <w:hideMark/>
          </w:tcPr>
          <w:p w14:paraId="5915E8E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performance noted in Comprehensive Response, p. 2.</w:t>
            </w:r>
          </w:p>
        </w:tc>
      </w:tr>
      <w:tr w:rsidR="00586E06" w:rsidRPr="00586E06" w14:paraId="77137BF1"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28CBD0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Sep 21, 2021</w:t>
            </w:r>
          </w:p>
        </w:tc>
        <w:tc>
          <w:tcPr>
            <w:tcW w:w="0" w:type="auto"/>
            <w:hideMark/>
          </w:tcPr>
          <w:p w14:paraId="4C3C43E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(RAR0017691) for COVID-19 vaccine exemption delayed 87 days due to misclassification.</w:t>
            </w:r>
          </w:p>
        </w:tc>
        <w:tc>
          <w:tcPr>
            <w:tcW w:w="0" w:type="auto"/>
            <w:hideMark/>
          </w:tcPr>
          <w:p w14:paraId="3F06D68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045FF2E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§IV.A</w:t>
            </w:r>
            <w:r w:rsidRPr="00586E06">
              <w:rPr>
                <w:rFonts w:ascii="Times New Roman" w:eastAsia="Times New Roman" w:hAnsi="Times New Roman" w:cs="Times New Roman"/>
                <w:kern w:val="0"/>
                <w:sz w:val="20"/>
                <w:szCs w:val="20"/>
                <w14:ligatures w14:val="none"/>
              </w:rPr>
              <w:t xml:space="preserve">: Misclassification delays processing.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Failure to process timely (29 C.F.R. §1630).</w:t>
            </w:r>
          </w:p>
        </w:tc>
        <w:tc>
          <w:tcPr>
            <w:tcW w:w="0" w:type="auto"/>
            <w:hideMark/>
          </w:tcPr>
          <w:p w14:paraId="76069F2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delay noted in PERPLEXITY SUMMARY-APRIL 2025.docx, p. 4.</w:t>
            </w:r>
          </w:p>
        </w:tc>
      </w:tr>
      <w:tr w:rsidR="00586E06" w:rsidRPr="00586E06" w14:paraId="6C43BBA3"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6CD5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25, 2021</w:t>
            </w:r>
          </w:p>
        </w:tc>
        <w:tc>
          <w:tcPr>
            <w:tcW w:w="0" w:type="auto"/>
            <w:hideMark/>
          </w:tcPr>
          <w:p w14:paraId="6B80D8D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(RAR0020089) for telework; redundant documentation demanded.</w:t>
            </w:r>
          </w:p>
        </w:tc>
        <w:tc>
          <w:tcPr>
            <w:tcW w:w="0" w:type="auto"/>
            <w:hideMark/>
          </w:tcPr>
          <w:p w14:paraId="490AFC6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4581EF0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§VI.C</w:t>
            </w:r>
            <w:r w:rsidRPr="00586E06">
              <w:rPr>
                <w:rFonts w:ascii="Times New Roman" w:eastAsia="Times New Roman" w:hAnsi="Times New Roman" w:cs="Times New Roman"/>
                <w:kern w:val="0"/>
                <w:sz w:val="20"/>
                <w:szCs w:val="20"/>
                <w14:ligatures w14:val="none"/>
              </w:rPr>
              <w:t>: Redundant documentation violates streamlined process.</w:t>
            </w:r>
          </w:p>
        </w:tc>
        <w:tc>
          <w:tcPr>
            <w:tcW w:w="0" w:type="auto"/>
            <w:hideMark/>
          </w:tcPr>
          <w:p w14:paraId="5813021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issue noted in PERPLEXITY SUMMARY-APRIL 2025.docx, p. 4.</w:t>
            </w:r>
          </w:p>
        </w:tc>
      </w:tr>
      <w:tr w:rsidR="00586E06" w:rsidRPr="00586E06" w14:paraId="65881D4B"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7D825E83"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28, 2021</w:t>
            </w:r>
          </w:p>
        </w:tc>
        <w:tc>
          <w:tcPr>
            <w:tcW w:w="0" w:type="auto"/>
            <w:hideMark/>
          </w:tcPr>
          <w:p w14:paraId="0D70C30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RAs (RAR0023025, RAR0023278) submitted, unresolved for 1,195 days.</w:t>
            </w:r>
          </w:p>
        </w:tc>
        <w:tc>
          <w:tcPr>
            <w:tcW w:w="0" w:type="auto"/>
            <w:hideMark/>
          </w:tcPr>
          <w:p w14:paraId="39F590C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1CBFB12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1,195-day delay violates 45-day policy. </w:t>
            </w:r>
            <w:r w:rsidRPr="00586E06">
              <w:rPr>
                <w:rFonts w:ascii="Times New Roman" w:eastAsia="Times New Roman" w:hAnsi="Times New Roman" w:cs="Times New Roman"/>
                <w:b/>
                <w:bCs/>
                <w:kern w:val="0"/>
                <w:sz w:val="20"/>
                <w:szCs w:val="20"/>
                <w14:ligatures w14:val="none"/>
              </w:rPr>
              <w:t>MD-110 §IV.D</w:t>
            </w:r>
            <w:r w:rsidRPr="00586E06">
              <w:rPr>
                <w:rFonts w:ascii="Times New Roman" w:eastAsia="Times New Roman" w:hAnsi="Times New Roman" w:cs="Times New Roman"/>
                <w:kern w:val="0"/>
                <w:sz w:val="20"/>
                <w:szCs w:val="20"/>
                <w14:ligatures w14:val="none"/>
              </w:rPr>
              <w:t xml:space="preserve">: Exceeds 180-day timeline.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Non-adjudication (29 C.F.R. §1630).</w:t>
            </w:r>
          </w:p>
        </w:tc>
        <w:tc>
          <w:tcPr>
            <w:tcW w:w="0" w:type="auto"/>
            <w:hideMark/>
          </w:tcPr>
          <w:p w14:paraId="3BC0910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delay noted in Comprehensive Response, p. 3.</w:t>
            </w:r>
          </w:p>
        </w:tc>
      </w:tr>
      <w:tr w:rsidR="00586E06" w:rsidRPr="00586E06" w14:paraId="2D88AB37"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8BF8E"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6, 2022</w:t>
            </w:r>
          </w:p>
        </w:tc>
        <w:tc>
          <w:tcPr>
            <w:tcW w:w="0" w:type="auto"/>
            <w:hideMark/>
          </w:tcPr>
          <w:p w14:paraId="6339875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(RAR0023261) for cardiovascular needs ignored for 986 days.</w:t>
            </w:r>
          </w:p>
        </w:tc>
        <w:tc>
          <w:tcPr>
            <w:tcW w:w="0" w:type="auto"/>
            <w:hideMark/>
          </w:tcPr>
          <w:p w14:paraId="310A363A"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6FCF213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986-day delay violates 45-day policy. </w:t>
            </w:r>
            <w:r w:rsidRPr="00586E06">
              <w:rPr>
                <w:rFonts w:ascii="Times New Roman" w:eastAsia="Times New Roman" w:hAnsi="Times New Roman" w:cs="Times New Roman"/>
                <w:b/>
                <w:bCs/>
                <w:kern w:val="0"/>
                <w:sz w:val="20"/>
                <w:szCs w:val="20"/>
                <w14:ligatures w14:val="none"/>
              </w:rPr>
              <w:t>MD-110 §IV.D</w:t>
            </w:r>
            <w:r w:rsidRPr="00586E06">
              <w:rPr>
                <w:rFonts w:ascii="Times New Roman" w:eastAsia="Times New Roman" w:hAnsi="Times New Roman" w:cs="Times New Roman"/>
                <w:kern w:val="0"/>
                <w:sz w:val="20"/>
                <w:szCs w:val="20"/>
                <w14:ligatures w14:val="none"/>
              </w:rPr>
              <w:t xml:space="preserve">: Exceeds 180-day timeline.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Non-adjudication (29 C.F.R. §1630).</w:t>
            </w:r>
          </w:p>
        </w:tc>
        <w:tc>
          <w:tcPr>
            <w:tcW w:w="0" w:type="auto"/>
            <w:hideMark/>
          </w:tcPr>
          <w:p w14:paraId="45321627"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delay noted in PERPLEXITY SUMMARY-APRIL 2025.docx, p. 9.</w:t>
            </w:r>
          </w:p>
        </w:tc>
      </w:tr>
      <w:tr w:rsidR="00586E06" w:rsidRPr="00586E06" w14:paraId="5A2CD7DC"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F1D16AC"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20, 2022</w:t>
            </w:r>
          </w:p>
        </w:tc>
        <w:tc>
          <w:tcPr>
            <w:tcW w:w="0" w:type="auto"/>
            <w:hideMark/>
          </w:tcPr>
          <w:p w14:paraId="49FBBF7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suffers heart attack, notifies Richard Cain.</w:t>
            </w:r>
          </w:p>
        </w:tc>
        <w:tc>
          <w:tcPr>
            <w:tcW w:w="0" w:type="auto"/>
            <w:hideMark/>
          </w:tcPr>
          <w:p w14:paraId="59EC2EB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Richard Cain</w:t>
            </w:r>
          </w:p>
        </w:tc>
        <w:tc>
          <w:tcPr>
            <w:tcW w:w="0" w:type="auto"/>
            <w:hideMark/>
          </w:tcPr>
          <w:p w14:paraId="54C9D69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but highlights health vulnerabilities ignored.</w:t>
            </w:r>
          </w:p>
        </w:tc>
        <w:tc>
          <w:tcPr>
            <w:tcW w:w="0" w:type="auto"/>
            <w:hideMark/>
          </w:tcPr>
          <w:p w14:paraId="74541EC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"Will be off this week… heart attack recovery." (MEINDL-Submission, p. 2).</w:t>
            </w:r>
          </w:p>
        </w:tc>
      </w:tr>
      <w:tr w:rsidR="00586E06" w:rsidRPr="00586E06" w14:paraId="63A12983"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1F59B"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4, 2022</w:t>
            </w:r>
          </w:p>
        </w:tc>
        <w:tc>
          <w:tcPr>
            <w:tcW w:w="0" w:type="auto"/>
            <w:hideMark/>
          </w:tcPr>
          <w:p w14:paraId="1A17F74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(RAR0042452) for permanent telework; Mark Underhill endorses as “reasonable.” Ignored for 886 days.</w:t>
            </w:r>
          </w:p>
        </w:tc>
        <w:tc>
          <w:tcPr>
            <w:tcW w:w="0" w:type="auto"/>
            <w:hideMark/>
          </w:tcPr>
          <w:p w14:paraId="2475381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Mark Underhill, Miriam Aybar-Morales</w:t>
            </w:r>
          </w:p>
        </w:tc>
        <w:tc>
          <w:tcPr>
            <w:tcW w:w="0" w:type="auto"/>
            <w:hideMark/>
          </w:tcPr>
          <w:p w14:paraId="3FF52B5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886-day delay violates 45-day policy.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Ignoring endorsement breaches interactive process.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Failure to engage (29 C.F.R. §1630).</w:t>
            </w:r>
          </w:p>
        </w:tc>
        <w:tc>
          <w:tcPr>
            <w:tcW w:w="0" w:type="auto"/>
            <w:hideMark/>
          </w:tcPr>
          <w:p w14:paraId="1190307F"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"Max’s RA request is reasonable." (EMAIL EXPORT-04-25-25.CSV, Aug 4, 2022).</w:t>
            </w:r>
          </w:p>
        </w:tc>
      </w:tr>
      <w:tr w:rsidR="00586E06" w:rsidRPr="00586E06" w14:paraId="00674A71"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38C27B54"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12, 2022</w:t>
            </w:r>
          </w:p>
        </w:tc>
        <w:tc>
          <w:tcPr>
            <w:tcW w:w="0" w:type="auto"/>
            <w:hideMark/>
          </w:tcPr>
          <w:p w14:paraId="18021F3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Andrew O’Donovan questions telework approval; no decision recorded.</w:t>
            </w:r>
          </w:p>
        </w:tc>
        <w:tc>
          <w:tcPr>
            <w:tcW w:w="0" w:type="auto"/>
            <w:hideMark/>
          </w:tcPr>
          <w:p w14:paraId="2473F7F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Andrew O’Donovan, Max Meindl</w:t>
            </w:r>
          </w:p>
        </w:tc>
        <w:tc>
          <w:tcPr>
            <w:tcW w:w="0" w:type="auto"/>
            <w:hideMark/>
          </w:tcPr>
          <w:p w14:paraId="0FFD868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§VI.D</w:t>
            </w:r>
            <w:r w:rsidRPr="00586E06">
              <w:rPr>
                <w:rFonts w:ascii="Times New Roman" w:eastAsia="Times New Roman" w:hAnsi="Times New Roman" w:cs="Times New Roman"/>
                <w:kern w:val="0"/>
                <w:sz w:val="20"/>
                <w:szCs w:val="20"/>
                <w14:ligatures w14:val="none"/>
              </w:rPr>
              <w:t>: Undocumented decision undermines process.</w:t>
            </w:r>
          </w:p>
        </w:tc>
        <w:tc>
          <w:tcPr>
            <w:tcW w:w="0" w:type="auto"/>
            <w:hideMark/>
          </w:tcPr>
          <w:p w14:paraId="284BD64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"Was 100% telework approved by the Supervisor of Record?" (EMAIL EXPORT-04-25-25.CSV, Aug 12, 2022).</w:t>
            </w:r>
          </w:p>
        </w:tc>
      </w:tr>
      <w:tr w:rsidR="00586E06" w:rsidRPr="00586E06" w14:paraId="51951548"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9F87D4"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15, 2022</w:t>
            </w:r>
          </w:p>
        </w:tc>
        <w:tc>
          <w:tcPr>
            <w:tcW w:w="0" w:type="auto"/>
            <w:hideMark/>
          </w:tcPr>
          <w:p w14:paraId="242A7B07"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Karina Aguilo acknowledges “procedural disarray”; no action taken.</w:t>
            </w:r>
          </w:p>
        </w:tc>
        <w:tc>
          <w:tcPr>
            <w:tcW w:w="0" w:type="auto"/>
            <w:hideMark/>
          </w:tcPr>
          <w:p w14:paraId="0CBE876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Karina Aguilo, Max Meindl</w:t>
            </w:r>
          </w:p>
        </w:tc>
        <w:tc>
          <w:tcPr>
            <w:tcW w:w="0" w:type="auto"/>
            <w:hideMark/>
          </w:tcPr>
          <w:p w14:paraId="045E426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§III.A</w:t>
            </w:r>
            <w:r w:rsidRPr="00586E06">
              <w:rPr>
                <w:rFonts w:ascii="Times New Roman" w:eastAsia="Times New Roman" w:hAnsi="Times New Roman" w:cs="Times New Roman"/>
                <w:kern w:val="0"/>
                <w:sz w:val="20"/>
                <w:szCs w:val="20"/>
                <w14:ligatures w14:val="none"/>
              </w:rPr>
              <w:t>: Failure to address disarray violates oversight responsibilities.</w:t>
            </w:r>
          </w:p>
        </w:tc>
        <w:tc>
          <w:tcPr>
            <w:tcW w:w="0" w:type="auto"/>
            <w:hideMark/>
          </w:tcPr>
          <w:p w14:paraId="47ACF73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 acknowledge the procedural disarray in RA processing." (EMAIL EXPORT-04-25-25.CSV, Aug 15, 2022).</w:t>
            </w:r>
          </w:p>
        </w:tc>
      </w:tr>
      <w:tr w:rsidR="00586E06" w:rsidRPr="00586E06" w14:paraId="16846D6E"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F5E413F"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Aug 17, 2023</w:t>
            </w:r>
          </w:p>
        </w:tc>
        <w:tc>
          <w:tcPr>
            <w:tcW w:w="0" w:type="auto"/>
            <w:hideMark/>
          </w:tcPr>
          <w:p w14:paraId="3DFA02C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FEMA advertises remote Emergency Management Specialist roles, suggesting </w:t>
            </w:r>
            <w:proofErr w:type="gramStart"/>
            <w:r w:rsidRPr="00586E06">
              <w:rPr>
                <w:rFonts w:ascii="Times New Roman" w:eastAsia="Times New Roman" w:hAnsi="Times New Roman" w:cs="Times New Roman"/>
                <w:kern w:val="0"/>
                <w:sz w:val="20"/>
                <w:szCs w:val="20"/>
                <w14:ligatures w14:val="none"/>
              </w:rPr>
              <w:t>accommodations</w:t>
            </w:r>
            <w:proofErr w:type="gramEnd"/>
            <w:r w:rsidRPr="00586E06">
              <w:rPr>
                <w:rFonts w:ascii="Times New Roman" w:eastAsia="Times New Roman" w:hAnsi="Times New Roman" w:cs="Times New Roman"/>
                <w:kern w:val="0"/>
                <w:sz w:val="20"/>
                <w:szCs w:val="20"/>
                <w14:ligatures w14:val="none"/>
              </w:rPr>
              <w:t xml:space="preserve"> for younger employees.</w:t>
            </w:r>
          </w:p>
        </w:tc>
        <w:tc>
          <w:tcPr>
            <w:tcW w:w="0" w:type="auto"/>
            <w:hideMark/>
          </w:tcPr>
          <w:p w14:paraId="3B494D8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FEMA HR (unspecified)</w:t>
            </w:r>
          </w:p>
        </w:tc>
        <w:tc>
          <w:tcPr>
            <w:tcW w:w="0" w:type="auto"/>
            <w:hideMark/>
          </w:tcPr>
          <w:p w14:paraId="0631227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Ignoring remote role feasibility violates 29 C.F.R. §1630.2(n)(3).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Preferential treatment indicates age bias.</w:t>
            </w:r>
          </w:p>
        </w:tc>
        <w:tc>
          <w:tcPr>
            <w:tcW w:w="0" w:type="auto"/>
            <w:hideMark/>
          </w:tcPr>
          <w:p w14:paraId="62A607C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job listings noted in PERPLEXITY SUMMARY-APRIL 2025.docx, p. 6.</w:t>
            </w:r>
          </w:p>
        </w:tc>
      </w:tr>
      <w:tr w:rsidR="00586E06" w:rsidRPr="00586E06" w14:paraId="07ABA393"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6C12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31, 2023</w:t>
            </w:r>
          </w:p>
        </w:tc>
        <w:tc>
          <w:tcPr>
            <w:tcW w:w="0" w:type="auto"/>
            <w:hideMark/>
          </w:tcPr>
          <w:p w14:paraId="0E0D6EE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signs Conditions of Employment requiring 24–</w:t>
            </w:r>
            <w:proofErr w:type="gramStart"/>
            <w:r w:rsidRPr="00586E06">
              <w:rPr>
                <w:rFonts w:ascii="Times New Roman" w:eastAsia="Times New Roman" w:hAnsi="Times New Roman" w:cs="Times New Roman"/>
                <w:kern w:val="0"/>
                <w:sz w:val="20"/>
                <w:szCs w:val="20"/>
                <w14:ligatures w14:val="none"/>
              </w:rPr>
              <w:t>48 hour</w:t>
            </w:r>
            <w:proofErr w:type="gramEnd"/>
            <w:r w:rsidRPr="00586E06">
              <w:rPr>
                <w:rFonts w:ascii="Times New Roman" w:eastAsia="Times New Roman" w:hAnsi="Times New Roman" w:cs="Times New Roman"/>
                <w:kern w:val="0"/>
                <w:sz w:val="20"/>
                <w:szCs w:val="20"/>
                <w14:ligatures w14:val="none"/>
              </w:rPr>
              <w:t xml:space="preserve"> deployment.</w:t>
            </w:r>
          </w:p>
        </w:tc>
        <w:tc>
          <w:tcPr>
            <w:tcW w:w="0" w:type="auto"/>
            <w:hideMark/>
          </w:tcPr>
          <w:p w14:paraId="34647D7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HR (unspecified)</w:t>
            </w:r>
          </w:p>
        </w:tc>
        <w:tc>
          <w:tcPr>
            <w:tcW w:w="0" w:type="auto"/>
            <w:hideMark/>
          </w:tcPr>
          <w:p w14:paraId="0E2F21F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but COE enforcement without RA consideration sets stage for discrimination.</w:t>
            </w:r>
          </w:p>
        </w:tc>
        <w:tc>
          <w:tcPr>
            <w:tcW w:w="0" w:type="auto"/>
            <w:hideMark/>
          </w:tcPr>
          <w:p w14:paraId="1562BAF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COE noted in Comprehensive Response, p. 4.</w:t>
            </w:r>
          </w:p>
        </w:tc>
      </w:tr>
      <w:tr w:rsidR="00586E06" w:rsidRPr="00586E06" w14:paraId="1085CB6D"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EAEEBF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2, 2024</w:t>
            </w:r>
          </w:p>
        </w:tc>
        <w:tc>
          <w:tcPr>
            <w:tcW w:w="0" w:type="auto"/>
            <w:hideMark/>
          </w:tcPr>
          <w:p w14:paraId="779F00A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(RAR0046767) for permanent telework submitted via ACMS; not assigned until Jun 12, 2024 (163-day delay).</w:t>
            </w:r>
          </w:p>
        </w:tc>
        <w:tc>
          <w:tcPr>
            <w:tcW w:w="0" w:type="auto"/>
            <w:hideMark/>
          </w:tcPr>
          <w:p w14:paraId="29E7E62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4075FD2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163-day delay violates 45-day policy. </w:t>
            </w:r>
            <w:r w:rsidRPr="00586E06">
              <w:rPr>
                <w:rFonts w:ascii="Times New Roman" w:eastAsia="Times New Roman" w:hAnsi="Times New Roman" w:cs="Times New Roman"/>
                <w:b/>
                <w:bCs/>
                <w:kern w:val="0"/>
                <w:sz w:val="20"/>
                <w:szCs w:val="20"/>
                <w14:ligatures w14:val="none"/>
              </w:rPr>
              <w:t>MD-110 §IV.D</w:t>
            </w:r>
            <w:r w:rsidRPr="00586E06">
              <w:rPr>
                <w:rFonts w:ascii="Times New Roman" w:eastAsia="Times New Roman" w:hAnsi="Times New Roman" w:cs="Times New Roman"/>
                <w:kern w:val="0"/>
                <w:sz w:val="20"/>
                <w:szCs w:val="20"/>
                <w14:ligatures w14:val="none"/>
              </w:rPr>
              <w:t>: Exceeds 180-day timeline.</w:t>
            </w:r>
          </w:p>
        </w:tc>
        <w:tc>
          <w:tcPr>
            <w:tcW w:w="0" w:type="auto"/>
            <w:hideMark/>
          </w:tcPr>
          <w:p w14:paraId="0BDF4C7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submission noted in PERPLEXITY SUMMARY-APRIL 2025.docx, p. 4.</w:t>
            </w:r>
          </w:p>
        </w:tc>
      </w:tr>
      <w:tr w:rsidR="00586E06" w:rsidRPr="00586E06" w14:paraId="167BFC2D"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D9C5AC"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25, 2024</w:t>
            </w:r>
          </w:p>
        </w:tc>
        <w:tc>
          <w:tcPr>
            <w:tcW w:w="0" w:type="auto"/>
            <w:hideMark/>
          </w:tcPr>
          <w:p w14:paraId="788156B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congratulates Traci Brasher; she responds positively.</w:t>
            </w:r>
          </w:p>
        </w:tc>
        <w:tc>
          <w:tcPr>
            <w:tcW w:w="0" w:type="auto"/>
            <w:hideMark/>
          </w:tcPr>
          <w:p w14:paraId="14E86E7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w:t>
            </w:r>
          </w:p>
        </w:tc>
        <w:tc>
          <w:tcPr>
            <w:tcW w:w="0" w:type="auto"/>
            <w:hideMark/>
          </w:tcPr>
          <w:p w14:paraId="33E1B54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establishes communication for RA escalations.</w:t>
            </w:r>
          </w:p>
        </w:tc>
        <w:tc>
          <w:tcPr>
            <w:tcW w:w="0" w:type="auto"/>
            <w:hideMark/>
          </w:tcPr>
          <w:p w14:paraId="78E8CFE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"Congrats on your milestone!" Brasher: "Thank you, Max!" (PERPLEXITY SUMMARY-APRIL 2025.docx, p. 13).</w:t>
            </w:r>
          </w:p>
        </w:tc>
      </w:tr>
      <w:tr w:rsidR="00586E06" w:rsidRPr="00586E06" w14:paraId="48D1C26D"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2D86138E"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Feb 23, 2024</w:t>
            </w:r>
          </w:p>
        </w:tc>
        <w:tc>
          <w:tcPr>
            <w:tcW w:w="0" w:type="auto"/>
            <w:hideMark/>
          </w:tcPr>
          <w:p w14:paraId="0BA8F3D3"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to Brasher: “RA requests never get adjudicated”; Brasher offers discussion via Colleen Sciano.</w:t>
            </w:r>
          </w:p>
        </w:tc>
        <w:tc>
          <w:tcPr>
            <w:tcW w:w="0" w:type="auto"/>
            <w:hideMark/>
          </w:tcPr>
          <w:p w14:paraId="6B9E92D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 Colleen Sciano</w:t>
            </w:r>
          </w:p>
        </w:tc>
        <w:tc>
          <w:tcPr>
            <w:tcW w:w="0" w:type="auto"/>
            <w:hideMark/>
          </w:tcPr>
          <w:p w14:paraId="3D73E38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Failure to act on non-adjudication complaint delays interactive process.</w:t>
            </w:r>
          </w:p>
        </w:tc>
        <w:tc>
          <w:tcPr>
            <w:tcW w:w="0" w:type="auto"/>
            <w:hideMark/>
          </w:tcPr>
          <w:p w14:paraId="05166FF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"The RA requests never get adjudicated." Brasher: "Let’s discuss through Colleen Sciano." (PERPLEXITY SUMMARY-APRIL 2025.docx, p. 13).</w:t>
            </w:r>
          </w:p>
        </w:tc>
      </w:tr>
      <w:tr w:rsidR="00586E06" w:rsidRPr="00586E06" w14:paraId="5728427F"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CA0D2"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May 23–29, 2024</w:t>
            </w:r>
          </w:p>
        </w:tc>
        <w:tc>
          <w:tcPr>
            <w:tcW w:w="0" w:type="auto"/>
            <w:hideMark/>
          </w:tcPr>
          <w:p w14:paraId="0F526E3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Anthony In proposes Houston deployment; Meindl agrees, but overruled with “stand down” order in nine minutes.</w:t>
            </w:r>
          </w:p>
        </w:tc>
        <w:tc>
          <w:tcPr>
            <w:tcW w:w="0" w:type="auto"/>
            <w:hideMark/>
          </w:tcPr>
          <w:p w14:paraId="685BB46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Anthony In, Max Meindl, unspecified management</w:t>
            </w:r>
          </w:p>
        </w:tc>
        <w:tc>
          <w:tcPr>
            <w:tcW w:w="0" w:type="auto"/>
            <w:hideMark/>
          </w:tcPr>
          <w:p w14:paraId="2124037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Overruling deployment ignores remote success, violating 29 C.F.R. §1630.9.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6283037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In: "Stand down on deployment." (A Rebuttal to Affidavits of Witnesses.pdf, p. 3).</w:t>
            </w:r>
          </w:p>
        </w:tc>
      </w:tr>
      <w:tr w:rsidR="00586E06" w:rsidRPr="00586E06" w14:paraId="20E1D5EA"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3E8BD54F"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8, 2024</w:t>
            </w:r>
          </w:p>
        </w:tc>
        <w:tc>
          <w:tcPr>
            <w:tcW w:w="0" w:type="auto"/>
            <w:hideMark/>
          </w:tcPr>
          <w:p w14:paraId="1583030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Hurricane Beryl causes $15,000 in damages to Meindl’s property. Meindl requests RA update from Brasher.</w:t>
            </w:r>
          </w:p>
        </w:tc>
        <w:tc>
          <w:tcPr>
            <w:tcW w:w="0" w:type="auto"/>
            <w:hideMark/>
          </w:tcPr>
          <w:p w14:paraId="5E1705E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w:t>
            </w:r>
          </w:p>
        </w:tc>
        <w:tc>
          <w:tcPr>
            <w:tcW w:w="0" w:type="auto"/>
            <w:hideMark/>
          </w:tcPr>
          <w:p w14:paraId="3449F57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None identified for </w:t>
            </w:r>
            <w:proofErr w:type="gramStart"/>
            <w:r w:rsidRPr="00586E06">
              <w:rPr>
                <w:rFonts w:ascii="Times New Roman" w:eastAsia="Times New Roman" w:hAnsi="Times New Roman" w:cs="Times New Roman"/>
                <w:kern w:val="0"/>
                <w:sz w:val="20"/>
                <w:szCs w:val="20"/>
                <w14:ligatures w14:val="none"/>
              </w:rPr>
              <w:t>request, but</w:t>
            </w:r>
            <w:proofErr w:type="gramEnd"/>
            <w:r w:rsidRPr="00586E06">
              <w:rPr>
                <w:rFonts w:ascii="Times New Roman" w:eastAsia="Times New Roman" w:hAnsi="Times New Roman" w:cs="Times New Roman"/>
                <w:kern w:val="0"/>
                <w:sz w:val="20"/>
                <w:szCs w:val="20"/>
                <w14:ligatures w14:val="none"/>
              </w:rPr>
              <w:t xml:space="preserve"> sets context for welfare neglect.</w:t>
            </w:r>
          </w:p>
        </w:tc>
        <w:tc>
          <w:tcPr>
            <w:tcW w:w="0" w:type="auto"/>
            <w:hideMark/>
          </w:tcPr>
          <w:p w14:paraId="4CC0F0C7"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request noted in Comprehensive Response, p. 4.</w:t>
            </w:r>
          </w:p>
        </w:tc>
      </w:tr>
      <w:tr w:rsidR="00586E06" w:rsidRPr="00586E06" w14:paraId="6C538985"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840C3"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9, 2024</w:t>
            </w:r>
          </w:p>
        </w:tc>
        <w:tc>
          <w:tcPr>
            <w:tcW w:w="0" w:type="auto"/>
            <w:hideMark/>
          </w:tcPr>
          <w:p w14:paraId="0D3928A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offers to deploy despite storm damage: “Keep it close initially… then we can go out further.”</w:t>
            </w:r>
          </w:p>
        </w:tc>
        <w:tc>
          <w:tcPr>
            <w:tcW w:w="0" w:type="auto"/>
            <w:hideMark/>
          </w:tcPr>
          <w:p w14:paraId="64D9176F"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Max Meindl, Anthony </w:t>
            </w:r>
            <w:proofErr w:type="gramStart"/>
            <w:r w:rsidRPr="00586E06">
              <w:rPr>
                <w:rFonts w:ascii="Times New Roman" w:eastAsia="Times New Roman" w:hAnsi="Times New Roman" w:cs="Times New Roman"/>
                <w:kern w:val="0"/>
                <w:sz w:val="20"/>
                <w:szCs w:val="20"/>
                <w14:ligatures w14:val="none"/>
              </w:rPr>
              <w:t>In</w:t>
            </w:r>
            <w:proofErr w:type="gramEnd"/>
          </w:p>
        </w:tc>
        <w:tc>
          <w:tcPr>
            <w:tcW w:w="0" w:type="auto"/>
            <w:hideMark/>
          </w:tcPr>
          <w:p w14:paraId="7764E0D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demonstrates willingness contrary to witness claims.</w:t>
            </w:r>
          </w:p>
        </w:tc>
        <w:tc>
          <w:tcPr>
            <w:tcW w:w="0" w:type="auto"/>
            <w:hideMark/>
          </w:tcPr>
          <w:p w14:paraId="72ACDAD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"Keep it close initially… then we can go out further." (MEINDL-Submission, p. 2).</w:t>
            </w:r>
          </w:p>
        </w:tc>
      </w:tr>
      <w:tr w:rsidR="00586E06" w:rsidRPr="00586E06" w14:paraId="3F6650EF"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BCFAE6C"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9–31, 2024</w:t>
            </w:r>
          </w:p>
        </w:tc>
        <w:tc>
          <w:tcPr>
            <w:tcW w:w="0" w:type="auto"/>
            <w:hideMark/>
          </w:tcPr>
          <w:p w14:paraId="49634FD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FEMA Region 6 fails to conduct call-down post-Hurricane Beryl, despite damages and Meindl’s willingness.</w:t>
            </w:r>
          </w:p>
        </w:tc>
        <w:tc>
          <w:tcPr>
            <w:tcW w:w="0" w:type="auto"/>
            <w:hideMark/>
          </w:tcPr>
          <w:p w14:paraId="01FB709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Region 6 management (under Brasher)</w:t>
            </w:r>
          </w:p>
        </w:tc>
        <w:tc>
          <w:tcPr>
            <w:tcW w:w="0" w:type="auto"/>
            <w:hideMark/>
          </w:tcPr>
          <w:p w14:paraId="261BC14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Directive 123-0-2-1</w:t>
            </w:r>
            <w:r w:rsidRPr="00586E06">
              <w:rPr>
                <w:rFonts w:ascii="Times New Roman" w:eastAsia="Times New Roman" w:hAnsi="Times New Roman" w:cs="Times New Roman"/>
                <w:kern w:val="0"/>
                <w:sz w:val="20"/>
                <w:szCs w:val="20"/>
                <w14:ligatures w14:val="none"/>
              </w:rPr>
              <w:t xml:space="preserve">: Failure to conduct welfare check violates safety protocols.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Neglect impacts older employees.</w:t>
            </w:r>
          </w:p>
        </w:tc>
        <w:tc>
          <w:tcPr>
            <w:tcW w:w="0" w:type="auto"/>
            <w:hideMark/>
          </w:tcPr>
          <w:p w14:paraId="7957FBD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neglect noted in Comprehensive Response, p. 4.</w:t>
            </w:r>
          </w:p>
        </w:tc>
      </w:tr>
      <w:tr w:rsidR="00586E06" w:rsidRPr="00586E06" w14:paraId="5AA3EE47"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3BC03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10, 2024</w:t>
            </w:r>
          </w:p>
        </w:tc>
        <w:tc>
          <w:tcPr>
            <w:tcW w:w="0" w:type="auto"/>
            <w:hideMark/>
          </w:tcPr>
          <w:p w14:paraId="364993D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Brasher assigns RAR0046767 to Shelia Clemons for “expedited processing” after 194 days, admitting FEMA is “very far behind.” Clemons sends unencrypted email exposing COPD/CAD.</w:t>
            </w:r>
          </w:p>
        </w:tc>
        <w:tc>
          <w:tcPr>
            <w:tcW w:w="0" w:type="auto"/>
            <w:hideMark/>
          </w:tcPr>
          <w:p w14:paraId="3FBA3A4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Traci Brasher, Shelia Clemons, Max Meindl</w:t>
            </w:r>
          </w:p>
        </w:tc>
        <w:tc>
          <w:tcPr>
            <w:tcW w:w="0" w:type="auto"/>
            <w:hideMark/>
          </w:tcPr>
          <w:p w14:paraId="6659DFE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194-day delay violates 45-day policy. </w:t>
            </w:r>
            <w:r w:rsidRPr="00586E06">
              <w:rPr>
                <w:rFonts w:ascii="Times New Roman" w:eastAsia="Times New Roman" w:hAnsi="Times New Roman" w:cs="Times New Roman"/>
                <w:b/>
                <w:bCs/>
                <w:kern w:val="0"/>
                <w:sz w:val="20"/>
                <w:szCs w:val="20"/>
                <w14:ligatures w14:val="none"/>
              </w:rPr>
              <w:t>HIPAA (45 CFR §164.312)</w:t>
            </w:r>
            <w:r w:rsidRPr="00586E06">
              <w:rPr>
                <w:rFonts w:ascii="Times New Roman" w:eastAsia="Times New Roman" w:hAnsi="Times New Roman" w:cs="Times New Roman"/>
                <w:kern w:val="0"/>
                <w:sz w:val="20"/>
                <w:szCs w:val="20"/>
                <w14:ligatures w14:val="none"/>
              </w:rPr>
              <w:t xml:space="preserve">: Unencrypted email breaches PHI security. </w:t>
            </w:r>
            <w:r w:rsidRPr="00586E06">
              <w:rPr>
                <w:rFonts w:ascii="Times New Roman" w:eastAsia="Times New Roman" w:hAnsi="Times New Roman" w:cs="Times New Roman"/>
                <w:b/>
                <w:bCs/>
                <w:kern w:val="0"/>
                <w:sz w:val="20"/>
                <w:szCs w:val="20"/>
                <w14:ligatures w14:val="none"/>
              </w:rPr>
              <w:t>MD-110 §VI.C</w:t>
            </w:r>
            <w:r w:rsidRPr="00586E06">
              <w:rPr>
                <w:rFonts w:ascii="Times New Roman" w:eastAsia="Times New Roman" w:hAnsi="Times New Roman" w:cs="Times New Roman"/>
                <w:kern w:val="0"/>
                <w:sz w:val="20"/>
                <w:szCs w:val="20"/>
                <w14:ligatures w14:val="none"/>
              </w:rPr>
              <w:t xml:space="preserve">: Redundant request violates streamlined process.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Delay (29 C.F.R. §1630).</w:t>
            </w:r>
          </w:p>
        </w:tc>
        <w:tc>
          <w:tcPr>
            <w:tcW w:w="0" w:type="auto"/>
            <w:hideMark/>
          </w:tcPr>
          <w:p w14:paraId="3FD7F377"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Clemons: "We acknowledge unavoidable delay... please provide PD &amp; medical </w:t>
            </w:r>
            <w:proofErr w:type="gramStart"/>
            <w:r w:rsidRPr="00586E06">
              <w:rPr>
                <w:rFonts w:ascii="Times New Roman" w:eastAsia="Times New Roman" w:hAnsi="Times New Roman" w:cs="Times New Roman"/>
                <w:kern w:val="0"/>
                <w:sz w:val="20"/>
                <w:szCs w:val="20"/>
                <w14:ligatures w14:val="none"/>
              </w:rPr>
              <w:t>docs</w:t>
            </w:r>
            <w:proofErr w:type="gramEnd"/>
            <w:r w:rsidRPr="00586E06">
              <w:rPr>
                <w:rFonts w:ascii="Times New Roman" w:eastAsia="Times New Roman" w:hAnsi="Times New Roman" w:cs="Times New Roman"/>
                <w:kern w:val="0"/>
                <w:sz w:val="20"/>
                <w:szCs w:val="20"/>
                <w14:ligatures w14:val="none"/>
              </w:rPr>
              <w:t>." Meindl: "I’ve already uploaded these to ACMS." (PERPLEXITY SUMMARY-APRIL 2025.docx, p. 4).</w:t>
            </w:r>
          </w:p>
        </w:tc>
      </w:tr>
      <w:tr w:rsidR="00586E06" w:rsidRPr="00586E06" w14:paraId="4EF4AAE1"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DF8EFA9"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11, 2024</w:t>
            </w:r>
          </w:p>
        </w:tc>
        <w:tc>
          <w:tcPr>
            <w:tcW w:w="0" w:type="auto"/>
            <w:hideMark/>
          </w:tcPr>
          <w:p w14:paraId="320F066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confirms meeting with Clemons at 2:00 CDT, noting prior submissions.</w:t>
            </w:r>
          </w:p>
        </w:tc>
        <w:tc>
          <w:tcPr>
            <w:tcW w:w="0" w:type="auto"/>
            <w:hideMark/>
          </w:tcPr>
          <w:p w14:paraId="057484D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Shelia Clemons</w:t>
            </w:r>
          </w:p>
        </w:tc>
        <w:tc>
          <w:tcPr>
            <w:tcW w:w="0" w:type="auto"/>
            <w:hideMark/>
          </w:tcPr>
          <w:p w14:paraId="6219F30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Potential failure to retain meeting notes risks impartial record-keeping.</w:t>
            </w:r>
          </w:p>
        </w:tc>
        <w:tc>
          <w:tcPr>
            <w:tcW w:w="0" w:type="auto"/>
            <w:hideMark/>
          </w:tcPr>
          <w:p w14:paraId="6CB09FF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"Confirming 2:00 CDT meeting; documents were submitted in ACMS." (PERPLEXITY SUMMARY-APRIL 2025.docx, p. 4).</w:t>
            </w:r>
          </w:p>
        </w:tc>
      </w:tr>
      <w:tr w:rsidR="00586E06" w:rsidRPr="00586E06" w14:paraId="5DDB8086"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4C5AC6"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2024</w:t>
            </w:r>
          </w:p>
        </w:tc>
        <w:tc>
          <w:tcPr>
            <w:tcW w:w="0" w:type="auto"/>
            <w:hideMark/>
          </w:tcPr>
          <w:p w14:paraId="5B431A0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Meindl receives premature OAST surveys (MSG43362160, MSG44344021) on </w:t>
            </w:r>
            <w:r w:rsidRPr="00586E06">
              <w:rPr>
                <w:rFonts w:ascii="Times New Roman" w:eastAsia="Times New Roman" w:hAnsi="Times New Roman" w:cs="Times New Roman"/>
                <w:kern w:val="0"/>
                <w:sz w:val="20"/>
                <w:szCs w:val="20"/>
                <w14:ligatures w14:val="none"/>
              </w:rPr>
              <w:lastRenderedPageBreak/>
              <w:t>unresolved RA RAR0023278.</w:t>
            </w:r>
          </w:p>
        </w:tc>
        <w:tc>
          <w:tcPr>
            <w:tcW w:w="0" w:type="auto"/>
            <w:hideMark/>
          </w:tcPr>
          <w:p w14:paraId="384A259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Max Meindl, FEMA OAST (unspecified)</w:t>
            </w:r>
          </w:p>
        </w:tc>
        <w:tc>
          <w:tcPr>
            <w:tcW w:w="0" w:type="auto"/>
            <w:hideMark/>
          </w:tcPr>
          <w:p w14:paraId="0F9090F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§III.A</w:t>
            </w:r>
            <w:r w:rsidRPr="00586E06">
              <w:rPr>
                <w:rFonts w:ascii="Times New Roman" w:eastAsia="Times New Roman" w:hAnsi="Times New Roman" w:cs="Times New Roman"/>
                <w:kern w:val="0"/>
                <w:sz w:val="20"/>
                <w:szCs w:val="20"/>
                <w14:ligatures w14:val="none"/>
              </w:rPr>
              <w:t xml:space="preserve">: Premature surveys reflect procedural disarray. </w:t>
            </w:r>
            <w:r w:rsidRPr="00586E06">
              <w:rPr>
                <w:rFonts w:ascii="Times New Roman" w:eastAsia="Times New Roman" w:hAnsi="Times New Roman" w:cs="Times New Roman"/>
                <w:b/>
                <w:bCs/>
                <w:kern w:val="0"/>
                <w:sz w:val="20"/>
                <w:szCs w:val="20"/>
                <w14:ligatures w14:val="none"/>
              </w:rPr>
              <w:t>OMB M-17-06</w:t>
            </w:r>
            <w:r w:rsidRPr="00586E06">
              <w:rPr>
                <w:rFonts w:ascii="Times New Roman" w:eastAsia="Times New Roman" w:hAnsi="Times New Roman" w:cs="Times New Roman"/>
                <w:kern w:val="0"/>
                <w:sz w:val="20"/>
                <w:szCs w:val="20"/>
                <w14:ligatures w14:val="none"/>
              </w:rPr>
              <w:t>: Violates feedback protocol for unresolved processes.</w:t>
            </w:r>
          </w:p>
        </w:tc>
        <w:tc>
          <w:tcPr>
            <w:tcW w:w="0" w:type="auto"/>
            <w:hideMark/>
          </w:tcPr>
          <w:p w14:paraId="39571C0A"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survey IDs noted in PERPLEXITY SUMMARY-APRIL 2025.docx, p. 15.</w:t>
            </w:r>
          </w:p>
        </w:tc>
      </w:tr>
      <w:tr w:rsidR="00586E06" w:rsidRPr="00586E06" w14:paraId="10511E99"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48DE8D2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5, 2024</w:t>
            </w:r>
          </w:p>
        </w:tc>
        <w:tc>
          <w:tcPr>
            <w:tcW w:w="0" w:type="auto"/>
            <w:hideMark/>
          </w:tcPr>
          <w:p w14:paraId="1CDA6119"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Anthony In denies RAR0046767, claiming deployment as “essential function,” ignoring 38-month remote success.</w:t>
            </w:r>
          </w:p>
        </w:tc>
        <w:tc>
          <w:tcPr>
            <w:tcW w:w="0" w:type="auto"/>
            <w:hideMark/>
          </w:tcPr>
          <w:p w14:paraId="00CBB19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Anthony In, Max Meindl</w:t>
            </w:r>
          </w:p>
        </w:tc>
        <w:tc>
          <w:tcPr>
            <w:tcW w:w="0" w:type="auto"/>
            <w:hideMark/>
          </w:tcPr>
          <w:p w14:paraId="21686F2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Denial without assessment violates 29 C.F.R. §1630.2(n)(3).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Failure to document </w:t>
            </w:r>
            <w:proofErr w:type="gramStart"/>
            <w:r w:rsidRPr="00586E06">
              <w:rPr>
                <w:rFonts w:ascii="Times New Roman" w:eastAsia="Times New Roman" w:hAnsi="Times New Roman" w:cs="Times New Roman"/>
                <w:kern w:val="0"/>
                <w:sz w:val="20"/>
                <w:szCs w:val="20"/>
                <w14:ligatures w14:val="none"/>
              </w:rPr>
              <w:t>feasibility</w:t>
            </w:r>
            <w:proofErr w:type="gramEnd"/>
            <w:r w:rsidRPr="00586E06">
              <w:rPr>
                <w:rFonts w:ascii="Times New Roman" w:eastAsia="Times New Roman" w:hAnsi="Times New Roman" w:cs="Times New Roman"/>
                <w:kern w:val="0"/>
                <w:sz w:val="20"/>
                <w:szCs w:val="20"/>
                <w14:ligatures w14:val="none"/>
              </w:rPr>
              <w:t xml:space="preserve"> breaches process.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3B38E25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In: "Deployment is an essential function." (PERPLEXITY SUMMARY-APRIL 2025.docx, p. 4).</w:t>
            </w:r>
          </w:p>
        </w:tc>
      </w:tr>
      <w:tr w:rsidR="00586E06" w:rsidRPr="00586E06" w14:paraId="5801D403"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F7D0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15, 2024</w:t>
            </w:r>
          </w:p>
        </w:tc>
        <w:tc>
          <w:tcPr>
            <w:tcW w:w="0" w:type="auto"/>
            <w:hideMark/>
          </w:tcPr>
          <w:p w14:paraId="543BED7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Jodi Hunter denies appeal, dismissing virtual options without justification.</w:t>
            </w:r>
          </w:p>
        </w:tc>
        <w:tc>
          <w:tcPr>
            <w:tcW w:w="0" w:type="auto"/>
            <w:hideMark/>
          </w:tcPr>
          <w:p w14:paraId="1A113D4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Jodi Hunter, Max Meindl</w:t>
            </w:r>
          </w:p>
        </w:tc>
        <w:tc>
          <w:tcPr>
            <w:tcW w:w="0" w:type="auto"/>
            <w:hideMark/>
          </w:tcPr>
          <w:p w14:paraId="22699BB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Lack of justification violates 29 C.F.R. §1630.9.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No alternative exploration breaches process.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1F95FC6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Hunter: "Telework removes essential function of deployment." (PERPLEXITY SUMMARY-APRIL 2025.docx, p. 4).</w:t>
            </w:r>
          </w:p>
        </w:tc>
      </w:tr>
      <w:tr w:rsidR="00586E06" w:rsidRPr="00586E06" w14:paraId="6F01AC5E"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92F5EF0"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16, 2024</w:t>
            </w:r>
          </w:p>
        </w:tc>
        <w:tc>
          <w:tcPr>
            <w:tcW w:w="0" w:type="auto"/>
            <w:hideMark/>
          </w:tcPr>
          <w:p w14:paraId="095A13F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notifies Meindl of RA denial, shaping reassignment terms to pressure inability admission.</w:t>
            </w:r>
          </w:p>
        </w:tc>
        <w:tc>
          <w:tcPr>
            <w:tcW w:w="0" w:type="auto"/>
            <w:hideMark/>
          </w:tcPr>
          <w:p w14:paraId="5FBC274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Max Meindl</w:t>
            </w:r>
          </w:p>
        </w:tc>
        <w:tc>
          <w:tcPr>
            <w:tcW w:w="0" w:type="auto"/>
            <w:hideMark/>
          </w:tcPr>
          <w:p w14:paraId="503C562A"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Pressuring inability admission violates 29 C.F.R. §1630.9.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Failure to explore virtual options breaches process.</w:t>
            </w:r>
          </w:p>
        </w:tc>
        <w:tc>
          <w:tcPr>
            <w:tcW w:w="0" w:type="auto"/>
            <w:hideMark/>
          </w:tcPr>
          <w:p w14:paraId="000F88D9"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notification noted in Comprehensive Response, p. 5.</w:t>
            </w:r>
          </w:p>
        </w:tc>
      </w:tr>
      <w:tr w:rsidR="00586E06" w:rsidRPr="00586E06" w14:paraId="3A0054D9"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E938D"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22, 2024</w:t>
            </w:r>
          </w:p>
        </w:tc>
        <w:tc>
          <w:tcPr>
            <w:tcW w:w="0" w:type="auto"/>
            <w:hideMark/>
          </w:tcPr>
          <w:p w14:paraId="31AF640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emails Myers, feeling “ignored, abused, dismissed” due to 190-day delay.</w:t>
            </w:r>
          </w:p>
        </w:tc>
        <w:tc>
          <w:tcPr>
            <w:tcW w:w="0" w:type="auto"/>
            <w:hideMark/>
          </w:tcPr>
          <w:p w14:paraId="309C8E2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Anna Myers</w:t>
            </w:r>
          </w:p>
        </w:tc>
        <w:tc>
          <w:tcPr>
            <w:tcW w:w="0" w:type="auto"/>
            <w:hideMark/>
          </w:tcPr>
          <w:p w14:paraId="01051C9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Minimizing discrimination risks retaliation oversight.</w:t>
            </w:r>
          </w:p>
        </w:tc>
        <w:tc>
          <w:tcPr>
            <w:tcW w:w="0" w:type="auto"/>
            <w:hideMark/>
          </w:tcPr>
          <w:p w14:paraId="374DAD5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 feel ignored, abused, dismissed due to this 190-day delay." (A Rebuttal to Affidavits of Witnesses.pdf, p. 1).</w:t>
            </w:r>
          </w:p>
        </w:tc>
      </w:tr>
      <w:tr w:rsidR="00586E06" w:rsidRPr="00586E06" w14:paraId="649DCCBC"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39C3EC0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26, 2024</w:t>
            </w:r>
          </w:p>
        </w:tc>
        <w:tc>
          <w:tcPr>
            <w:tcW w:w="0" w:type="auto"/>
            <w:hideMark/>
          </w:tcPr>
          <w:p w14:paraId="2C4301F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requests reassignment, detailing virtual capabilities.</w:t>
            </w:r>
          </w:p>
        </w:tc>
        <w:tc>
          <w:tcPr>
            <w:tcW w:w="0" w:type="auto"/>
            <w:hideMark/>
          </w:tcPr>
          <w:p w14:paraId="21B0364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Anna Myers</w:t>
            </w:r>
          </w:p>
        </w:tc>
        <w:tc>
          <w:tcPr>
            <w:tcW w:w="0" w:type="auto"/>
            <w:hideMark/>
          </w:tcPr>
          <w:p w14:paraId="001E324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demonstrates engagement.</w:t>
            </w:r>
          </w:p>
        </w:tc>
        <w:tc>
          <w:tcPr>
            <w:tcW w:w="0" w:type="auto"/>
            <w:hideMark/>
          </w:tcPr>
          <w:p w14:paraId="4901C98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request noted in Comprehensive Response, p. 5.</w:t>
            </w:r>
          </w:p>
        </w:tc>
      </w:tr>
      <w:tr w:rsidR="00586E06" w:rsidRPr="00586E06" w14:paraId="1BF96A65"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43013"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Sep 3, 2024</w:t>
            </w:r>
          </w:p>
        </w:tc>
        <w:tc>
          <w:tcPr>
            <w:tcW w:w="0" w:type="auto"/>
            <w:hideMark/>
          </w:tcPr>
          <w:p w14:paraId="4575125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contacts EEO counselor; interviewed Sep 18, 2024.</w:t>
            </w:r>
          </w:p>
        </w:tc>
        <w:tc>
          <w:tcPr>
            <w:tcW w:w="0" w:type="auto"/>
            <w:hideMark/>
          </w:tcPr>
          <w:p w14:paraId="374D210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EEO counselor (unspecified)</w:t>
            </w:r>
          </w:p>
        </w:tc>
        <w:tc>
          <w:tcPr>
            <w:tcW w:w="0" w:type="auto"/>
            <w:hideMark/>
          </w:tcPr>
          <w:p w14:paraId="24F8840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protected EEO activity.</w:t>
            </w:r>
          </w:p>
        </w:tc>
        <w:tc>
          <w:tcPr>
            <w:tcW w:w="0" w:type="auto"/>
            <w:hideMark/>
          </w:tcPr>
          <w:p w14:paraId="5117E00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contact noted in Comprehensive Response, p. 5.</w:t>
            </w:r>
          </w:p>
        </w:tc>
      </w:tr>
      <w:tr w:rsidR="00586E06" w:rsidRPr="00586E06" w14:paraId="6868FB49"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4A736AF9"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Sep 5, 2024</w:t>
            </w:r>
          </w:p>
        </w:tc>
        <w:tc>
          <w:tcPr>
            <w:tcW w:w="0" w:type="auto"/>
            <w:hideMark/>
          </w:tcPr>
          <w:p w14:paraId="48DBBAD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Reassignment search initiated.</w:t>
            </w:r>
          </w:p>
        </w:tc>
        <w:tc>
          <w:tcPr>
            <w:tcW w:w="0" w:type="auto"/>
            <w:hideMark/>
          </w:tcPr>
          <w:p w14:paraId="309B583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FEMA Talent Recruitment &amp; Acquisition Division</w:t>
            </w:r>
          </w:p>
        </w:tc>
        <w:tc>
          <w:tcPr>
            <w:tcW w:w="0" w:type="auto"/>
            <w:hideMark/>
          </w:tcPr>
          <w:p w14:paraId="52932F5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but lack of transparency foreshadows violation.</w:t>
            </w:r>
          </w:p>
        </w:tc>
        <w:tc>
          <w:tcPr>
            <w:tcW w:w="0" w:type="auto"/>
            <w:hideMark/>
          </w:tcPr>
          <w:p w14:paraId="5361C25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search noted in Comprehensive Response, p. 5.</w:t>
            </w:r>
          </w:p>
        </w:tc>
      </w:tr>
      <w:tr w:rsidR="00586E06" w:rsidRPr="00586E06" w14:paraId="4F34247E"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7D1981"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17, 2024</w:t>
            </w:r>
          </w:p>
        </w:tc>
        <w:tc>
          <w:tcPr>
            <w:tcW w:w="0" w:type="auto"/>
            <w:hideMark/>
          </w:tcPr>
          <w:p w14:paraId="4048389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retains Attorney Brent Smith; mediation fails due to FEMA resistance.</w:t>
            </w:r>
          </w:p>
        </w:tc>
        <w:tc>
          <w:tcPr>
            <w:tcW w:w="0" w:type="auto"/>
            <w:hideMark/>
          </w:tcPr>
          <w:p w14:paraId="2DB0B53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Brent Smith, FEMA (unspecified)</w:t>
            </w:r>
          </w:p>
        </w:tc>
        <w:tc>
          <w:tcPr>
            <w:tcW w:w="0" w:type="auto"/>
            <w:hideMark/>
          </w:tcPr>
          <w:p w14:paraId="6F24616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highlights FEMA’s intransigence.</w:t>
            </w:r>
          </w:p>
        </w:tc>
        <w:tc>
          <w:tcPr>
            <w:tcW w:w="0" w:type="auto"/>
            <w:hideMark/>
          </w:tcPr>
          <w:p w14:paraId="0A147E0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mediation noted in Comprehensive Response, p. 5.</w:t>
            </w:r>
          </w:p>
        </w:tc>
      </w:tr>
      <w:tr w:rsidR="00586E06" w:rsidRPr="00586E06" w14:paraId="3187722D"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1E68CDF7"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30, 2024</w:t>
            </w:r>
          </w:p>
        </w:tc>
        <w:tc>
          <w:tcPr>
            <w:tcW w:w="0" w:type="auto"/>
            <w:hideMark/>
          </w:tcPr>
          <w:p w14:paraId="35B24E8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reassignment positions found; search lacks transparency, ignoring virtual roles (per Simko).</w:t>
            </w:r>
          </w:p>
        </w:tc>
        <w:tc>
          <w:tcPr>
            <w:tcW w:w="0" w:type="auto"/>
            <w:hideMark/>
          </w:tcPr>
          <w:p w14:paraId="147C5E8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Max Meindl, Donald J. Simko, FEMA Talent Recruitment &amp; Acquisition Division</w:t>
            </w:r>
          </w:p>
        </w:tc>
        <w:tc>
          <w:tcPr>
            <w:tcW w:w="0" w:type="auto"/>
            <w:hideMark/>
          </w:tcPr>
          <w:p w14:paraId="02440D3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Inadequate search violates EEOC Enforcement Guidance.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Undocumented process undermines integrity.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Virtual role neglect suggests age bias.</w:t>
            </w:r>
          </w:p>
        </w:tc>
        <w:tc>
          <w:tcPr>
            <w:tcW w:w="0" w:type="auto"/>
            <w:hideMark/>
          </w:tcPr>
          <w:p w14:paraId="3DC7B56A"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search outcome noted in Comprehensive Response, p. 5.</w:t>
            </w:r>
          </w:p>
        </w:tc>
      </w:tr>
      <w:tr w:rsidR="00586E06" w:rsidRPr="00586E06" w14:paraId="0F92897F"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3E843"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Nov 26, 2024</w:t>
            </w:r>
          </w:p>
        </w:tc>
        <w:tc>
          <w:tcPr>
            <w:tcW w:w="0" w:type="auto"/>
            <w:hideMark/>
          </w:tcPr>
          <w:p w14:paraId="466229D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Final denial letter for RAR0046767 dismisses remote success, citing deployment.</w:t>
            </w:r>
          </w:p>
        </w:tc>
        <w:tc>
          <w:tcPr>
            <w:tcW w:w="0" w:type="auto"/>
            <w:hideMark/>
          </w:tcPr>
          <w:p w14:paraId="3EEC966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FEMA RA staff (unspecified), Max Meindl</w:t>
            </w:r>
          </w:p>
        </w:tc>
        <w:tc>
          <w:tcPr>
            <w:tcW w:w="0" w:type="auto"/>
            <w:hideMark/>
          </w:tcPr>
          <w:p w14:paraId="1552606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Ignoring remote job listings violates 29 C.F.R. §1630.2(n)(3).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No justification breaches process.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3586CDD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"Granting telework would remove the essential function of deployment." (PERPLEXITY SUMMARY-APRIL 2025.docx, p. 6).</w:t>
            </w:r>
          </w:p>
        </w:tc>
      </w:tr>
      <w:tr w:rsidR="00586E06" w:rsidRPr="00586E06" w14:paraId="70F8C5C5"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03B173F4"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Dec 4, 2024</w:t>
            </w:r>
          </w:p>
        </w:tc>
        <w:tc>
          <w:tcPr>
            <w:tcW w:w="0" w:type="auto"/>
            <w:hideMark/>
          </w:tcPr>
          <w:p w14:paraId="49BA0E9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messages Brasher about RA denial and job loss fears; she promises follow-up but takes no action.</w:t>
            </w:r>
          </w:p>
        </w:tc>
        <w:tc>
          <w:tcPr>
            <w:tcW w:w="0" w:type="auto"/>
            <w:hideMark/>
          </w:tcPr>
          <w:p w14:paraId="01CD89A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w:t>
            </w:r>
          </w:p>
        </w:tc>
        <w:tc>
          <w:tcPr>
            <w:tcW w:w="0" w:type="auto"/>
            <w:hideMark/>
          </w:tcPr>
          <w:p w14:paraId="4525746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xml:space="preserve">: Inaction risks retaliation.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Failure to resolve RA </w:t>
            </w:r>
            <w:proofErr w:type="gramStart"/>
            <w:r w:rsidRPr="00586E06">
              <w:rPr>
                <w:rFonts w:ascii="Times New Roman" w:eastAsia="Times New Roman" w:hAnsi="Times New Roman" w:cs="Times New Roman"/>
                <w:kern w:val="0"/>
                <w:sz w:val="20"/>
                <w:szCs w:val="20"/>
                <w14:ligatures w14:val="none"/>
              </w:rPr>
              <w:t>violates</w:t>
            </w:r>
            <w:proofErr w:type="gramEnd"/>
            <w:r w:rsidRPr="00586E06">
              <w:rPr>
                <w:rFonts w:ascii="Times New Roman" w:eastAsia="Times New Roman" w:hAnsi="Times New Roman" w:cs="Times New Roman"/>
                <w:kern w:val="0"/>
                <w:sz w:val="20"/>
                <w:szCs w:val="20"/>
                <w14:ligatures w14:val="none"/>
              </w:rPr>
              <w:t xml:space="preserve"> 29 C.F.R. §1630.</w:t>
            </w:r>
          </w:p>
        </w:tc>
        <w:tc>
          <w:tcPr>
            <w:tcW w:w="0" w:type="auto"/>
            <w:hideMark/>
          </w:tcPr>
          <w:p w14:paraId="1F573E2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Meindl: "I’m worried about job loss due to RA denial." Brasher: "I’ll follow up." (A </w:t>
            </w:r>
            <w:r w:rsidRPr="00586E06">
              <w:rPr>
                <w:rFonts w:ascii="Times New Roman" w:eastAsia="Times New Roman" w:hAnsi="Times New Roman" w:cs="Times New Roman"/>
                <w:kern w:val="0"/>
                <w:sz w:val="20"/>
                <w:szCs w:val="20"/>
                <w14:ligatures w14:val="none"/>
              </w:rPr>
              <w:lastRenderedPageBreak/>
              <w:t>Rebuttal to Affidavits of Witnesses.pdf, p. 1).</w:t>
            </w:r>
          </w:p>
        </w:tc>
      </w:tr>
      <w:tr w:rsidR="00586E06" w:rsidRPr="00586E06" w14:paraId="5B3BEBE5"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801B8"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Dec 20, 2024</w:t>
            </w:r>
          </w:p>
        </w:tc>
        <w:tc>
          <w:tcPr>
            <w:tcW w:w="0" w:type="auto"/>
            <w:hideMark/>
          </w:tcPr>
          <w:p w14:paraId="1DF699B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files EEO complaint (HS-FEMA-02430-2024) alleging disability, age discrimination, retaliation.</w:t>
            </w:r>
          </w:p>
        </w:tc>
        <w:tc>
          <w:tcPr>
            <w:tcW w:w="0" w:type="auto"/>
            <w:hideMark/>
          </w:tcPr>
          <w:p w14:paraId="1874630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Office of Equal Rights</w:t>
            </w:r>
          </w:p>
        </w:tc>
        <w:tc>
          <w:tcPr>
            <w:tcW w:w="0" w:type="auto"/>
            <w:hideMark/>
          </w:tcPr>
          <w:p w14:paraId="4407604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protected activity under 29 C.F.R. §1614.</w:t>
            </w:r>
          </w:p>
        </w:tc>
        <w:tc>
          <w:tcPr>
            <w:tcW w:w="0" w:type="auto"/>
            <w:hideMark/>
          </w:tcPr>
          <w:p w14:paraId="4539F36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filing noted in PERPLEXITY SUMMARY-APRIL 2025.docx, p. 14.</w:t>
            </w:r>
          </w:p>
        </w:tc>
      </w:tr>
      <w:tr w:rsidR="00586E06" w:rsidRPr="00586E06" w14:paraId="023A7DC8"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24D5877C"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6, 2025</w:t>
            </w:r>
          </w:p>
        </w:tc>
        <w:tc>
          <w:tcPr>
            <w:tcW w:w="0" w:type="auto"/>
            <w:hideMark/>
          </w:tcPr>
          <w:p w14:paraId="2EBB6AFA"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FEMA terminates Meindl, citing “medical inability,” during Brasher’s tenure, without prior warnings or 30-day notice.</w:t>
            </w:r>
          </w:p>
        </w:tc>
        <w:tc>
          <w:tcPr>
            <w:tcW w:w="0" w:type="auto"/>
            <w:hideMark/>
          </w:tcPr>
          <w:p w14:paraId="6703C4D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 FEMA HR (unspecified)</w:t>
            </w:r>
          </w:p>
        </w:tc>
        <w:tc>
          <w:tcPr>
            <w:tcW w:w="0" w:type="auto"/>
            <w:hideMark/>
          </w:tcPr>
          <w:p w14:paraId="16A486D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Termination without accommodations violates 42 U.S.C. §12112(b)(5)(A). </w:t>
            </w: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xml:space="preserve">: 17-day proximity suggests retaliation (Clark County v. Breeden). </w:t>
            </w:r>
            <w:r w:rsidRPr="00586E06">
              <w:rPr>
                <w:rFonts w:ascii="Times New Roman" w:eastAsia="Times New Roman" w:hAnsi="Times New Roman" w:cs="Times New Roman"/>
                <w:b/>
                <w:bCs/>
                <w:kern w:val="0"/>
                <w:sz w:val="20"/>
                <w:szCs w:val="20"/>
                <w14:ligatures w14:val="none"/>
              </w:rPr>
              <w:t>5 U.S.C. §7513</w:t>
            </w:r>
            <w:r w:rsidRPr="00586E06">
              <w:rPr>
                <w:rFonts w:ascii="Times New Roman" w:eastAsia="Times New Roman" w:hAnsi="Times New Roman" w:cs="Times New Roman"/>
                <w:kern w:val="0"/>
                <w:sz w:val="20"/>
                <w:szCs w:val="20"/>
                <w14:ligatures w14:val="none"/>
              </w:rPr>
              <w:t xml:space="preserve">: No 30-day notice. </w:t>
            </w:r>
            <w:r w:rsidRPr="00586E06">
              <w:rPr>
                <w:rFonts w:ascii="Times New Roman" w:eastAsia="Times New Roman" w:hAnsi="Times New Roman" w:cs="Times New Roman"/>
                <w:b/>
                <w:bCs/>
                <w:kern w:val="0"/>
                <w:sz w:val="20"/>
                <w:szCs w:val="20"/>
                <w14:ligatures w14:val="none"/>
              </w:rPr>
              <w:t>FEMA Manual 123-13-1</w:t>
            </w:r>
            <w:r w:rsidRPr="00586E06">
              <w:rPr>
                <w:rFonts w:ascii="Times New Roman" w:eastAsia="Times New Roman" w:hAnsi="Times New Roman" w:cs="Times New Roman"/>
                <w:kern w:val="0"/>
                <w:sz w:val="20"/>
                <w:szCs w:val="20"/>
                <w14:ligatures w14:val="none"/>
              </w:rPr>
              <w:t xml:space="preserve">: No progressive discipline or Douglas Factors.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Age-based termination likely.</w:t>
            </w:r>
          </w:p>
        </w:tc>
        <w:tc>
          <w:tcPr>
            <w:tcW w:w="0" w:type="auto"/>
            <w:hideMark/>
          </w:tcPr>
          <w:p w14:paraId="0445BB99"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"Terminated due to medical inability to perform essential functions." (PERPLEXITY SUMMARY-APRIL 2025.docx, p. 4).</w:t>
            </w:r>
          </w:p>
        </w:tc>
      </w:tr>
      <w:tr w:rsidR="00586E06" w:rsidRPr="00586E06" w14:paraId="6336CEC6"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F800AE"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8, 2025</w:t>
            </w:r>
          </w:p>
        </w:tc>
        <w:tc>
          <w:tcPr>
            <w:tcW w:w="0" w:type="auto"/>
            <w:hideMark/>
          </w:tcPr>
          <w:p w14:paraId="7D3ECE5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EEO complaint accepted, due by Jul 18, 2025.</w:t>
            </w:r>
          </w:p>
        </w:tc>
        <w:tc>
          <w:tcPr>
            <w:tcW w:w="0" w:type="auto"/>
            <w:hideMark/>
          </w:tcPr>
          <w:p w14:paraId="6D7E696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Office of Equal Rights</w:t>
            </w:r>
          </w:p>
        </w:tc>
        <w:tc>
          <w:tcPr>
            <w:tcW w:w="0" w:type="auto"/>
            <w:hideMark/>
          </w:tcPr>
          <w:p w14:paraId="259F264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procedural compliance.</w:t>
            </w:r>
          </w:p>
        </w:tc>
        <w:tc>
          <w:tcPr>
            <w:tcW w:w="0" w:type="auto"/>
            <w:hideMark/>
          </w:tcPr>
          <w:p w14:paraId="57689C0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acceptance noted in PERPLEXITY SUMMARY-APRIL 2025.docx, p. 14.</w:t>
            </w:r>
          </w:p>
        </w:tc>
      </w:tr>
      <w:tr w:rsidR="00586E06" w:rsidRPr="00586E06" w14:paraId="0AF0DD78"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48A76309"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Feb 14, 2025</w:t>
            </w:r>
          </w:p>
        </w:tc>
        <w:tc>
          <w:tcPr>
            <w:tcW w:w="0" w:type="auto"/>
            <w:hideMark/>
          </w:tcPr>
          <w:p w14:paraId="588F39B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roofErr w:type="gramStart"/>
            <w:r w:rsidRPr="00586E06">
              <w:rPr>
                <w:rFonts w:ascii="Times New Roman" w:eastAsia="Times New Roman" w:hAnsi="Times New Roman" w:cs="Times New Roman"/>
                <w:kern w:val="0"/>
                <w:sz w:val="20"/>
                <w:szCs w:val="20"/>
                <w14:ligatures w14:val="none"/>
              </w:rPr>
              <w:t>Meindl</w:t>
            </w:r>
            <w:proofErr w:type="gramEnd"/>
            <w:r w:rsidRPr="00586E06">
              <w:rPr>
                <w:rFonts w:ascii="Times New Roman" w:eastAsia="Times New Roman" w:hAnsi="Times New Roman" w:cs="Times New Roman"/>
                <w:kern w:val="0"/>
                <w:sz w:val="20"/>
                <w:szCs w:val="20"/>
                <w14:ligatures w14:val="none"/>
              </w:rPr>
              <w:t xml:space="preserve"> submits affidavit detailing emotional/professional toll.</w:t>
            </w:r>
          </w:p>
        </w:tc>
        <w:tc>
          <w:tcPr>
            <w:tcW w:w="0" w:type="auto"/>
            <w:hideMark/>
          </w:tcPr>
          <w:p w14:paraId="09A52AF3"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EEO Investigator</w:t>
            </w:r>
          </w:p>
        </w:tc>
        <w:tc>
          <w:tcPr>
            <w:tcW w:w="0" w:type="auto"/>
            <w:hideMark/>
          </w:tcPr>
          <w:p w14:paraId="206D521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supports EEO claim.</w:t>
            </w:r>
          </w:p>
        </w:tc>
        <w:tc>
          <w:tcPr>
            <w:tcW w:w="0" w:type="auto"/>
            <w:hideMark/>
          </w:tcPr>
          <w:p w14:paraId="5B55F04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affidavit noted in PERPLEXITY SUMMARY-APRIL 2025.docx, p. 9.</w:t>
            </w:r>
          </w:p>
        </w:tc>
      </w:tr>
      <w:tr w:rsidR="00586E06" w:rsidRPr="00586E06" w14:paraId="6E7A7CE0"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D051B"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8, 2025</w:t>
            </w:r>
          </w:p>
        </w:tc>
        <w:tc>
          <w:tcPr>
            <w:tcW w:w="0" w:type="auto"/>
            <w:hideMark/>
          </w:tcPr>
          <w:p w14:paraId="5269C5B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Traci Brasher’s affidavit mischaracterizes RA basis, denies termination knowledge despite Acting Regional Administrator role.</w:t>
            </w:r>
          </w:p>
        </w:tc>
        <w:tc>
          <w:tcPr>
            <w:tcW w:w="0" w:type="auto"/>
            <w:hideMark/>
          </w:tcPr>
          <w:p w14:paraId="3ED295F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Traci Brasher, Max Meindl</w:t>
            </w:r>
          </w:p>
        </w:tc>
        <w:tc>
          <w:tcPr>
            <w:tcW w:w="0" w:type="auto"/>
            <w:hideMark/>
          </w:tcPr>
          <w:p w14:paraId="2FD0A73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xml:space="preserve">: Inaction risks retaliation oversight.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Misrepresentation ignores deployment willingness (29 C.F.R. §1630.9).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Neglect suggests age bias.</w:t>
            </w:r>
          </w:p>
        </w:tc>
        <w:tc>
          <w:tcPr>
            <w:tcW w:w="0" w:type="auto"/>
            <w:hideMark/>
          </w:tcPr>
          <w:p w14:paraId="5D284F6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misrepresentation noted in A Rebuttal to Affidavits of Witnesses.pdf, p. 8.</w:t>
            </w:r>
          </w:p>
        </w:tc>
      </w:tr>
      <w:tr w:rsidR="00586E06" w:rsidRPr="00586E06" w14:paraId="34372899"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C159D80"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12, 2025</w:t>
            </w:r>
          </w:p>
        </w:tc>
        <w:tc>
          <w:tcPr>
            <w:tcW w:w="0" w:type="auto"/>
            <w:hideMark/>
          </w:tcPr>
          <w:p w14:paraId="144828B8"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Shelia Clemons’ affidavit denies communication, downplays 194-day delay, claims no discrimination.</w:t>
            </w:r>
          </w:p>
        </w:tc>
        <w:tc>
          <w:tcPr>
            <w:tcW w:w="0" w:type="auto"/>
            <w:hideMark/>
          </w:tcPr>
          <w:p w14:paraId="2F4EE00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Shelia Clemons, Max Meindl</w:t>
            </w:r>
          </w:p>
        </w:tc>
        <w:tc>
          <w:tcPr>
            <w:tcW w:w="0" w:type="auto"/>
            <w:hideMark/>
          </w:tcPr>
          <w:p w14:paraId="7FF452F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HIPAA (45 CFR §164.312)</w:t>
            </w:r>
            <w:r w:rsidRPr="00586E06">
              <w:rPr>
                <w:rFonts w:ascii="Times New Roman" w:eastAsia="Times New Roman" w:hAnsi="Times New Roman" w:cs="Times New Roman"/>
                <w:kern w:val="0"/>
                <w:sz w:val="20"/>
                <w:szCs w:val="20"/>
                <w14:ligatures w14:val="none"/>
              </w:rPr>
              <w:t xml:space="preserve">: Unencrypted emails breach PHI.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Ignoring remote success violates 29 C.F.R. §1630.2(n)(3). </w:t>
            </w:r>
            <w:r w:rsidRPr="00586E06">
              <w:rPr>
                <w:rFonts w:ascii="Times New Roman" w:eastAsia="Times New Roman" w:hAnsi="Times New Roman" w:cs="Times New Roman"/>
                <w:b/>
                <w:bCs/>
                <w:kern w:val="0"/>
                <w:sz w:val="20"/>
                <w:szCs w:val="20"/>
                <w14:ligatures w14:val="none"/>
              </w:rPr>
              <w:t>MD-110 §VI.C</w:t>
            </w:r>
            <w:r w:rsidRPr="00586E06">
              <w:rPr>
                <w:rFonts w:ascii="Times New Roman" w:eastAsia="Times New Roman" w:hAnsi="Times New Roman" w:cs="Times New Roman"/>
                <w:kern w:val="0"/>
                <w:sz w:val="20"/>
                <w:szCs w:val="20"/>
                <w14:ligatures w14:val="none"/>
              </w:rPr>
              <w:t xml:space="preserve">: Redundant requests violate </w:t>
            </w:r>
            <w:proofErr w:type="gramStart"/>
            <w:r w:rsidRPr="00586E06">
              <w:rPr>
                <w:rFonts w:ascii="Times New Roman" w:eastAsia="Times New Roman" w:hAnsi="Times New Roman" w:cs="Times New Roman"/>
                <w:kern w:val="0"/>
                <w:sz w:val="20"/>
                <w:szCs w:val="20"/>
                <w14:ligatures w14:val="none"/>
              </w:rPr>
              <w:t>process</w:t>
            </w:r>
            <w:proofErr w:type="gramEnd"/>
            <w:r w:rsidRPr="00586E06">
              <w:rPr>
                <w:rFonts w:ascii="Times New Roman" w:eastAsia="Times New Roman" w:hAnsi="Times New Roman" w:cs="Times New Roman"/>
                <w:kern w:val="0"/>
                <w:sz w:val="20"/>
                <w:szCs w:val="20"/>
                <w14:ligatures w14:val="none"/>
              </w:rPr>
              <w:t xml:space="preserve">.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impact on older employees.</w:t>
            </w:r>
          </w:p>
        </w:tc>
        <w:tc>
          <w:tcPr>
            <w:tcW w:w="0" w:type="auto"/>
            <w:hideMark/>
          </w:tcPr>
          <w:p w14:paraId="43D7432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denial noted in A Rebuttal to Affidavits of Witnesses.pdf, p. 5.</w:t>
            </w:r>
          </w:p>
        </w:tc>
      </w:tr>
      <w:tr w:rsidR="00586E06" w:rsidRPr="00586E06" w14:paraId="17EC7807"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1D46BB"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14, 2025</w:t>
            </w:r>
          </w:p>
        </w:tc>
        <w:tc>
          <w:tcPr>
            <w:tcW w:w="0" w:type="auto"/>
            <w:hideMark/>
          </w:tcPr>
          <w:p w14:paraId="552F42E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affidavit misrepresents Meindl’s RA engagement, denies termination accountability.</w:t>
            </w:r>
          </w:p>
        </w:tc>
        <w:tc>
          <w:tcPr>
            <w:tcW w:w="0" w:type="auto"/>
            <w:hideMark/>
          </w:tcPr>
          <w:p w14:paraId="1126A95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Max Meindl</w:t>
            </w:r>
          </w:p>
        </w:tc>
        <w:tc>
          <w:tcPr>
            <w:tcW w:w="0" w:type="auto"/>
            <w:hideMark/>
          </w:tcPr>
          <w:p w14:paraId="133BD13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xml:space="preserve">: Minimizing discrimination risks retaliation.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False inability claim ignores remote success (29 C.F.R. §1630.9).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1EE37AD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misrepresentation noted in A Rebuttal to Affidavits of Witnesses.pdf, p. 1.</w:t>
            </w:r>
          </w:p>
        </w:tc>
      </w:tr>
      <w:tr w:rsidR="00586E06" w:rsidRPr="00586E06" w14:paraId="129515A7"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5C569ED"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14, 2025</w:t>
            </w:r>
          </w:p>
        </w:tc>
        <w:tc>
          <w:tcPr>
            <w:tcW w:w="0" w:type="auto"/>
            <w:hideMark/>
          </w:tcPr>
          <w:p w14:paraId="617D8A9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Donald J. Simko’s affidavit falsely claims Meindl refused to deploy, admits no virtual roles explored.</w:t>
            </w:r>
          </w:p>
        </w:tc>
        <w:tc>
          <w:tcPr>
            <w:tcW w:w="0" w:type="auto"/>
            <w:hideMark/>
          </w:tcPr>
          <w:p w14:paraId="283A35A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Donald J. Simko, Max Meindl</w:t>
            </w:r>
          </w:p>
        </w:tc>
        <w:tc>
          <w:tcPr>
            <w:tcW w:w="0" w:type="auto"/>
            <w:hideMark/>
          </w:tcPr>
          <w:p w14:paraId="5C29BC28"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Misrepresentation violates 29 C.F.R. §1630.9; inadequate reassignment violates EEOC Guidance.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Lack of oversight breaches responsibility.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Virtual role neglect suggests age bias.</w:t>
            </w:r>
          </w:p>
        </w:tc>
        <w:tc>
          <w:tcPr>
            <w:tcW w:w="0" w:type="auto"/>
            <w:hideMark/>
          </w:tcPr>
          <w:p w14:paraId="3190944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claims noted in A Rebuttal to Affidavits of Witnesses.pdf, p. 3.</w:t>
            </w:r>
          </w:p>
        </w:tc>
      </w:tr>
      <w:tr w:rsidR="00586E06" w:rsidRPr="00586E06" w14:paraId="7F4C8E59"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C616F"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14, 2025</w:t>
            </w:r>
          </w:p>
        </w:tc>
        <w:tc>
          <w:tcPr>
            <w:tcW w:w="0" w:type="auto"/>
            <w:hideMark/>
          </w:tcPr>
          <w:p w14:paraId="64E2E13F"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Jodi Hunter’s affidavit claims Meindl refused to deploy, denies RA history knowledge, despite supervisory role.</w:t>
            </w:r>
          </w:p>
        </w:tc>
        <w:tc>
          <w:tcPr>
            <w:tcW w:w="0" w:type="auto"/>
            <w:hideMark/>
          </w:tcPr>
          <w:p w14:paraId="6EE82CE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Jodi Hunter, Max Meindl</w:t>
            </w:r>
          </w:p>
        </w:tc>
        <w:tc>
          <w:tcPr>
            <w:tcW w:w="0" w:type="auto"/>
            <w:hideMark/>
          </w:tcPr>
          <w:p w14:paraId="5C0EFC1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False refusal claim ignores remote success (29 C.F.R. §1630.9).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Lack of interactive process breaches responsibility.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40EDD68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claims noted in Comprehensive Response, p. 11.</w:t>
            </w:r>
          </w:p>
        </w:tc>
      </w:tr>
    </w:tbl>
    <w:p w14:paraId="36FDF633" w14:textId="77777777"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lastRenderedPageBreak/>
        <w:t>Notes on Violations, Evidence, and Quotes:</w:t>
      </w:r>
    </w:p>
    <w:p w14:paraId="47DAE4C2"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Rehabilitation Act §501 (29 C.F.R. §1630)</w:t>
      </w:r>
      <w:r w:rsidRPr="00586E06">
        <w:rPr>
          <w:rFonts w:ascii="Times New Roman" w:eastAsia="Times New Roman" w:hAnsi="Times New Roman" w:cs="Times New Roman"/>
          <w:kern w:val="0"/>
          <w14:ligatures w14:val="none"/>
        </w:rPr>
        <w:t xml:space="preserve">: Requires individualized accommodation assessments and prohibits disability discrimination. FEMA’s failure to explore virtual deployments and termination without exhausting accommodations </w:t>
      </w:r>
      <w:proofErr w:type="gramStart"/>
      <w:r w:rsidRPr="00586E06">
        <w:rPr>
          <w:rFonts w:ascii="Times New Roman" w:eastAsia="Times New Roman" w:hAnsi="Times New Roman" w:cs="Times New Roman"/>
          <w:kern w:val="0"/>
          <w14:ligatures w14:val="none"/>
        </w:rPr>
        <w:t>violate</w:t>
      </w:r>
      <w:proofErr w:type="gramEnd"/>
      <w:r w:rsidRPr="00586E06">
        <w:rPr>
          <w:rFonts w:ascii="Times New Roman" w:eastAsia="Times New Roman" w:hAnsi="Times New Roman" w:cs="Times New Roman"/>
          <w:kern w:val="0"/>
          <w14:ligatures w14:val="none"/>
        </w:rPr>
        <w:t xml:space="preserve"> this statute.</w:t>
      </w:r>
    </w:p>
    <w:p w14:paraId="3386C556"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HIPAA Security Rule (45 CFR §164.312)</w:t>
      </w:r>
      <w:r w:rsidRPr="00586E06">
        <w:rPr>
          <w:rFonts w:ascii="Times New Roman" w:eastAsia="Times New Roman" w:hAnsi="Times New Roman" w:cs="Times New Roman"/>
          <w:kern w:val="0"/>
          <w14:ligatures w14:val="none"/>
        </w:rPr>
        <w:t>: Mandates secure PHI transmission. Unencrypted emails by Clemons breached Meindl’s privacy, exacerbating stress for an older employee.</w:t>
      </w:r>
    </w:p>
    <w:p w14:paraId="544D4C6F"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EEOC MD-110</w:t>
      </w:r>
      <w:r w:rsidRPr="00586E06">
        <w:rPr>
          <w:rFonts w:ascii="Times New Roman" w:eastAsia="Times New Roman" w:hAnsi="Times New Roman" w:cs="Times New Roman"/>
          <w:kern w:val="0"/>
          <w14:ligatures w14:val="none"/>
        </w:rPr>
        <w:t>: Guidelines for EEO processes. Violations include untimely processing (§IV.D), undocumented interactive processes (§VI.A), redundant documentation requests (§VI.C), inadequate investigation (§VI), and ignored retaliation indicators (§XI).</w:t>
      </w:r>
    </w:p>
    <w:p w14:paraId="347A1026"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FEMA Instruction 256-022-01</w:t>
      </w:r>
      <w:r w:rsidRPr="00586E06">
        <w:rPr>
          <w:rFonts w:ascii="Times New Roman" w:eastAsia="Times New Roman" w:hAnsi="Times New Roman" w:cs="Times New Roman"/>
          <w:kern w:val="0"/>
          <w14:ligatures w14:val="none"/>
        </w:rPr>
        <w:t>: Sets 45-day RA processing timeline, consistently exceeded (e.g., 194 days for RAR0046767, 986 days for RAR0023261).</w:t>
      </w:r>
    </w:p>
    <w:p w14:paraId="49CA42C4"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FEMA Manual 123-13-1</w:t>
      </w:r>
      <w:r w:rsidRPr="00586E06">
        <w:rPr>
          <w:rFonts w:ascii="Times New Roman" w:eastAsia="Times New Roman" w:hAnsi="Times New Roman" w:cs="Times New Roman"/>
          <w:kern w:val="0"/>
          <w14:ligatures w14:val="none"/>
        </w:rPr>
        <w:t>: Requires 30-day advance notice, progressive discipline, and Douglas Factors for adverse actions. Termination notice lacks these elements.</w:t>
      </w:r>
    </w:p>
    <w:p w14:paraId="6F70458C"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FEMA Directive 123-0-2-1</w:t>
      </w:r>
      <w:r w:rsidRPr="00586E06">
        <w:rPr>
          <w:rFonts w:ascii="Times New Roman" w:eastAsia="Times New Roman" w:hAnsi="Times New Roman" w:cs="Times New Roman"/>
          <w:kern w:val="0"/>
          <w14:ligatures w14:val="none"/>
        </w:rPr>
        <w:t>: Mandates employee welfare checks post-disaster. Failure to conduct a call-down after Hurricane Beryl neglected Meindl’s well-being.</w:t>
      </w:r>
    </w:p>
    <w:p w14:paraId="4128FEBA"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ADEA (29 U.S.C. §623)</w:t>
      </w:r>
      <w:r w:rsidRPr="00586E06">
        <w:rPr>
          <w:rFonts w:ascii="Times New Roman" w:eastAsia="Times New Roman" w:hAnsi="Times New Roman" w:cs="Times New Roman"/>
          <w:kern w:val="0"/>
          <w14:ligatures w14:val="none"/>
        </w:rPr>
        <w:t>: Prohibits age discrimination. FEMA’s disparate treatment, systemic delays, and welfare neglect suggest age bias, per Smith v. City of Jackson (544 U.S. 228).</w:t>
      </w:r>
    </w:p>
    <w:p w14:paraId="5CC0EA94"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OMB M-17-06</w:t>
      </w:r>
      <w:r w:rsidRPr="00586E06">
        <w:rPr>
          <w:rFonts w:ascii="Times New Roman" w:eastAsia="Times New Roman" w:hAnsi="Times New Roman" w:cs="Times New Roman"/>
          <w:kern w:val="0"/>
          <w14:ligatures w14:val="none"/>
        </w:rPr>
        <w:t>: Governs feedback protocols; premature OAST surveys violate resolution-based feedback requirements.</w:t>
      </w:r>
    </w:p>
    <w:p w14:paraId="6FF414C4"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Quotes/Statements</w:t>
      </w:r>
      <w:r w:rsidRPr="00586E06">
        <w:rPr>
          <w:rFonts w:ascii="Times New Roman" w:eastAsia="Times New Roman" w:hAnsi="Times New Roman" w:cs="Times New Roman"/>
          <w:kern w:val="0"/>
          <w14:ligatures w14:val="none"/>
        </w:rPr>
        <w:t>: Quotes are included where specific email or Teams message content is provided in the documents. Where unavailable, the absence is noted, and the source document is referenced. Some quotes are paraphrased for brevity while preserving intent, as exact message content may be summarized in sources like PERPLEXITY SUMMARY-APRIL 2025.docx.</w:t>
      </w:r>
    </w:p>
    <w:p w14:paraId="01CD9DB7"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Evidence Sources</w:t>
      </w:r>
      <w:r w:rsidRPr="00586E06">
        <w:rPr>
          <w:rFonts w:ascii="Times New Roman" w:eastAsia="Times New Roman" w:hAnsi="Times New Roman" w:cs="Times New Roman"/>
          <w:kern w:val="0"/>
          <w14:ligatures w14:val="none"/>
        </w:rPr>
        <w:t xml:space="preserve">: Emails (EMAIL EXPORT-04-25-25.CSV, </w:t>
      </w:r>
      <w:proofErr w:type="spellStart"/>
      <w:r w:rsidRPr="00586E06">
        <w:rPr>
          <w:rFonts w:ascii="Times New Roman" w:eastAsia="Times New Roman" w:hAnsi="Times New Roman" w:cs="Times New Roman"/>
          <w:kern w:val="0"/>
          <w14:ligatures w14:val="none"/>
        </w:rPr>
        <w:t>fmla</w:t>
      </w:r>
      <w:proofErr w:type="spellEnd"/>
      <w:r w:rsidRPr="00586E06">
        <w:rPr>
          <w:rFonts w:ascii="Times New Roman" w:eastAsia="Times New Roman" w:hAnsi="Times New Roman" w:cs="Times New Roman"/>
          <w:kern w:val="0"/>
          <w14:ligatures w14:val="none"/>
        </w:rPr>
        <w:t xml:space="preserve"> determination-alexander.pdf, </w:t>
      </w:r>
      <w:proofErr w:type="spellStart"/>
      <w:r w:rsidRPr="00586E06">
        <w:rPr>
          <w:rFonts w:ascii="Times New Roman" w:eastAsia="Times New Roman" w:hAnsi="Times New Roman" w:cs="Times New Roman"/>
          <w:kern w:val="0"/>
          <w14:ligatures w14:val="none"/>
        </w:rPr>
        <w:t>ra</w:t>
      </w:r>
      <w:proofErr w:type="spellEnd"/>
      <w:r w:rsidRPr="00586E06">
        <w:rPr>
          <w:rFonts w:ascii="Times New Roman" w:eastAsia="Times New Roman" w:hAnsi="Times New Roman" w:cs="Times New Roman"/>
          <w:kern w:val="0"/>
          <w14:ligatures w14:val="none"/>
        </w:rPr>
        <w:t xml:space="preserve"> request-comms-rick-pag.pdf, </w:t>
      </w:r>
      <w:proofErr w:type="spellStart"/>
      <w:r w:rsidRPr="00586E06">
        <w:rPr>
          <w:rFonts w:ascii="Times New Roman" w:eastAsia="Times New Roman" w:hAnsi="Times New Roman" w:cs="Times New Roman"/>
          <w:kern w:val="0"/>
          <w14:ligatures w14:val="none"/>
        </w:rPr>
        <w:t>ra</w:t>
      </w:r>
      <w:proofErr w:type="spellEnd"/>
      <w:r w:rsidRPr="00586E06">
        <w:rPr>
          <w:rFonts w:ascii="Times New Roman" w:eastAsia="Times New Roman" w:hAnsi="Times New Roman" w:cs="Times New Roman"/>
          <w:kern w:val="0"/>
          <w14:ligatures w14:val="none"/>
        </w:rPr>
        <w:t xml:space="preserve"> comms-rick-pag-3.pdf), rebuttals (A Rebuttal to Affidavits of Witnesses.pdf), analyses (GROK CHAT SUMMARY FOR FINALIZATION.docx, PERPLEXITY SUMMARY-APRIL 2025.docx), and comprehensive response (Comprehensive Response in Support of Max J. Meindl’s EEO Complaint).</w:t>
      </w:r>
    </w:p>
    <w:p w14:paraId="4828285B" w14:textId="77777777"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Recommendations for EEO Investigator:</w:t>
      </w:r>
    </w:p>
    <w:p w14:paraId="47A111B6" w14:textId="77777777"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This table, enhanced with direct quotes, underscores FEMA Region 6’s systemic noncompliance, including delays, privacy breaches, welfare neglect, age-based discrimination, and retaliatory termination. The investigator should:</w:t>
      </w:r>
    </w:p>
    <w:p w14:paraId="09315E1E"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lastRenderedPageBreak/>
        <w:t>Verify RA processing timelines via FEMA logs.</w:t>
      </w:r>
    </w:p>
    <w:p w14:paraId="45F4670F"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Review unencrypted email threads for HIPAA compliance.</w:t>
      </w:r>
    </w:p>
    <w:p w14:paraId="4C229333"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proofErr w:type="gramStart"/>
      <w:r w:rsidRPr="00586E06">
        <w:rPr>
          <w:rFonts w:ascii="Times New Roman" w:eastAsia="Times New Roman" w:hAnsi="Times New Roman" w:cs="Times New Roman"/>
          <w:kern w:val="0"/>
          <w14:ligatures w14:val="none"/>
        </w:rPr>
        <w:t>Interview</w:t>
      </w:r>
      <w:proofErr w:type="gramEnd"/>
      <w:r w:rsidRPr="00586E06">
        <w:rPr>
          <w:rFonts w:ascii="Times New Roman" w:eastAsia="Times New Roman" w:hAnsi="Times New Roman" w:cs="Times New Roman"/>
          <w:kern w:val="0"/>
          <w14:ligatures w14:val="none"/>
        </w:rPr>
        <w:t xml:space="preserve"> named individuals (Clemons, Brasher, Underhill, In, Hunter, Aguilo, Myers, Simko, McAllister, Dickerson, Towndrow) to clarify decisions.</w:t>
      </w:r>
    </w:p>
    <w:p w14:paraId="6575E2D1"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 xml:space="preserve">Assess age-based disparate treatment by comparing </w:t>
      </w:r>
      <w:proofErr w:type="gramStart"/>
      <w:r w:rsidRPr="00586E06">
        <w:rPr>
          <w:rFonts w:ascii="Times New Roman" w:eastAsia="Times New Roman" w:hAnsi="Times New Roman" w:cs="Times New Roman"/>
          <w:kern w:val="0"/>
          <w14:ligatures w14:val="none"/>
        </w:rPr>
        <w:t>accommodations</w:t>
      </w:r>
      <w:proofErr w:type="gramEnd"/>
      <w:r w:rsidRPr="00586E06">
        <w:rPr>
          <w:rFonts w:ascii="Times New Roman" w:eastAsia="Times New Roman" w:hAnsi="Times New Roman" w:cs="Times New Roman"/>
          <w:kern w:val="0"/>
          <w14:ligatures w14:val="none"/>
        </w:rPr>
        <w:t xml:space="preserve"> for younger vs. older employees.</w:t>
      </w:r>
    </w:p>
    <w:p w14:paraId="768B5D37"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Investigate lack of call-down post-Hurricane Beryl, per FEMA Directive 123-0-2-1.</w:t>
      </w:r>
    </w:p>
    <w:p w14:paraId="5B83F965"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Examine premature OAST surveys for procedural irregularities.</w:t>
      </w:r>
    </w:p>
    <w:p w14:paraId="71037F9D" w14:textId="77777777"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This table provides a comprehensive, evidence-based chronology with direct quotes to support Meindl’s EEO complaint, highlighting FEMA Region 6’s violations and systemic issues affecting older employees.</w:t>
      </w:r>
    </w:p>
    <w:p w14:paraId="1E94C140" w14:textId="77777777" w:rsidR="007B4D84" w:rsidRDefault="007B4D84"/>
    <w:sectPr w:rsidR="007B4D84" w:rsidSect="00586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816D1"/>
    <w:multiLevelType w:val="multilevel"/>
    <w:tmpl w:val="1F4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772E3"/>
    <w:multiLevelType w:val="multilevel"/>
    <w:tmpl w:val="907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717528">
    <w:abstractNumId w:val="0"/>
  </w:num>
  <w:num w:numId="2" w16cid:durableId="1087531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06"/>
    <w:rsid w:val="00586E06"/>
    <w:rsid w:val="007164E4"/>
    <w:rsid w:val="007B4D84"/>
    <w:rsid w:val="009372FD"/>
    <w:rsid w:val="00AE0908"/>
    <w:rsid w:val="00DF1096"/>
    <w:rsid w:val="00F7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ADC6"/>
  <w15:chartTrackingRefBased/>
  <w15:docId w15:val="{11FEF616-A729-4FAB-A9E3-0AAA4A79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06"/>
    <w:rPr>
      <w:rFonts w:eastAsiaTheme="majorEastAsia" w:cstheme="majorBidi"/>
      <w:color w:val="272727" w:themeColor="text1" w:themeTint="D8"/>
    </w:rPr>
  </w:style>
  <w:style w:type="paragraph" w:styleId="Title">
    <w:name w:val="Title"/>
    <w:basedOn w:val="Normal"/>
    <w:next w:val="Normal"/>
    <w:link w:val="TitleChar"/>
    <w:uiPriority w:val="10"/>
    <w:qFormat/>
    <w:rsid w:val="00586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06"/>
    <w:pPr>
      <w:spacing w:before="160"/>
      <w:jc w:val="center"/>
    </w:pPr>
    <w:rPr>
      <w:i/>
      <w:iCs/>
      <w:color w:val="404040" w:themeColor="text1" w:themeTint="BF"/>
    </w:rPr>
  </w:style>
  <w:style w:type="character" w:customStyle="1" w:styleId="QuoteChar">
    <w:name w:val="Quote Char"/>
    <w:basedOn w:val="DefaultParagraphFont"/>
    <w:link w:val="Quote"/>
    <w:uiPriority w:val="29"/>
    <w:rsid w:val="00586E06"/>
    <w:rPr>
      <w:i/>
      <w:iCs/>
      <w:color w:val="404040" w:themeColor="text1" w:themeTint="BF"/>
    </w:rPr>
  </w:style>
  <w:style w:type="paragraph" w:styleId="ListParagraph">
    <w:name w:val="List Paragraph"/>
    <w:basedOn w:val="Normal"/>
    <w:uiPriority w:val="34"/>
    <w:qFormat/>
    <w:rsid w:val="00586E06"/>
    <w:pPr>
      <w:ind w:left="720"/>
      <w:contextualSpacing/>
    </w:pPr>
  </w:style>
  <w:style w:type="character" w:styleId="IntenseEmphasis">
    <w:name w:val="Intense Emphasis"/>
    <w:basedOn w:val="DefaultParagraphFont"/>
    <w:uiPriority w:val="21"/>
    <w:qFormat/>
    <w:rsid w:val="00586E06"/>
    <w:rPr>
      <w:i/>
      <w:iCs/>
      <w:color w:val="0F4761" w:themeColor="accent1" w:themeShade="BF"/>
    </w:rPr>
  </w:style>
  <w:style w:type="paragraph" w:styleId="IntenseQuote">
    <w:name w:val="Intense Quote"/>
    <w:basedOn w:val="Normal"/>
    <w:next w:val="Normal"/>
    <w:link w:val="IntenseQuoteChar"/>
    <w:uiPriority w:val="30"/>
    <w:qFormat/>
    <w:rsid w:val="00586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06"/>
    <w:rPr>
      <w:i/>
      <w:iCs/>
      <w:color w:val="0F4761" w:themeColor="accent1" w:themeShade="BF"/>
    </w:rPr>
  </w:style>
  <w:style w:type="character" w:styleId="IntenseReference">
    <w:name w:val="Intense Reference"/>
    <w:basedOn w:val="DefaultParagraphFont"/>
    <w:uiPriority w:val="32"/>
    <w:qFormat/>
    <w:rsid w:val="00586E06"/>
    <w:rPr>
      <w:b/>
      <w:bCs/>
      <w:smallCaps/>
      <w:color w:val="0F4761" w:themeColor="accent1" w:themeShade="BF"/>
      <w:spacing w:val="5"/>
    </w:rPr>
  </w:style>
  <w:style w:type="table" w:styleId="GridTable2-Accent6">
    <w:name w:val="Grid Table 2 Accent 6"/>
    <w:basedOn w:val="TableNormal"/>
    <w:uiPriority w:val="47"/>
    <w:rsid w:val="00586E06"/>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1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3399</Words>
  <Characters>19376</Characters>
  <Application>Microsoft Office Word</Application>
  <DocSecurity>0</DocSecurity>
  <Lines>161</Lines>
  <Paragraphs>45</Paragraphs>
  <ScaleCrop>false</ScaleCrop>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2</cp:revision>
  <dcterms:created xsi:type="dcterms:W3CDTF">2025-05-16T13:39:00Z</dcterms:created>
  <dcterms:modified xsi:type="dcterms:W3CDTF">2025-05-16T13:39:00Z</dcterms:modified>
</cp:coreProperties>
</file>