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ИНВЕСТИЦИОННЫЙ МЕМОРАНДУМ</w:t>
      </w:r>
    </w:p>
    <w:p>
      <w:pPr>
        <w:pBdr>
          <w:bottom w:val="single" w:color="27AE60" w:sz="8" w:space="1"/>
        </w:pBdr>
        <w:spacing w:after="40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Дачное некоммерческое партнёрство</w:t>
      </w:r>
    </w:p>
    <w:p>
      <w:pPr>
        <w:spacing w:after="100" w:before="0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1B3A5C"/>
          <w:sz w:val="72"/>
          <w:szCs w:val="72"/>
        </w:rPr>
        <w:t xml:space="preserve">«УСАДЬБА ЭРМИТАЖ»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2E6DA4"/>
          <w:sz w:val="28"/>
          <w:szCs w:val="28"/>
        </w:rPr>
        <w:t xml:space="preserve">Анализ девелоперской привлекательности и финансовая модель</w:t>
      </w:r>
    </w:p>
    <w:p>
      <w:pPr>
        <w:spacing w:after="2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3"/>
        <w:gridCol w:w="3213"/>
      </w:tblGrid>
      <w:tr>
        <w:tc>
          <w:tcPr>
            <w:tcW w:type="dxa" w:w="3212"/>
            <w:tcBorders>
              <w:top w:val="nil"/>
              <w:left w:val="nil"/>
              <w:bottom w:val="nil"/>
              <w:right w:val="nil"/>
            </w:tcBorders>
            <w:shd w:fill="D5E8F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72"/>
                <w:szCs w:val="72"/>
              </w:rPr>
              <w:t xml:space="preserve">55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B3A5C"/>
                <w:sz w:val="20"/>
                <w:szCs w:val="20"/>
              </w:rPr>
              <w:t xml:space="preserve">участков всего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E6DA4"/>
                <w:sz w:val="18"/>
                <w:szCs w:val="18"/>
              </w:rPr>
              <w:t xml:space="preserve">17 свободных</w:t>
            </w:r>
          </w:p>
        </w:tc>
        <w:tc>
          <w:tcPr>
            <w:tcW w:type="dxa" w:w="3213"/>
            <w:tcBorders>
              <w:top w:val="nil"/>
              <w:left w:val="nil"/>
              <w:bottom w:val="nil"/>
              <w:right w:val="nil"/>
            </w:tcBorders>
            <w:shd w:fill="D5F0E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6B3C"/>
                <w:sz w:val="72"/>
                <w:szCs w:val="72"/>
              </w:rPr>
              <w:t xml:space="preserve">10 га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6B3C"/>
                <w:sz w:val="20"/>
                <w:szCs w:val="20"/>
              </w:rPr>
              <w:t xml:space="preserve">общая площадь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27AE60"/>
                <w:sz w:val="18"/>
                <w:szCs w:val="18"/>
              </w:rPr>
              <w:t xml:space="preserve">аренда 49 лет</w:t>
            </w:r>
          </w:p>
        </w:tc>
        <w:tc>
          <w:tcPr>
            <w:tcW w:type="dxa" w:w="3213"/>
            <w:tcBorders>
              <w:top w:val="nil"/>
              <w:left w:val="nil"/>
              <w:bottom w:val="nil"/>
              <w:right w:val="nil"/>
            </w:tcBorders>
            <w:shd w:fill="FEF0E0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72"/>
                <w:szCs w:val="72"/>
              </w:rPr>
              <w:t xml:space="preserve">100 км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67E22"/>
                <w:sz w:val="20"/>
                <w:szCs w:val="20"/>
              </w:rPr>
              <w:t xml:space="preserve">от МКАД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Минское шоссе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spacing w:after="100" w:before="6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Май 2025 г.</w:t>
      </w: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Московская область, Можайский район</w:t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Исполнительное резюме</w:t>
      </w:r>
    </w:p>
    <w:p>
      <w:pPr>
        <w:spacing w:after="140" w:before="10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ДНП «Усадьба Эрмитаж» — земельный массив площадью 10 гектаров, расположенный в Можайском районе Московской области, в 100 км от МКАД по Минскому шоссе. Участок граничит с охраняемой зоной Бородинского лесничества, что создаёт уникальный экологический контекст и повышает премию к стоимости земли.</w:t>
      </w:r>
    </w:p>
    <w:p>
      <w:pPr>
        <w:spacing w:after="140" w:before="10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Партнёрство располагает сформированной базовой инфраструктурой, кадастровыми паспортами на 55 участков и долгосрочным договором аренды. На текущий момент свободны 17 участков, что открывает немедленные возможности для девелопмента или перепродажи.</w:t>
      </w:r>
    </w:p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6DA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Характеристика объекта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2.1 Местоположение и доступность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6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Шоссе</w:t>
            </w:r>
          </w:p>
        </w:tc>
        <w:tc>
          <w:tcPr>
            <w:tcW w:type="dxa" w:w="6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Минское шоссе (М-1)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Расстояние от МКАД</w:t>
            </w:r>
          </w:p>
        </w:tc>
        <w:tc>
          <w:tcPr>
            <w:tcW w:type="dxa" w:w="6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~100 км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Расстояние от Можайска</w:t>
            </w:r>
          </w:p>
        </w:tc>
        <w:tc>
          <w:tcPr>
            <w:tcW w:type="dxa" w:w="6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~29 км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Ближайший крупный водоём</w:t>
            </w:r>
          </w:p>
        </w:tc>
        <w:tc>
          <w:tcPr>
            <w:tcW w:type="dxa" w:w="6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Можайское водохранилище (~10 мин. езды)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Ближайшие населённые пункты</w:t>
            </w:r>
          </w:p>
        </w:tc>
        <w:tc>
          <w:tcPr>
            <w:tcW w:type="dxa" w:w="6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д. Вельяшево, д. Псарево, д. Воронцово, д. Каменка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Природное окружение</w:t>
            </w:r>
          </w:p>
        </w:tc>
        <w:tc>
          <w:tcPr>
            <w:tcW w:type="dxa" w:w="6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Заповедная зона Бородинского лесничества (лес по всему периметру)</w:t>
            </w:r>
          </w:p>
        </w:tc>
      </w:tr>
      <w:tr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Правовой статус земли</w:t>
            </w:r>
          </w:p>
        </w:tc>
        <w:tc>
          <w:tcPr>
            <w:tcW w:type="dxa" w:w="61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Долгосрочная аренда на 49 лет с правом перехода в частную собственность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2.2 Структура участков (план межевания)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По данным утверждённого плана межевания, ДНП состоит из 55 участков:</w:t>
      </w:r>
    </w:p>
    <w:p>
      <w:pPr>
        <w:spacing w:after="1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Кол-во участков</w:t>
            </w:r>
          </w:p>
        </w:tc>
      </w:tr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Стандартные участки 1 500 м²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48</w:t>
            </w:r>
          </w:p>
        </w:tc>
      </w:tr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Угловые / увеличенные (1 622–1 856 м²)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Нестандартные (1 173–1 783 м²)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Общая площадь под участки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≈ 8,25 га</w:t>
            </w:r>
          </w:p>
        </w:tc>
      </w:tr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Площадь общей инфраструктуры (дороги, КПП, пруд и т.д.)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≈ 1,75 га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2.3 Имеющаяся инфраструктура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По данным плана и описания, на текущий момент на объекте реализованы: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Подъездная дорога (ширина полосы 3,5 м — данные с плана)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Внутренние дороги к участкам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Трансформаторная подстанция (ТП) и КПП на въезде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Хозяйственный блок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Проведено межевание; у каждого участка есть кадастровый паспорт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Планируемые объекты (в стадии реализации):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Общий забор по периметру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Административное здание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Охрана территории (круглосуточная)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Пруд (противопожарная безопасность / рекреация)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Детская площадка / зона отдыха</w:t>
      </w:r>
    </w:p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Коммунальные услуги для членов ДНП: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Электроснабжение (до каждого участка)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Уборка мусора и снега, очистка дорог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Охрана частной собственности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Обслуживание пруда</w:t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SWOT-анализ девелоперской привлекательности</w:t>
      </w:r>
    </w:p>
    <w:p>
      <w:pPr>
        <w:spacing w:after="1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✅  СИЛЬНЫЕ СТОРОНЫ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⚠️  СЛАБЫЕ СТОРОНЫ</w:t>
            </w:r>
          </w:p>
        </w:tc>
      </w:tr>
      <w:tr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Экологически чистое место: лес Бородинского заповедника по всему периметру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Сформированная кадастровая база (55 участков)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Готовая дорожная инфраструктура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Наличие электроснабжения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Близость Можайского водохранилища (рыбалка, отдых)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Долгосрочная аренда с правом выкупа в собственность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17 свободных участков — готовый продукт для реализации</w:t>
            </w:r>
          </w:p>
        </w:tc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EF0E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100 км от МКАД — значительная удалённость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Отсутствие газификации (не упоминается)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Некоторые объекты инфраструктуры ещё не построены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Статус аренды (не собственность) может снижать ликвидность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Узкая дорога подъезда (3,5 м) — ограничение для грузовой техники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Слабая известность бренда / маркетинг на раннем этапе</w:t>
            </w:r>
          </w:p>
        </w:tc>
      </w:tr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🚀  ВОЗМОЖНОСТИ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🔴  УГРОЗЫ</w:t>
            </w:r>
          </w:p>
        </w:tc>
      </w:tr>
      <w:tr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Рост спроса на загородную недвижимость после 2020–2022 гг.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Эко-тренд: покупатели ищут природные локации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Возможность строительства коттеджного посёлка премиум-класса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Перевод в собственность повысит ликвидность и стоимость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Туристическая привлекательность (Бородино, водохранилище)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Возможность газификации через Можайск</w:t>
            </w:r>
          </w:p>
        </w:tc>
        <w:tc>
          <w:tcPr>
            <w:tcW w:type="dxa" w:w="4819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AD7D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Волатильность рынка загородной недвижимости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Изменение условий аренды со стороны Администрации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Рост конкуренции: новые КП на Минском шоссе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Инфраструктурные задержки (газ, дороги общего пользования)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• Макроэкономические риски (ставки, санкции)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6DA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Анализ рынка загородной недвижимости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4.1 Ценовые ориентиры (Минское шоссе, 80–120 км от МКАД)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На основе данных публичных листингов загородной недвижимости (Минское / Можайское направление, 2024–2025 г.):</w:t>
      </w:r>
    </w:p>
    <w:p>
      <w:pPr>
        <w:spacing w:after="1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638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Сегмент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Цена за сотку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Земля без коммуникаций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30 000 – 50 000 руб.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Сельхоз / ЛПХ, без дорог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Участки ДНП/ИЖС с базовой инфраструктурой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60 000 – 120 000 руб.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Дороги, электричество, КПП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КП бизнес/премиум (лесная локация)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150 000 – 300 000 руб.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Газ, охрана, благоустройство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Аналог: ДНП «Усадьба Эрмитаж» (целевой)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80 000 – 130 000 руб.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2E6DA4"/>
                <w:sz w:val="20"/>
                <w:szCs w:val="20"/>
              </w:rPr>
              <w:t xml:space="preserve">После завершения инфраструктуры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При средней площади 15 соток (1 500 м²) и цене 90 000 руб./сотка рыночная стоимость одного участка составит около 1 350 000 – 1 950 000 рублей.</w:t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Финансовая модель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Финансовая модель построена для трёх сценариев: консервативного, базового и оптимистичного. Горизонт расчёта — 3 года с момента начала активных продаж.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5.1 Исходные параметры модели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Параметр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Свободных участков для продажи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17 участков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Средняя площадь участка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15 соток (1 500 м²)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Суммарная реализуемая площадь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255 соток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Целевой рынок покупателей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Москва + ближнее Подмосковье (Минское направление)</w:t>
            </w:r>
          </w:p>
        </w:tc>
      </w:tr>
      <w:tr>
        <w:tc>
          <w:tcPr>
            <w:tcW w:type="dxa" w:w="5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Стоимость оставшихся вложений в инфраструктуру (оценка)</w:t>
            </w:r>
          </w:p>
        </w:tc>
        <w:tc>
          <w:tcPr>
            <w:tcW w:type="dxa" w:w="4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≈ 8 000 000 – 15 000 000 руб.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5.2 Сценарный анализ продаж (17 участков)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2142"/>
        <w:gridCol w:w="2142"/>
        <w:gridCol w:w="2141"/>
      </w:tblGrid>
      <w:tr>
        <w:tc>
          <w:tcPr>
            <w:tcW w:type="dxa" w:w="32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1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Консервативный</w:t>
            </w:r>
          </w:p>
        </w:tc>
        <w:tc>
          <w:tcPr>
            <w:tcW w:type="dxa" w:w="21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214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Оптимистичный</w:t>
            </w:r>
          </w:p>
        </w:tc>
      </w:tr>
      <w:tr>
        <w:tc>
          <w:tcPr>
            <w:tcW w:type="dxa" w:w="32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Цена за сотку (руб.)</w:t>
            </w:r>
          </w:p>
        </w:tc>
        <w:tc>
          <w:tcPr>
            <w:tcW w:type="dxa" w:w="21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70 000</w:t>
            </w:r>
          </w:p>
        </w:tc>
        <w:tc>
          <w:tcPr>
            <w:tcW w:type="dxa" w:w="21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95 000</w:t>
            </w:r>
          </w:p>
        </w:tc>
        <w:tc>
          <w:tcPr>
            <w:tcW w:type="dxa" w:w="214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130 000</w:t>
            </w:r>
          </w:p>
        </w:tc>
      </w:tr>
      <w:tr>
        <w:tc>
          <w:tcPr>
            <w:tcW w:type="dxa" w:w="32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Цена 1 уч. × 15 соток (руб.)</w:t>
            </w:r>
          </w:p>
        </w:tc>
        <w:tc>
          <w:tcPr>
            <w:tcW w:type="dxa" w:w="21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1 050 000</w:t>
            </w:r>
          </w:p>
        </w:tc>
        <w:tc>
          <w:tcPr>
            <w:tcW w:type="dxa" w:w="21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1 425 000</w:t>
            </w:r>
          </w:p>
        </w:tc>
        <w:tc>
          <w:tcPr>
            <w:tcW w:type="dxa" w:w="214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1 950 000</w:t>
            </w:r>
          </w:p>
        </w:tc>
      </w:tr>
      <w:tr>
        <w:tc>
          <w:tcPr>
            <w:tcW w:type="dxa" w:w="32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Темп продаж (уч./год)</w:t>
            </w:r>
          </w:p>
        </w:tc>
        <w:tc>
          <w:tcPr>
            <w:tcW w:type="dxa" w:w="21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3–4</w:t>
            </w:r>
          </w:p>
        </w:tc>
        <w:tc>
          <w:tcPr>
            <w:tcW w:type="dxa" w:w="21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5–6</w:t>
            </w:r>
          </w:p>
        </w:tc>
        <w:tc>
          <w:tcPr>
            <w:tcW w:type="dxa" w:w="214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8–9</w:t>
            </w:r>
          </w:p>
        </w:tc>
      </w:tr>
      <w:tr>
        <w:tc>
          <w:tcPr>
            <w:tcW w:type="dxa" w:w="32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Срок реализации</w:t>
            </w:r>
          </w:p>
        </w:tc>
        <w:tc>
          <w:tcPr>
            <w:tcW w:type="dxa" w:w="21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4–5 лет</w:t>
            </w:r>
          </w:p>
        </w:tc>
        <w:tc>
          <w:tcPr>
            <w:tcW w:type="dxa" w:w="21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3 года</w:t>
            </w:r>
          </w:p>
        </w:tc>
        <w:tc>
          <w:tcPr>
            <w:tcW w:type="dxa" w:w="214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года</w:t>
            </w:r>
          </w:p>
        </w:tc>
      </w:tr>
      <w:tr>
        <w:tc>
          <w:tcPr>
            <w:tcW w:type="dxa" w:w="3213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Выручка от продаж (17 уч.)</w:t>
            </w:r>
          </w:p>
        </w:tc>
        <w:tc>
          <w:tcPr>
            <w:tcW w:type="dxa" w:w="21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17 850 000 руб.</w:t>
            </w:r>
          </w:p>
        </w:tc>
        <w:tc>
          <w:tcPr>
            <w:tcW w:type="dxa" w:w="2142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24 225 000 руб.</w:t>
            </w:r>
          </w:p>
        </w:tc>
        <w:tc>
          <w:tcPr>
            <w:tcW w:type="dxa" w:w="2141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33 150 000 руб.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5.3 Детальный план по годам (Базовый сценарий)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9"/>
        <w:gridCol w:w="1609"/>
        <w:gridCol w:w="1610"/>
        <w:gridCol w:w="1610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Статья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Год 1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Год 2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Год 3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Итого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Кол-во проданных участков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17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Выручка от продаж (руб.)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7 125 000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8 550 000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8 550 000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24 225 000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Вступительные / членские взносы (17 уч. × 50 000 руб.)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250 000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850 000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Целевые взносы (инфраструктура) (17 уч. × 200 000 руб.)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1 000 000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1 200 000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1 200 000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3 400 000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ИТОГО ДОХОДЫ (руб.)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8 375 000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10 050 000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10 050 000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28 475 000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РАСХОДЫ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Забор + КПП (завершение)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2 500 000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2 500 000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Административное здание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3 000 000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3 000 000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Пруд + детская площадка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1 500 000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500 000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2 000 000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Охрана (в год)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1 200 000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1 200 000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1 200 000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3 600 000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Маркетинг и продажи (в год)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1 000 000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800 000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2 400 000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Обслуживание дорог, уборка, прочее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600 000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600 000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1 800 000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Юридические / административные расходы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300 000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700 000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ИТОГО РАСХОДЫ (руб.)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10 100 000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3 300 000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2 600 000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16 000 000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20"/>
                <w:szCs w:val="20"/>
              </w:rPr>
              <w:t xml:space="preserve">ЧИСТЫЙ ДЕНЕЖНЫЙ ПОТОК (руб.)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–1 725 000</w:t>
            </w:r>
          </w:p>
        </w:tc>
        <w:tc>
          <w:tcPr>
            <w:tcW w:type="dxa" w:w="160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20"/>
                <w:szCs w:val="20"/>
              </w:rPr>
              <w:t xml:space="preserve">+6 750 000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20"/>
                <w:szCs w:val="20"/>
              </w:rPr>
              <w:t xml:space="preserve">+7 450 000</w:t>
            </w:r>
          </w:p>
        </w:tc>
        <w:tc>
          <w:tcPr>
            <w:tcW w:type="dxa" w:w="161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20"/>
                <w:szCs w:val="20"/>
              </w:rPr>
              <w:t xml:space="preserve">+12 475 000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5.4 Ключевые показатели эффективности (базовый сценарий)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Суммарная выручка за 3 года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28 475 000 руб. (~28,5 млн руб.)</w:t>
            </w:r>
          </w:p>
        </w:tc>
      </w:tr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Суммарные расходы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16 000 000 руб. (~16 млн руб.)</w:t>
            </w:r>
          </w:p>
        </w:tc>
      </w:tr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Чистая прибыль (3 года)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12 475 000 руб. (~12,5 млн руб.)</w:t>
            </w:r>
          </w:p>
        </w:tc>
      </w:tr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Рентабельность (ROI)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~78%</w:t>
            </w:r>
          </w:p>
        </w:tc>
      </w:tr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Точка безубыточности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12 участков из 17 (≈70% распродано)</w:t>
            </w:r>
          </w:p>
        </w:tc>
      </w:tr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Срок окупаемости вложений в инфраструктуру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~18–24 месяца</w:t>
            </w:r>
          </w:p>
        </w:tc>
      </w:tr>
      <w:tr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Инвестиционный потенциал (после распродажи)</w:t>
            </w:r>
          </w:p>
        </w:tc>
        <w:tc>
          <w:tcPr>
            <w:tcW w:type="dxa" w:w="4819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Действующий посёлок с 55 домовладениями + членские взносы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Сравнение сценариев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146"/>
        <w:gridCol w:w="2146"/>
        <w:gridCol w:w="2146"/>
      </w:tblGrid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Показатель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Консервативный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Базовый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Оптимистичный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Цена за сотку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70 000 руб.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95 000 руб.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130 000 руб.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Выручка (17 уч.)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17 850 000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24 225 000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33 150 000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Расходы (оценка)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16 000 000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16 000 000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16 000 000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Чистая прибыль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1 850 000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20"/>
                <w:szCs w:val="20"/>
              </w:rPr>
              <w:t xml:space="preserve">8 225 000+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20"/>
                <w:szCs w:val="20"/>
              </w:rPr>
              <w:t xml:space="preserve">17 150 000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ROI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~12%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20"/>
                <w:szCs w:val="20"/>
              </w:rPr>
              <w:t xml:space="preserve">~51%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6B3C"/>
                <w:sz w:val="20"/>
                <w:szCs w:val="20"/>
              </w:rPr>
              <w:t xml:space="preserve">~107%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Оценка вероятности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20%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60%</w:t>
            </w:r>
          </w:p>
        </w:tc>
        <w:tc>
          <w:tcPr>
            <w:tcW w:type="dxa" w:w="214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20%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6DA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Стратегические рекомендации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7.1 Первоочередные действия (0–6 месяцев)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Завершить строительство забора и административного здания — это ключевые «продажные» аргументы для покупателя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Запустить маркетинговую кампанию на целевую аудиторию: москвичи 35–55 лет, доход выше среднего, интерес к экологии и природному отдыху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Разработать юридически прозрачную схему оформления участков (договор с поэтапным переводом в собственность)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Сформировать коммерческое предложение с прозрачной структурой взносов и услуг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7.2 Среднесрочные приоритеты (6–24 месяца)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Инициировать процедуру перевода земель из аренды в собственность — это резко повысит ликвидность и цену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Проработать возможность подключения газоснабжения (ближайшая труба — через Можайск)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Создать управляющую компанию или передать функции профессиональному оператору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Развить рекреационную инфраструктуру: пруд, прогулочные маршруты, зоны барбекю</w:t>
      </w:r>
    </w:p>
    <w:p>
      <w:pPr>
        <w:spacing w:after="10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6DA4"/>
          <w:sz w:val="28"/>
          <w:szCs w:val="28"/>
        </w:rPr>
        <w:t xml:space="preserve">7.3 Оценка общей девелоперской привлекательности</w:t>
      </w:r>
    </w:p>
    <w:p>
      <w:pPr>
        <w:spacing w:after="100" w:before="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3638"/>
      </w:tblGrid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Критерий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Оценка (1–5)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6DA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Комментарий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Экологическое расположение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B3C"/>
                <w:sz w:val="20"/>
                <w:szCs w:val="20"/>
              </w:rPr>
              <w:t xml:space="preserve">⭐⭐⭐⭐⭐  5/5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Заповедник + водохранилище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Транспортная доступность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⭐⭐⭐  3/5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100 км от МКАД — далеко, но Минское шоссе хорошее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Готовность инфраструктуры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⭐⭐⭐  3/5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Базис есть, многое ещё строится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Правовая чистота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⭐⭐⭐⭐  4/5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Кадастр оформлен, аренда зарегистрирована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Финансовый потенциал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7AE60"/>
                <w:sz w:val="20"/>
                <w:szCs w:val="20"/>
              </w:rPr>
              <w:t xml:space="preserve">⭐⭐⭐⭐  4/5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ROI 50%+ в базовом сценарии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Ликвидность (скорость продаж)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0"/>
                <w:szCs w:val="20"/>
              </w:rPr>
              <w:t xml:space="preserve">⭐⭐⭐  3/5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A1A1A"/>
                <w:sz w:val="20"/>
                <w:szCs w:val="20"/>
              </w:rPr>
              <w:t xml:space="preserve">Нишевой продукт, ограниченная аудитория</w:t>
            </w:r>
          </w:p>
        </w:tc>
      </w:tr>
      <w:tr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ИТОГОВАЯ ОЦЕНКА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⭐⭐⭐⭐  3,7/5</w:t>
            </w:r>
          </w:p>
        </w:tc>
        <w:tc>
          <w:tcPr>
            <w:tcW w:type="dxa" w:w="3638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5C"/>
                <w:sz w:val="20"/>
                <w:szCs w:val="20"/>
              </w:rPr>
              <w:t xml:space="preserve">ВЫШЕ СРЕДНЕГО — рекомендован к девелопменту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6DA4" w:sz="6" w:space="1"/>
        </w:pBdr>
        <w:spacing w:after="180" w:before="36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Заключение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ДНП «Усадьба Эрмитаж» обладает реальным девелоперским потенциалом, обусловленным уникальным природным контекстом (заповедный лес, близость водохранилища), сформированной правовой и кадастровой базой, а также наличием базовой инфраструктуры.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Ключевым фактором успеха является своевременное завершение инфраструктурных объектов (забор, административное здание, пруд) и грамотно выстроенный маркетинг, ориентированный на московскую аудиторию, ищущую экологически чистый загородный отдых.</w:t>
      </w:r>
    </w:p>
    <w:p>
      <w:pPr>
        <w:spacing w:after="120" w:before="10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В базовом сценарии проект генерирует чистую прибыль свыше 12,4 млн рублей на горизонте трёх лет при рентабельности около 78%, что делает его привлекательным для частного девелопмента или инвестиционного входа.</w:t>
      </w:r>
    </w:p>
    <w:p>
      <w:pPr>
        <w:spacing w:after="100" w:before="0"/>
      </w:pPr>
      <w:r>
        <w:t xml:space="preserve"/>
      </w:r>
    </w:p>
    <w:p>
      <w:pPr>
        <w:pBdr>
          <w:top w:val="single" w:color="2E6DA4" w:sz="4" w:space="1"/>
        </w:pBdr>
        <w:spacing w:after="100" w:before="20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Документ подготовлен на основе предоставленных материалов ДНП. Финансовые показатели носят оценочный характер и подлежат уточнению после проведения детального due diligence.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6DA4" w:sz="4" w:space="1"/>
      </w:pBdr>
      <w:tabs>
        <w:tab w:val="right" w:pos="9638"/>
      </w:tabs>
      <w:spacing w:before="100"/>
    </w:pPr>
    <w:r>
      <w:rPr>
        <w:rFonts w:ascii="Arial" w:cs="Arial" w:eastAsia="Arial" w:hAnsi="Arial"/>
        <w:color w:val="555555"/>
        <w:sz w:val="18"/>
        <w:szCs w:val="18"/>
      </w:rPr>
      <w:t xml:space="preserve">Май 2025 г.   |   Инвестиционный меморандум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стр.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1"/>
      </w:pBdr>
      <w:tabs>
        <w:tab w:val="right" w:pos="9638"/>
      </w:tabs>
      <w:spacing w:after="100"/>
    </w:pPr>
    <w:r>
      <w:rPr>
        <w:rFonts w:ascii="Arial" w:cs="Arial" w:eastAsia="Arial" w:hAnsi="Arial"/>
        <w:color w:val="555555"/>
        <w:sz w:val="18"/>
        <w:szCs w:val="18"/>
      </w:rPr>
      <w:t xml:space="preserve">ДНП «Усадьба Эрмитаж» — Анализ девелоперской привлекательности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b/>
        <w:bCs/>
        <w:color w:val="2E6DA4"/>
        <w:sz w:val="18"/>
        <w:szCs w:val="18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6DA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2026-05-12T08:19:43.970Z</dcterms:created>
  <dcterms:modified xsi:type="dcterms:W3CDTF">2026-05-12T08:19:43.970Z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