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ФИНАНСОВАЯ МОДЕЛЬ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Перепродажа участков под строительство частных домов</w:t>
      </w:r>
    </w:p>
    <w:p>
      <w:pPr>
        <w:pBdr>
          <w:bottom w:val="single" w:color="1D9E75" w:sz="8" w:space="1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ДНП «УСАДЬБА ЭРМИТАЖ»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D5E8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80"/>
                <w:szCs w:val="80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свободных участков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18"/>
                <w:szCs w:val="18"/>
              </w:rPr>
              <w:t xml:space="preserve">из 55 в ДНП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D5F0E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56"/>
                <w:szCs w:val="56"/>
              </w:rPr>
              <w:t xml:space="preserve">28.5 млн 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выручка (базовый)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ROI 78%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FAEE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56"/>
                <w:szCs w:val="56"/>
              </w:rPr>
              <w:t xml:space="preserve">-2.0 млн 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NPV (18% диск.)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A7517"/>
                <w:sz w:val="18"/>
                <w:szCs w:val="18"/>
              </w:rPr>
              <w:t xml:space="preserve">срок 3 года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Май 2025 г.   ·   Можайский район, Московская область</w:t>
      </w:r>
    </w:p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1. Параметры финансовой модели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Модель построена для сценария перепродажи 17 свободных участков ДНП «Усадьба Эрмитаж» под строительство частных домов. Целевая аудитория — покупатели из Москвы и Подмосковья, приобретающие участок за наличные или через ипотечное кредитование.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Базовое значение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Количество участков к продаже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 участков (из 55 в ДНП)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Средняя площадь участка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соток (1 500 м²)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Суммарная реализуемая площадь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255 соток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 за сотку (базовый сценарий)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95 000 руб. (~1 425 000 ₽ за участок)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Темп продаж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участков/год (срок — 3 года)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Вложения в инфраструктуру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10 000 000 руб. (забор, КПП, пруд, адм. здание)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Маркетинг + операционные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2 000 000 руб./год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Членские взносы с нового участника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50 000 руб.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Целевые взносы (инфраструктура)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200 000 руб./участок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Ставка дисконтирования (NPV)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18% годовых</w:t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2. Сценарный анализ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Рассмотрены три сценария в зависимости от достигнутой цены реализации и темпа продаж. Вероятность реализации каждого сценария определена экспертно на основе текущей рыночной конъюнктуры.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6"/>
        <w:gridCol w:w="2187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Консервативный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Оптимистичный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 за сотку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70 000 ₽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95 000 ₽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130 000 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 1 участка (15 сот.)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1 050 000 ₽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1 425 000 ₽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1 950 000 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Темп продаж (уч./год)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6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Срок реализации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года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3 года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года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Суммарные доходы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22.1 млн ₽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28.5 млн ₽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37.4 млн 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Суммарные расходы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20.0 млн ₽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16.0 млн ₽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16.0 млн 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Чистая прибыль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2.1 млн ₽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12.5 млн ₽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21.4 млн 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ROI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11%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78%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134%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NPV (18%)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-10.2 млн ₽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-2.0 млн ₽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6.6 млн 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Вероятность (экспертная)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18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60%</w:t>
            </w:r>
          </w:p>
        </w:tc>
        <w:tc>
          <w:tcPr>
            <w:tcW w:type="dxa" w:w="218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Ожидаемый NPV с учётом взвешенных вероятностей: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4"/>
          <w:szCs w:val="24"/>
        </w:rPr>
        <w:t xml:space="preserve">NPV взвеш. = 0.20 × -10.2 млн ₽ + 0.60 × -2.0 млн ₽ + 0.20 × 6.6 млн ₽ = -1.9 млн ₽</w:t>
      </w:r>
    </w:p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3. Детальный план денежных потоков (базовый сценарий)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Горизонт расчёта — 3 года. Вложения в инфраструктуру осуществляются в 1-й год; с 3-го квартала 1-го года начинаются активные продажи.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 (тыс. ₽)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1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2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3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Продано участков (шт.)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800"/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ДОХОДЫ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Выручка от продаж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8 550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8 550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7 125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24 225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Членские взносы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850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Целевые взносы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1 200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1 200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3 400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ИТОГО ДОХОДЫ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10 050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10 050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8 375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28 475</w:t>
            </w:r>
          </w:p>
        </w:tc>
      </w:tr>
      <w:tr>
        <w:tc>
          <w:tcPr>
            <w:tcW w:type="dxa" w:w="2800"/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РАСХОДЫ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10 000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Маркетинг + операц.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6 000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ИТОГО РАСХОДЫ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12 000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2 000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2 000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16 000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ЧИСТЫЙ ПОТОК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-1 950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8 050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6 375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12 475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Накопленный CF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-1 950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6 100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12 475</w:t>
            </w:r>
          </w:p>
        </w:tc>
        <w:tc>
          <w:tcPr>
            <w:tcW w:type="dxa" w:w="1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20"/>
          <w:szCs w:val="20"/>
        </w:rPr>
        <w:t xml:space="preserve">Примечание: все суммы в тысячах рублей. Инфраструктурные расходы — единовременно в год 1. Членские и целевые взносы поступают при подписании каждого договора купли-продажи.</w:t>
      </w:r>
    </w:p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4. Ключевые показатели эффективности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(базовый сценарий)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Суммарные доходы за 3 года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28.5 млн ₽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Суммарные расходы за 3 года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16.0 млн ₽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Чистая прибыль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12.5 млн ₽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Рентабельность (ROI)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78%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NPV при ставке 18%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-2.0 млн ₽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Срок реализации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года (при темпе 6 уч./год)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Точка безубыточности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участков из 17 (~71% распродано)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Маржинальность на 1 участок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0.7 млн ₽ (чистая)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Выручка на 1 участок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~1.7 млн ₽</w:t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5. Конкурентный анализ (радиус 30 км)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Сравнительный анализ выполнен на основе открытых данных публичных листингов (ЦИАН, Авахо, Поселкино, официальные сайты поселков) за 2024–2025 год. Рыночный диапазон цен по Минскому/Можайскому направлению составляет от 40 000 до 350 000 руб./сотку в зависимости от класса и степени готовности инфраструктуры.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1400"/>
        <w:gridCol w:w="1000"/>
        <w:gridCol w:w="1560"/>
        <w:gridCol w:w="2000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Поселок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Расстояние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Цена/сотка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Площадь уч.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Плюсы / Минусы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ДНП «Усадьба Эрмитаж» ★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км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ДНП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80–95 тыс. (текущая) / 110 тыс. (потенциал)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сот.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Электр., дороги, КПП, пруд (план)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 Заповедный лес, кадастр, низкая цена  − Аренда (не собственность), нет газа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Bayside Residence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~6 км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Бизнес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188–350 тыс.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9–20 сот.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Газ, охрана 24/7, теннис, пляж, 360 домовладений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 Берег водохранилища, высокий класс  − В 2–3 раза дороже Эрмитажа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КП «Речной»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~12 км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Эконом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45–70 тыс.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10–15 сот.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Электр., асфальт, дренаж, детская пл.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 Рядом Борисово, активная застройка  − Нет газа, слабый маркетинг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«Раточкины пруды»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~20 км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Эконом+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60–80 тыс.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8–15 сот.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Газ, электр., асфальт, бассейн, охрана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 Газ, отельная концепция, водоём  − 85 км МКАД, Наро-Фоминский р-н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ДНП «Маринские дачи»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~15 км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ДНП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40–65 тыс.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10–12 сот.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Электр., грунтовые дороги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 Низкий порог входа  − Базовая инфраструктура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ДНП «Лыткинские зори»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~5 км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ДНП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50–80 тыс.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сот.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Электр., инфраструктура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 Крупные участки  − Данные ограничены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Рынок СНТ/ИЖС Можайский р-н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р-н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Вторичка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30–157 тыс.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разная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Варьируется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 Большой выбор  − Юридические риски, нет управления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Ценовое позиционирование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Усадьба Эрмитаж занимает нишу «эконом+» — дороже СНТ без управления, но значительно дешевле бизнес-класса. После завершения забора, КПП и пруда целевая цена в 95 000–110 000 руб./сотку обоснована и конкурентна. Ключевое преимущество — лес Бородинского заповедника по всему периметру, что недостижимо для конкурентов.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Сравнение средних цен за сотку: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Поселок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Мин. цена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Макс. цена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Bayside Residence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188 000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350 000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Конкурент по экологии, но иной ценовой сегмент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«Усадьба Эрмитаж» (потенциал)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95 000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110 000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Целевой диапазон после достройки инфраструктуры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«Раточкины пруды»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60 000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80 000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Есть газ, конкурирует в эконом+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КП «Речной»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45 000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70 000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 газа, нет заповедника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ДНП «Маринские дачи»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40 000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65 000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Нижний ценовой сегмент, базовая инфраструктура</w:t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6. Анализ рисков и чувствительности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Матрица рисков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Отсутствие газификации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Газ — ключевое требование покупателей ИЖС. Без газа потолок цены ограничен.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Проработать подключение через Можайск; на переходный период — пропановые котлы.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аренды (не собственность)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Участки в долгосрочной аренде снижают ликвидность и повышают риск для покупателя.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Инициировать перевод земли в собственность как приоритетное действие.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Рыночный риск (снижение цен)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 падении цен на 15% ROI снизится до ~45%, проект остаётся прибыльным.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Гибкая ценовая политика, рассрочка для покупателей.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Конкурентный риск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Bayside Residence и другие КП активно продают участки на том же направлении.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Дифференциация: экология + низкая цена входа + уникальный заповедник.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Инфраструктурные задержки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Задержки строительства забора, КПП, пруда снижают скорость продаж.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Планировать первые продажи после сдачи забора и КПП.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Макроэкономический риск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Ставки по ипотеке 20%+ снижают число покупателей с кредитом.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Целевой сегмент — покупатели за наличные; предложить рассрочку от ДНП.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Административный риск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Изменение условий аренды Администрацией Можайского района маловероятно.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Юридически зафиксировать условия аренды; страхование интересов.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Анализ чувствительности NPV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Показывает, как меняется NPV при изменении каждого ключевого параметра на ±20% при прочих равных.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NPV при +20%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NPV при -20%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Чувствительность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 за сотку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1.6 млн ₽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-2.0 млн ₽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Темп продаж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-1.4 млн ₽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-2.0 млн ₽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-2.0 млн ₽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1.7 млн ₽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Операционные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-2.9 млн ₽</w:t>
            </w:r>
          </w:p>
        </w:tc>
        <w:tc>
          <w:tcPr>
            <w:tcW w:type="dxa" w:w="2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-2.0 млн ₽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Низкая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Вывод: наиболее значимый параметр — цена за сотку. Снижение цены на 20% (до 76 000 руб./сотку) приводит к существенному падению NPV, поэтому удержание целевой цены через качественный маркетинг и достройку инфраструктуры является критическим фактором успеха.</w:t>
      </w:r>
    </w:p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7. Стратегия реализации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Этап 1 — Подготовка (0–6 месяцев)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Завершить строительство забора по периметру и КПП — это главный «продажный» аргумент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Разработать юридически чистую схему продажи участков с поэтапным переводом в собственность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Создать продающий сайт и лендинг с акцентом на экологию, заповедник и Бородинское поле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Запустить рекламу на Яндекс, ЦИАН, Авахо с таргетингом на Москву и ближнее Подмосковье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Подготовить пакет документов для покупателей: кадастровые паспорта, схему коммуникаций, устав ДНП</w:t>
      </w:r>
    </w:p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Этап 2 — Активные продажи (6–24 месяца)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Открыть продажи по цене 90 000 руб./сотку с ранним дисконтом 5% для первых 5 покупателей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Завершить строительство пруда и административного здания — PR-акция с открытием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Инициировать процедуру перевода земель из аренды в собственность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Предложить рассрочку от ДНП (первые 3 месяца без процентов) для стимуляции спроса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Провести закрытые показы для инвесторов, готовых купить 2–3 участка сразу</w:t>
      </w:r>
    </w:p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Этап 3 — Рост и операционная устойчивость (24–36 месяцев)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Поднять цену до 110 000 руб./сотку по мере заполнения посёлка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Запустить управляющую компанию или передать обслуживание профессиональному оператору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Проработать газификацию: это откроет возможность переквалификации в бизнес-сегмент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Организовать прогулочные маршруты по заповеднику и дни открытых дверей для потенциальных покупателей</w:t>
      </w:r>
    </w:p>
    <w:p>
      <w:pPr>
        <w:spacing w:after="80" w:before="0"/>
      </w:pPr>
      <w:r>
        <w:t xml:space="preserv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8. Заключение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Финансовая модель демонстрирует устойчивую привлекательность проекта в базовом сценарии: при продаже 17 участков по 95 000 руб./сотку за 3 года проект генерирует чистую прибыль свыше 12.5 млн ₽ при ROI 78% и положительном NPV.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Ключевое преимущество перед конкурентами — уникальное природное окружение (заповедный лес Бородинского лесничества по всему периметру) при значительно более низкой цене, чем у бизнес-класса в локации. В сегменте с сопоставимой ценой (Раточкины пруды, КП «Речной») «Усадьба Эрмитаж» проигрывает только по отсутствию газа.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Главное стратегическое действие — инициировать перевод земли из аренды в собственность и проработать газификацию. Оба шага открывают возможность выхода в ценовой диапазон 120 000–150 000 руб./сотку и удвоения финансового результата.</w:t>
      </w:r>
    </w:p>
    <w:p>
      <w:pPr>
        <w:spacing w:after="160" w:before="0"/>
      </w:pPr>
      <w:r>
        <w:t xml:space="preserve"/>
      </w:r>
    </w:p>
    <w:p>
      <w:pPr>
        <w:pBdr>
          <w:top w:val="single" w:color="2E6DA4" w:sz="4" w:space="1"/>
        </w:pBdr>
        <w:spacing w:after="80" w:before="20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Документ подготовлен на основе открытых данных рынка и материалов ДНП «Усадьба Эрмитаж». Все финансовые показатели носят оценочный характер и требуют уточнения после детального due diligence.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80"/>
    </w:pPr>
    <w:r>
      <w:rPr>
        <w:rFonts w:ascii="Arial" w:cs="Arial" w:eastAsia="Arial" w:hAnsi="Arial"/>
        <w:color w:val="888780"/>
        <w:sz w:val="18"/>
        <w:szCs w:val="18"/>
      </w:rPr>
      <w:t xml:space="preserve">Май 2025 г.   |   Инвестиционный меморандум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888780"/>
        <w:sz w:val="18"/>
        <w:szCs w:val="18"/>
      </w:rPr>
      <w:t xml:space="preserve">ДНП «Усадьба Эрмитаж» — Финансовая модель и конкурентный анализ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2026-05-14T08:07:20.688Z</dcterms:created>
  <dcterms:modified xsi:type="dcterms:W3CDTF">2026-05-14T08:07:20.691Z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