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Core-Satellite Alpha Strategy</w:t>
      </w:r>
    </w:p>
    <w:p>
      <w:pPr>
        <w:spacing w:after="60" w:before="0"/>
        <w:jc w:val="center"/>
      </w:pPr>
      <w:r>
        <w:rPr>
          <w:rFonts w:ascii="Arial" w:cs="Arial" w:eastAsia="Arial" w:hAnsi="Arial"/>
          <w:sz w:val="26"/>
          <w:szCs w:val="26"/>
        </w:rPr>
        <w:t xml:space="preserve">Methodology Document</w:t>
      </w:r>
    </w:p>
    <w:p>
      <w:pPr>
        <w:spacing w:after="320" w:before="0"/>
        <w:jc w:val="center"/>
      </w:pPr>
      <w:r>
        <w:rPr>
          <w:rFonts w:ascii="Arial" w:cs="Arial" w:eastAsia="Arial" w:hAnsi="Arial"/>
          <w:i/>
          <w:iCs/>
          <w:sz w:val="22"/>
          <w:szCs w:val="22"/>
        </w:rPr>
        <w:t xml:space="preserve">Finance &amp; Economics Club — Freshers Recruitment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Universe</w:t>
            </w:r>
          </w:p>
        </w:tc>
        <w:tc>
          <w:tcPr>
            <w:tcW w:type="dxa" w:w="31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Rebalance Frequency</w:t>
            </w:r>
          </w:p>
        </w:tc>
        <w:tc>
          <w:tcPr>
            <w:tcW w:type="dxa" w:w="31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Strategy Type</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Large-Cap US Equities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Core-Satellite, Long-Only</w:t>
            </w:r>
          </w:p>
        </w:tc>
      </w:tr>
    </w:tbl>
    <w:p>
      <w:pPr>
        <w:spacing w:after="0" w:before="240"/>
      </w:pP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1. What the Strategy Does</w:t>
      </w:r>
    </w:p>
    <w:p>
      <w:pPr>
        <w:spacing w:after="100" w:before="60"/>
      </w:pPr>
      <w:r>
        <w:rPr>
          <w:rFonts w:ascii="Arial" w:cs="Arial" w:eastAsia="Arial" w:hAnsi="Arial"/>
          <w:sz w:val="22"/>
          <w:szCs w:val="22"/>
        </w:rPr>
        <w:t xml:space="preserve">The strategy splits the portfolio into two layers that run simultaneously:</w:t>
      </w:r>
    </w:p>
    <w:p>
      <w:pPr>
        <w:pStyle w:val="ListParagraph"/>
        <w:numPr>
          <w:ilvl w:val="0"/>
          <w:numId w:val="2"/>
        </w:numPr>
        <w:spacing w:after="40" w:before="40"/>
      </w:pPr>
      <w:r>
        <w:rPr>
          <w:rFonts w:ascii="Arial" w:cs="Arial" w:eastAsia="Arial" w:hAnsi="Arial"/>
          <w:sz w:val="22"/>
          <w:szCs w:val="22"/>
        </w:rPr>
        <w:t xml:space="preserve">Core (70%): All 10 stocks held equally at 7% each. Provides stable, diversified market exposure.</w:t>
      </w:r>
    </w:p>
    <w:p>
      <w:pPr>
        <w:pStyle w:val="ListParagraph"/>
        <w:numPr>
          <w:ilvl w:val="0"/>
          <w:numId w:val="2"/>
        </w:numPr>
        <w:spacing w:after="40" w:before="40"/>
      </w:pPr>
      <w:r>
        <w:rPr>
          <w:rFonts w:ascii="Arial" w:cs="Arial" w:eastAsia="Arial" w:hAnsi="Arial"/>
          <w:sz w:val="22"/>
          <w:szCs w:val="22"/>
        </w:rPr>
        <w:t xml:space="preserve">Satellite (30%): The top 2 momentum-ranked stocks receive an extra 15% each on top of their core weight, giving them ~22% total.</w:t>
      </w:r>
    </w:p>
    <w:p>
      <w:pPr>
        <w:spacing w:after="100" w:before="60"/>
      </w:pPr>
      <w:r>
        <w:rPr>
          <w:rFonts w:ascii="Arial" w:cs="Arial" w:eastAsia="Arial" w:hAnsi="Arial"/>
          <w:sz w:val="22"/>
          <w:szCs w:val="22"/>
        </w:rPr>
        <w:t xml:space="preserve">The logic is straightforward. Most long-run equity return comes from simply being in the market. A small, rules-based tilt toward stocks with recent price momentum can add incremental return without meaningfully increasing overall risk.</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2. Signal Generation</w:t>
      </w:r>
    </w:p>
    <w:p>
      <w:pPr>
        <w:spacing w:after="100" w:before="60"/>
      </w:pPr>
      <w:r>
        <w:rPr>
          <w:rFonts w:ascii="Arial" w:cs="Arial" w:eastAsia="Arial" w:hAnsi="Arial"/>
          <w:sz w:val="22"/>
          <w:szCs w:val="22"/>
        </w:rPr>
        <w:t xml:space="preserve">On the first trading day of each month, the following four steps run using only data available up to that point. No future information is ever used.</w:t>
      </w:r>
    </w:p>
    <w:p>
      <w:pPr>
        <w:spacing w:after="40" w:before="120"/>
      </w:pPr>
      <w:r>
        <w:rPr>
          <w:rFonts w:ascii="Arial" w:cs="Arial" w:eastAsia="Arial" w:hAnsi="Arial"/>
          <w:b/>
          <w:bCs/>
          <w:sz w:val="22"/>
          <w:szCs w:val="22"/>
        </w:rPr>
        <w:t xml:space="preserve">Step 1 — 21-day return:</w:t>
      </w:r>
    </w:p>
    <w:p>
      <w:pPr>
        <w:spacing w:after="80" w:before="80"/>
        <w:ind w:left="720"/>
      </w:pPr>
      <w:r>
        <w:rPr>
          <w:rFonts w:ascii="Courier New" w:cs="Courier New" w:eastAsia="Courier New" w:hAnsi="Courier New"/>
          <w:sz w:val="20"/>
          <w:szCs w:val="20"/>
        </w:rPr>
        <w:t xml:space="preserve">R = (Price today / Price 21 days ago) - 1</w:t>
      </w:r>
    </w:p>
    <w:p>
      <w:pPr>
        <w:spacing w:after="40" w:before="120"/>
      </w:pPr>
      <w:r>
        <w:rPr>
          <w:rFonts w:ascii="Arial" w:cs="Arial" w:eastAsia="Arial" w:hAnsi="Arial"/>
          <w:b/>
          <w:bCs/>
          <w:sz w:val="22"/>
          <w:szCs w:val="22"/>
        </w:rPr>
        <w:t xml:space="preserve">Step 2 — 21-day realised volatility (annualised):</w:t>
      </w:r>
    </w:p>
    <w:p>
      <w:pPr>
        <w:spacing w:after="80" w:before="80"/>
        <w:ind w:left="720"/>
      </w:pPr>
      <w:r>
        <w:rPr>
          <w:rFonts w:ascii="Courier New" w:cs="Courier New" w:eastAsia="Courier New" w:hAnsi="Courier New"/>
          <w:sz w:val="20"/>
          <w:szCs w:val="20"/>
        </w:rPr>
        <w:t xml:space="preserve">Vol = StdDev(daily returns over past 21 days) x sqrt(252)</w:t>
      </w:r>
    </w:p>
    <w:p>
      <w:pPr>
        <w:spacing w:after="40" w:before="120"/>
      </w:pPr>
      <w:r>
        <w:rPr>
          <w:rFonts w:ascii="Arial" w:cs="Arial" w:eastAsia="Arial" w:hAnsi="Arial"/>
          <w:b/>
          <w:bCs/>
          <w:sz w:val="22"/>
          <w:szCs w:val="22"/>
        </w:rPr>
        <w:t xml:space="preserve">Step 3 — Alpha Score:</w:t>
      </w:r>
    </w:p>
    <w:p>
      <w:pPr>
        <w:spacing w:after="80" w:before="80"/>
        <w:ind w:left="720"/>
      </w:pPr>
      <w:r>
        <w:rPr>
          <w:rFonts w:ascii="Courier New" w:cs="Courier New" w:eastAsia="Courier New" w:hAnsi="Courier New"/>
          <w:sz w:val="20"/>
          <w:szCs w:val="20"/>
        </w:rPr>
        <w:t xml:space="preserve">Alpha Score = R x Vol^0.8</w:t>
      </w:r>
    </w:p>
    <w:p>
      <w:pPr>
        <w:spacing w:after="60" w:before="120"/>
      </w:pPr>
      <w:r>
        <w:rPr>
          <w:rFonts w:ascii="Arial" w:cs="Arial" w:eastAsia="Arial" w:hAnsi="Arial"/>
          <w:b/>
          <w:bCs/>
          <w:sz w:val="22"/>
          <w:szCs w:val="22"/>
        </w:rPr>
        <w:t xml:space="preserve">Step 4 — </w:t>
      </w:r>
      <w:r>
        <w:rPr>
          <w:rFonts w:ascii="Arial" w:cs="Arial" w:eastAsia="Arial" w:hAnsi="Arial"/>
          <w:sz w:val="22"/>
          <w:szCs w:val="22"/>
        </w:rPr>
        <w:t xml:space="preserve">Rank all 10 stocks by Alpha Score (descending). The top 2 become the satellite holdings for the next month.</w:t>
      </w:r>
    </w:p>
    <w:p>
      <w:pPr>
        <w:pStyle w:val="Heading2"/>
        <w:spacing w:after="80" w:before="240"/>
      </w:pPr>
      <w:r>
        <w:rPr>
          <w:rFonts w:ascii="Arial" w:cs="Arial" w:eastAsia="Arial" w:hAnsi="Arial"/>
          <w:b/>
          <w:bCs/>
          <w:sz w:val="24"/>
          <w:szCs w:val="24"/>
        </w:rPr>
        <w:t xml:space="preserve">Why Vol^0.8 and not something else?</w:t>
      </w:r>
    </w:p>
    <w:p>
      <w:pPr>
        <w:spacing w:after="100" w:before="60"/>
      </w:pPr>
      <w:r>
        <w:rPr>
          <w:rFonts w:ascii="Arial" w:cs="Arial" w:eastAsia="Arial" w:hAnsi="Arial"/>
          <w:sz w:val="22"/>
          <w:szCs w:val="22"/>
        </w:rPr>
        <w:t xml:space="preserve">Raw momentum (Vol^0 — no scaling) over-rewards stocks that moved only because they were volatile, not because of any real directional signal. Dividing fully by volatility (Vol^1.0, effectively using the Sharpe ratio as the signal) over-penalises high-volatility stocks that </w:t>
      </w:r>
      <w:r>
        <w:rPr>
          <w:rFonts w:ascii="Arial" w:cs="Arial" w:eastAsia="Arial" w:hAnsi="Arial"/>
          <w:i/>
          <w:iCs/>
          <w:sz w:val="22"/>
          <w:szCs w:val="22"/>
        </w:rPr>
        <w:t xml:space="preserve">genuinely </w:t>
      </w:r>
      <w:r>
        <w:rPr>
          <w:rFonts w:ascii="Arial" w:cs="Arial" w:eastAsia="Arial" w:hAnsi="Arial"/>
          <w:sz w:val="22"/>
          <w:szCs w:val="22"/>
        </w:rPr>
        <w:t xml:space="preserve">had strong directional moves. The exponent 0.8 sits between these extremes.</w:t>
      </w:r>
    </w:p>
    <w:p>
      <w:pPr>
        <w:spacing w:after="100" w:before="60"/>
      </w:pPr>
      <w:r>
        <w:rPr>
          <w:rFonts w:ascii="Arial" w:cs="Arial" w:eastAsia="Arial" w:hAnsi="Arial"/>
          <w:sz w:val="22"/>
          <w:szCs w:val="22"/>
        </w:rPr>
        <w:t xml:space="preserve">This specific value is not arbitrary. Kakushadze &amp; Tulchinsky (2015) — </w:t>
      </w:r>
      <w:r>
        <w:rPr>
          <w:rFonts w:ascii="Arial" w:cs="Arial" w:eastAsia="Arial" w:hAnsi="Arial"/>
          <w:i/>
          <w:iCs/>
          <w:sz w:val="22"/>
          <w:szCs w:val="22"/>
        </w:rPr>
        <w:t xml:space="preserve">"Performance v. Turnover: A Story by 4,000 Alphas"</w:t>
      </w:r>
      <w:r>
        <w:rPr>
          <w:rFonts w:ascii="Arial" w:cs="Arial" w:eastAsia="Arial" w:hAnsi="Arial"/>
          <w:sz w:val="22"/>
          <w:szCs w:val="22"/>
        </w:rPr>
        <w:t xml:space="preserve"> — ran cross-sectional regressions across 3,289 real-life trading portfolios at WorldQuant and found that portfolio return scales with volatility as R ~ Vol^β, where β lies in the range 0.8–0.85 for holding periods up to approximately 10 trading days. Their regression on the full dataset gives β = 0.813 (t-statistic = 32.53, R-squared = 0.244). This is the empirical basis for the 0.8 exponent used in this strategy.</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3. Parameter Choices</w:t>
      </w:r>
    </w:p>
    <w:p>
      <w:pPr>
        <w:spacing w:after="40" w:before="80"/>
      </w:pPr>
      <w:r>
        <w:rPr>
          <w:rFonts w:ascii="Arial" w:cs="Arial" w:eastAsia="Arial" w:hAnsi="Arial"/>
          <w:b/>
          <w:bCs/>
          <w:sz w:val="22"/>
          <w:szCs w:val="22"/>
        </w:rPr>
        <w:t xml:space="preserve">Why momentum as the signal?</w:t>
      </w:r>
    </w:p>
    <w:p>
      <w:pPr>
        <w:spacing w:after="100" w:before="60"/>
      </w:pPr>
      <w:r>
        <w:rPr>
          <w:rFonts w:ascii="Arial" w:cs="Arial" w:eastAsia="Arial" w:hAnsi="Arial"/>
          <w:sz w:val="22"/>
          <w:szCs w:val="22"/>
        </w:rPr>
        <w:t xml:space="preserve">Stocks that have performed well over the past 1–12 months tend to continue doing so over the following few months. This cross-sectional pattern has been documented across multiple markets and time periods. It is one of the most reliably replicated findings in empirical finance. See Jegadeesh &amp; Titman (1993) in the references.</w:t>
      </w:r>
    </w:p>
    <w:p>
      <w:pPr>
        <w:spacing w:after="40" w:before="80"/>
      </w:pPr>
      <w:r>
        <w:rPr>
          <w:rFonts w:ascii="Arial" w:cs="Arial" w:eastAsia="Arial" w:hAnsi="Arial"/>
          <w:b/>
          <w:bCs/>
          <w:sz w:val="22"/>
          <w:szCs w:val="22"/>
        </w:rPr>
        <w:t xml:space="preserve">Why 21 trading days?</w:t>
      </w:r>
    </w:p>
    <w:p>
      <w:pPr>
        <w:spacing w:after="100" w:before="60"/>
      </w:pPr>
      <w:r>
        <w:rPr>
          <w:rFonts w:ascii="Arial" w:cs="Arial" w:eastAsia="Arial" w:hAnsi="Arial"/>
          <w:sz w:val="22"/>
          <w:szCs w:val="22"/>
        </w:rPr>
        <w:t xml:space="preserve">The 1-month reversal effect (Jegadeesh, 1990) shows that stocks that spike in the final days of a month tend to mean-revert. A 21-day lookback combined with executing trades on the following month's first day sidesteps this cleanly. The signal reflects the past month's genuine trend without picking up end-of-month noise.</w:t>
      </w:r>
    </w:p>
    <w:p>
      <w:pPr>
        <w:spacing w:after="40" w:before="80"/>
      </w:pPr>
      <w:r>
        <w:rPr>
          <w:rFonts w:ascii="Arial" w:cs="Arial" w:eastAsia="Arial" w:hAnsi="Arial"/>
          <w:b/>
          <w:bCs/>
          <w:sz w:val="22"/>
          <w:szCs w:val="22"/>
        </w:rPr>
        <w:t xml:space="preserve">Why monthly rebalancing?</w:t>
      </w:r>
    </w:p>
    <w:p>
      <w:pPr>
        <w:spacing w:after="100" w:before="60"/>
      </w:pPr>
      <w:r>
        <w:rPr>
          <w:rFonts w:ascii="Arial" w:cs="Arial" w:eastAsia="Arial" w:hAnsi="Arial"/>
          <w:sz w:val="22"/>
          <w:szCs w:val="22"/>
        </w:rPr>
        <w:t xml:space="preserve">Daily rebalancing on a 10-stock portfolio at 10 basis points per trade would materially erode returns. Monthly rebalancing keeps turnover in a range (roughly 20–60% per month) where momentum strategies remain profitable net of realistic costs, as documented by Korajczyk &amp; Sadka (2004).</w:t>
      </w:r>
    </w:p>
    <w:p>
      <w:pPr>
        <w:spacing w:after="40" w:before="80"/>
      </w:pPr>
      <w:r>
        <w:rPr>
          <w:rFonts w:ascii="Arial" w:cs="Arial" w:eastAsia="Arial" w:hAnsi="Arial"/>
          <w:b/>
          <w:bCs/>
          <w:sz w:val="22"/>
          <w:szCs w:val="22"/>
        </w:rPr>
        <w:t xml:space="preserve">Why 0.8 and not 1.0?</w:t>
      </w:r>
    </w:p>
    <w:p>
      <w:pPr>
        <w:spacing w:after="100" w:before="60"/>
      </w:pPr>
      <w:r>
        <w:rPr>
          <w:rFonts w:ascii="Arial" w:cs="Arial" w:eastAsia="Arial" w:hAnsi="Arial"/>
          <w:sz w:val="22"/>
          <w:szCs w:val="22"/>
        </w:rPr>
        <w:t xml:space="preserve">See Section 2 above. The Kakushadze &amp; Tulchinsky (2015) paper directly motivates this choice with empirical data from 4,000 real portfolios.</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4. Portfolio Weight Construction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68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268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Weight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10 stocks, equal weight</w:t>
            </w:r>
          </w:p>
        </w:tc>
        <w:tc>
          <w:tcPr>
            <w:tcW w:type="dxa" w:w="2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each</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Satellite</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2 ranked stocks, extra allocation</w:t>
            </w:r>
          </w:p>
        </w:tc>
        <w:tc>
          <w:tcPr>
            <w:tcW w:type="dxa" w:w="2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each</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Satellite stocks (total)</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 satellite combined</w:t>
            </w:r>
          </w:p>
        </w:tc>
        <w:tc>
          <w:tcPr>
            <w:tcW w:type="dxa" w:w="2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each</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Remaining 8 stocks</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only</w:t>
            </w:r>
          </w:p>
        </w:tc>
        <w:tc>
          <w:tcPr>
            <w:tcW w:type="dxa" w:w="2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each</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bl>
    <w:p>
      <w:pPr>
        <w:spacing w:after="60" w:before="120"/>
      </w:pPr>
    </w:p>
    <w:p>
      <w:pPr>
        <w:spacing w:after="100" w:before="60"/>
      </w:pPr>
      <w:r>
        <w:rPr>
          <w:rFonts w:ascii="Arial" w:cs="Arial" w:eastAsia="Arial" w:hAnsi="Arial"/>
          <w:sz w:val="22"/>
          <w:szCs w:val="22"/>
        </w:rPr>
        <w:t xml:space="preserve">Weights are normalised to exactly 1.0 before each trade to prevent floating-point accumulation from silently creating leverage over time.</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5. Execution Rules</w:t>
      </w:r>
    </w:p>
    <w:p>
      <w:pPr>
        <w:pStyle w:val="ListParagraph"/>
        <w:numPr>
          <w:ilvl w:val="0"/>
          <w:numId w:val="2"/>
        </w:numPr>
        <w:spacing w:after="40" w:before="40"/>
      </w:pPr>
      <w:r>
        <w:rPr>
          <w:rFonts w:ascii="Arial" w:cs="Arial" w:eastAsia="Arial" w:hAnsi="Arial"/>
          <w:sz w:val="22"/>
          <w:szCs w:val="22"/>
        </w:rPr>
        <w:t xml:space="preserve">Trades execute at the closing price on the first trading day of each new month.</w:t>
      </w:r>
    </w:p>
    <w:p>
      <w:pPr>
        <w:pStyle w:val="ListParagraph"/>
        <w:numPr>
          <w:ilvl w:val="0"/>
          <w:numId w:val="2"/>
        </w:numPr>
        <w:spacing w:after="40" w:before="40"/>
      </w:pPr>
      <w:r>
        <w:rPr>
          <w:rFonts w:ascii="Arial" w:cs="Arial" w:eastAsia="Arial" w:hAnsi="Arial"/>
          <w:sz w:val="22"/>
          <w:szCs w:val="22"/>
        </w:rPr>
        <w:t xml:space="preserve">The signal uses only data up to and including the last day of the previous month. The current month's prices are never seen before the trade is placed.</w:t>
      </w:r>
    </w:p>
    <w:p>
      <w:pPr>
        <w:pStyle w:val="ListParagraph"/>
        <w:numPr>
          <w:ilvl w:val="0"/>
          <w:numId w:val="2"/>
        </w:numPr>
        <w:spacing w:after="40" w:before="40"/>
      </w:pPr>
      <w:r>
        <w:rPr>
          <w:rFonts w:ascii="Arial" w:cs="Arial" w:eastAsia="Arial" w:hAnsi="Arial"/>
          <w:sz w:val="22"/>
          <w:szCs w:val="22"/>
        </w:rPr>
        <w:t xml:space="preserve">Transaction cost: 10 basis points (0.10%) per trade, deducted from the cash balance.</w:t>
      </w:r>
    </w:p>
    <w:p>
      <w:pPr>
        <w:pStyle w:val="ListParagraph"/>
        <w:numPr>
          <w:ilvl w:val="0"/>
          <w:numId w:val="2"/>
        </w:numPr>
        <w:spacing w:after="40" w:before="40"/>
      </w:pPr>
      <w:r>
        <w:rPr>
          <w:rFonts w:ascii="Arial" w:cs="Arial" w:eastAsia="Arial" w:hAnsi="Arial"/>
          <w:sz w:val="22"/>
          <w:szCs w:val="22"/>
        </w:rPr>
        <w:t xml:space="preserve">Long-only: no short positions, no leverage.</w:t>
      </w:r>
    </w:p>
    <w:p>
      <w:pPr>
        <w:pStyle w:val="ListParagraph"/>
        <w:numPr>
          <w:ilvl w:val="0"/>
          <w:numId w:val="2"/>
        </w:numPr>
        <w:spacing w:after="40" w:before="40"/>
      </w:pPr>
      <w:r>
        <w:rPr>
          <w:rFonts w:ascii="Arial" w:cs="Arial" w:eastAsia="Arial" w:hAnsi="Arial"/>
          <w:sz w:val="22"/>
          <w:szCs w:val="22"/>
        </w:rPr>
        <w:t xml:space="preserve">Fractional shares are permitted, consistent with modern brokerage infrastructure.</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6. Risk Controls</w:t>
      </w:r>
    </w:p>
    <w:p>
      <w:pPr>
        <w:spacing w:after="100" w:before="60"/>
      </w:pPr>
      <w:r>
        <w:rPr>
          <w:rFonts w:ascii="Arial" w:cs="Arial" w:eastAsia="Arial" w:hAnsi="Arial"/>
          <w:sz w:val="22"/>
          <w:szCs w:val="22"/>
        </w:rPr>
        <w:t xml:space="preserve">The strategy has several passive risk limits built into its structure:</w:t>
      </w:r>
    </w:p>
    <w:p>
      <w:pPr>
        <w:pStyle w:val="ListParagraph"/>
        <w:numPr>
          <w:ilvl w:val="0"/>
          <w:numId w:val="2"/>
        </w:numPr>
        <w:spacing w:after="40" w:before="40"/>
      </w:pPr>
      <w:r>
        <w:rPr>
          <w:rFonts w:ascii="Arial" w:cs="Arial" w:eastAsia="Arial" w:hAnsi="Arial"/>
          <w:sz w:val="22"/>
          <w:szCs w:val="22"/>
        </w:rPr>
        <w:t xml:space="preserve">No stock falls below 7% weight — the core floor prevents total concentration in the satellite.</w:t>
      </w:r>
    </w:p>
    <w:p>
      <w:pPr>
        <w:pStyle w:val="ListParagraph"/>
        <w:numPr>
          <w:ilvl w:val="0"/>
          <w:numId w:val="2"/>
        </w:numPr>
        <w:spacing w:after="40" w:before="40"/>
      </w:pPr>
      <w:r>
        <w:rPr>
          <w:rFonts w:ascii="Arial" w:cs="Arial" w:eastAsia="Arial" w:hAnsi="Arial"/>
          <w:sz w:val="22"/>
          <w:szCs w:val="22"/>
        </w:rPr>
        <w:t xml:space="preserve">No stock exceeds ~22% weight — the core + satellite cap is the hard ceiling.</w:t>
      </w:r>
    </w:p>
    <w:p>
      <w:pPr>
        <w:pStyle w:val="ListParagraph"/>
        <w:numPr>
          <w:ilvl w:val="0"/>
          <w:numId w:val="2"/>
        </w:numPr>
        <w:spacing w:after="40" w:before="40"/>
      </w:pPr>
      <w:r>
        <w:rPr>
          <w:rFonts w:ascii="Arial" w:cs="Arial" w:eastAsia="Arial" w:hAnsi="Arial"/>
          <w:sz w:val="22"/>
          <w:szCs w:val="22"/>
        </w:rPr>
        <w:t xml:space="preserve">The 0.8 vol exponent dampens the signal from stocks whose returns were noise-driven rather than directional.</w:t>
      </w:r>
    </w:p>
    <w:p>
      <w:pPr>
        <w:pStyle w:val="ListParagraph"/>
        <w:numPr>
          <w:ilvl w:val="0"/>
          <w:numId w:val="2"/>
        </w:numPr>
        <w:spacing w:after="40" w:before="40"/>
      </w:pPr>
      <w:r>
        <w:rPr>
          <w:rFonts w:ascii="Arial" w:cs="Arial" w:eastAsia="Arial" w:hAnsi="Arial"/>
          <w:sz w:val="22"/>
          <w:szCs w:val="22"/>
        </w:rPr>
        <w:t xml:space="preserve">Monthly rebalancing corrects any drift before it compounds.</w:t>
      </w:r>
    </w:p>
    <w:p>
      <w:pPr>
        <w:pStyle w:val="ListParagraph"/>
        <w:numPr>
          <w:ilvl w:val="0"/>
          <w:numId w:val="2"/>
        </w:numPr>
        <w:spacing w:after="40" w:before="40"/>
      </w:pPr>
      <w:r>
        <w:rPr>
          <w:rFonts w:ascii="Arial" w:cs="Arial" w:eastAsia="Arial" w:hAnsi="Arial"/>
          <w:sz w:val="22"/>
          <w:szCs w:val="22"/>
        </w:rPr>
        <w:t xml:space="preserve">The 10bps cost per trade acts as natural friction against chasing marginal or noisy signals.</w:t>
      </w:r>
    </w:p>
    <w:p>
      <w:pPr>
        <w:spacing w:after="60" w:before="160"/>
      </w:pPr>
      <w:r>
        <w:rPr>
          <w:rFonts w:ascii="Arial" w:cs="Arial" w:eastAsia="Arial" w:hAnsi="Arial"/>
          <w:b/>
          <w:bCs/>
          <w:sz w:val="22"/>
          <w:szCs w:val="22"/>
        </w:rPr>
        <w:t xml:space="preserve">Known limitations:</w:t>
      </w:r>
    </w:p>
    <w:p>
      <w:pPr>
        <w:pStyle w:val="ListParagraph"/>
        <w:numPr>
          <w:ilvl w:val="0"/>
          <w:numId w:val="2"/>
        </w:numPr>
        <w:spacing w:after="40" w:before="40"/>
      </w:pPr>
      <w:r>
        <w:rPr>
          <w:rFonts w:ascii="Arial" w:cs="Arial" w:eastAsia="Arial" w:hAnsi="Arial"/>
          <w:sz w:val="22"/>
          <w:szCs w:val="22"/>
        </w:rPr>
        <w:t xml:space="preserve">Momentum strategies can suffer sharp drawdowns during sudden market recoveries (e.g. March 2020 COVID rebound). The core allocation provides a buffer but does not eliminate this.</w:t>
      </w:r>
    </w:p>
    <w:p>
      <w:pPr>
        <w:pStyle w:val="ListParagraph"/>
        <w:numPr>
          <w:ilvl w:val="0"/>
          <w:numId w:val="2"/>
        </w:numPr>
        <w:spacing w:after="40" w:before="40"/>
      </w:pPr>
      <w:r>
        <w:rPr>
          <w:rFonts w:ascii="Arial" w:cs="Arial" w:eastAsia="Arial" w:hAnsi="Arial"/>
          <w:sz w:val="22"/>
          <w:szCs w:val="22"/>
        </w:rPr>
        <w:t xml:space="preserve">A 10-stock universe is concentrated. A single bad earnings result or regulatory event has an outsized impact.</w:t>
      </w:r>
    </w:p>
    <w:p>
      <w:pPr>
        <w:pStyle w:val="ListParagraph"/>
        <w:numPr>
          <w:ilvl w:val="0"/>
          <w:numId w:val="2"/>
        </w:numPr>
        <w:spacing w:after="40" w:before="40"/>
      </w:pPr>
      <w:r>
        <w:rPr>
          <w:rFonts w:ascii="Arial" w:cs="Arial" w:eastAsia="Arial" w:hAnsi="Arial"/>
          <w:sz w:val="22"/>
          <w:szCs w:val="22"/>
        </w:rPr>
        <w:t xml:space="preserve">The 21-day lookback performs best in trending markets. Choppy, sideways markets reduce signal quality.</w:t>
      </w:r>
    </w:p>
    <w:p>
      <w:pPr>
        <w:pStyle w:val="ListParagraph"/>
        <w:numPr>
          <w:ilvl w:val="0"/>
          <w:numId w:val="2"/>
        </w:numPr>
        <w:spacing w:after="40" w:before="40"/>
      </w:pPr>
      <w:r>
        <w:rPr>
          <w:rFonts w:ascii="Arial" w:cs="Arial" w:eastAsia="Arial" w:hAnsi="Arial"/>
          <w:sz w:val="22"/>
          <w:szCs w:val="22"/>
        </w:rPr>
        <w:t xml:space="preserve">The strategy is most appropriate for portfolios under $10M. At larger scale, market impact from monthly rebalances must be modelled explicitly using a framework such as Almgren &amp; Chriss (2001).</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7. Overfitting Controls</w:t>
      </w:r>
    </w:p>
    <w:p>
      <w:pPr>
        <w:spacing w:after="40" w:before="80"/>
      </w:pPr>
      <w:r>
        <w:rPr>
          <w:rFonts w:ascii="Arial" w:cs="Arial" w:eastAsia="Arial" w:hAnsi="Arial"/>
          <w:b/>
          <w:bCs/>
          <w:sz w:val="22"/>
          <w:szCs w:val="22"/>
        </w:rPr>
        <w:t xml:space="preserve">Train / Test Split:</w:t>
      </w:r>
    </w:p>
    <w:p>
      <w:pPr>
        <w:spacing w:after="100" w:before="60"/>
      </w:pPr>
      <w:r>
        <w:rPr>
          <w:rFonts w:ascii="Arial" w:cs="Arial" w:eastAsia="Arial" w:hAnsi="Arial"/>
          <w:sz w:val="22"/>
          <w:szCs w:val="22"/>
        </w:rPr>
        <w:t xml:space="preserve">Strategy parameters are fixed using the first 5 years of data (training period). The same, unchanged rules are then applied to the final 2 years without any further adjustment (out-of-sample test). Consistent performance across both periods indicates the strategy captures a real pattern, not just historical noise.</w:t>
      </w:r>
    </w:p>
    <w:p>
      <w:pPr>
        <w:spacing w:after="40" w:before="80"/>
      </w:pPr>
      <w:r>
        <w:rPr>
          <w:rFonts w:ascii="Arial" w:cs="Arial" w:eastAsia="Arial" w:hAnsi="Arial"/>
          <w:b/>
          <w:bCs/>
          <w:sz w:val="22"/>
          <w:szCs w:val="22"/>
        </w:rPr>
        <w:t xml:space="preserve">Parameter Sensitivity:</w:t>
      </w:r>
    </w:p>
    <w:p>
      <w:pPr>
        <w:spacing w:after="100" w:before="60"/>
      </w:pPr>
      <w:r>
        <w:rPr>
          <w:rFonts w:ascii="Arial" w:cs="Arial" w:eastAsia="Arial" w:hAnsi="Arial"/>
          <w:sz w:val="22"/>
          <w:szCs w:val="22"/>
        </w:rPr>
        <w:t xml:space="preserve">The momentum lookback window is swept from 15 to 30 days. If the Sharpe ratio remains approximately stable across this range, it means the result is not fragile to the precise value chosen. A strategy that completely collapses when the window shifts from 21 to 22 days is almost certainly overfit.</w:t>
      </w:r>
    </w:p>
    <w:p>
      <w:pPr>
        <w:spacing w:after="40" w:before="80"/>
      </w:pPr>
      <w:r>
        <w:rPr>
          <w:rFonts w:ascii="Arial" w:cs="Arial" w:eastAsia="Arial" w:hAnsi="Arial"/>
          <w:b/>
          <w:bCs/>
          <w:sz w:val="22"/>
          <w:szCs w:val="22"/>
        </w:rPr>
        <w:t xml:space="preserve">No look-ahead bias:</w:t>
      </w:r>
    </w:p>
    <w:p>
      <w:pPr>
        <w:spacing w:after="100" w:before="60"/>
      </w:pPr>
      <w:r>
        <w:rPr>
          <w:rFonts w:ascii="Arial" w:cs="Arial" w:eastAsia="Arial" w:hAnsi="Arial"/>
          <w:sz w:val="22"/>
          <w:szCs w:val="22"/>
        </w:rPr>
        <w:t xml:space="preserve">At every step in the backtest, only data available at that exact date is used. Price gaps are forward-filled (using the last known price), never backward-filled (which would inject future prices into past decisions).</w:t>
      </w:r>
    </w:p>
    <w:p>
      <w:pPr>
        <w:spacing w:after="40" w:before="80"/>
      </w:pPr>
      <w:r>
        <w:rPr>
          <w:rFonts w:ascii="Arial" w:cs="Arial" w:eastAsia="Arial" w:hAnsi="Arial"/>
          <w:b/>
          <w:bCs/>
          <w:sz w:val="22"/>
          <w:szCs w:val="22"/>
        </w:rPr>
        <w:t xml:space="preserve">Survivorship bias acknowledgement:</w:t>
      </w:r>
    </w:p>
    <w:p>
      <w:pPr>
        <w:spacing w:after="100" w:before="60"/>
      </w:pPr>
      <w:r>
        <w:rPr>
          <w:rFonts w:ascii="Arial" w:cs="Arial" w:eastAsia="Arial" w:hAnsi="Arial"/>
          <w:sz w:val="22"/>
          <w:szCs w:val="22"/>
        </w:rPr>
        <w:t xml:space="preserve">All 10 tickers are large-cap companies that are alive and healthy as of today. Companies that were delisted or went bankrupt between 2019 and 2026 are not in the universe, making the backtest slightly optimistic. A production version should use point-in-time index constituents from a database such as Compustat or Bloomberg.</w:t>
      </w: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8. Performance Metrics</w:t>
      </w:r>
    </w:p>
    <w:p>
      <w:pPr>
        <w:spacing w:after="100" w:before="60"/>
      </w:pPr>
      <w:r>
        <w:rPr>
          <w:rFonts w:ascii="Arial" w:cs="Arial" w:eastAsia="Arial" w:hAnsi="Arial"/>
          <w:sz w:val="22"/>
          <w:szCs w:val="22"/>
        </w:rPr>
        <w:t xml:space="preserve">All metrics are computed on monthly portfolio returns and compared against an equal-weight buy-and-hold benchmark of the same 10 stocks. Starting capital is $1,000,000.</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76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What it measures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Annualised Return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Compound annual growth rate of the portfolio</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Annualised Volatility</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deviation of monthly returns, scaled to annual</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Sharpe Ratio</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Excess return above risk-free rate per unit of total volatility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Sortino Ratio</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Like Sharpe, but only penalises downside volatility</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Drawdown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peak-to-trough loss over the full period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Calmar Ratio</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Annualised return divided by maximum drawdown</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Turnover</w:t>
            </w:r>
          </w:p>
        </w:tc>
        <w:tc>
          <w:tcPr>
            <w:tcW w:type="dxa" w:w="5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 of portfolio value traded each month (proxy for cost drag)</w:t>
            </w:r>
          </w:p>
        </w:tc>
      </w:tr>
    </w:tbl>
    <w:p>
      <w:pPr>
        <w:spacing w:after="60" w:before="120"/>
      </w:pP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9. Stock Universe</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Ticker</w:t>
            </w:r>
          </w:p>
        </w:tc>
        <w:tc>
          <w:tcPr>
            <w:tcW w:type="dxa" w:w="468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3120"/>
            <w:tcBorders>
              <w:top w:val="single" w:color="BBBBBB" w:sz="4"/>
              <w:left w:val="single" w:color="BBBBBB" w:sz="4"/>
              <w:bottom w:val="single" w:color="BBBBBB" w:sz="4"/>
              <w:right w:val="single" w:color="BBBBBB" w:sz="4"/>
            </w:tcBorders>
            <w:shd w:fill="F0F0F0" w:val="clear"/>
            <w:tcMar>
              <w:top w:type="dxa" w:w="80"/>
              <w:left w:type="dxa" w:w="120"/>
              <w:bottom w:type="dxa" w:w="80"/>
              <w:right w:type="dxa" w:w="120"/>
            </w:tcMar>
          </w:tcPr>
          <w:p>
            <w:r>
              <w:rPr>
                <w:rFonts w:ascii="Arial" w:cs="Arial" w:eastAsia="Arial" w:hAnsi="Arial"/>
                <w:b/>
                <w:bCs/>
                <w:sz w:val="20"/>
                <w:szCs w:val="20"/>
              </w:rPr>
              <w:t xml:space="preserve">Sector</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AAPL</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 Inc.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Technology</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MSFT</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Corporation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Technology</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NVDA</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NVIDIA Corporation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Technology / Semiconductors</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JPM</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JPMorgan Chase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Financials</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Goldman Sachs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Financials</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 Inc.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Industrials</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XOM</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Exxon Mobil</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Energy</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Procter &amp; Gamble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Consumer Staples</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JNJ</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Johnson &amp; Johnson</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Healthcare</w:t>
            </w:r>
          </w:p>
        </w:tc>
      </w:tr>
      <w:tr>
        <w:tc>
          <w:tcPr>
            <w:tcW w:type="dxa" w:w="1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PFE</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Pfizer Inc.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Healthcare</w:t>
            </w:r>
          </w:p>
        </w:tc>
      </w:tr>
    </w:tbl>
    <w:p>
      <w:pPr>
        <w:spacing w:after="60" w:before="120"/>
      </w:pPr>
    </w:p>
    <w:p>
      <w:pPr>
        <w:pBdr>
          <w:bottom w:val="single" w:color="CCCCCC" w:sz="4" w:space="1"/>
        </w:pBdr>
        <w:spacing w:after="160" w:before="160"/>
      </w:pPr>
    </w:p>
    <w:p>
      <w:pPr>
        <w:pStyle w:val="Heading1"/>
        <w:spacing w:after="120" w:before="320"/>
      </w:pPr>
      <w:r>
        <w:rPr>
          <w:rFonts w:ascii="Arial" w:cs="Arial" w:eastAsia="Arial" w:hAnsi="Arial"/>
          <w:b/>
          <w:bCs/>
          <w:sz w:val="28"/>
          <w:szCs w:val="28"/>
        </w:rPr>
        <w:t xml:space="preserve">10. References</w:t>
      </w:r>
    </w:p>
    <w:p>
      <w:pPr>
        <w:pStyle w:val="Heading2"/>
        <w:spacing w:after="80" w:before="240"/>
      </w:pPr>
      <w:r>
        <w:rPr>
          <w:rFonts w:ascii="Arial" w:cs="Arial" w:eastAsia="Arial" w:hAnsi="Arial"/>
          <w:b/>
          <w:bCs/>
          <w:sz w:val="24"/>
          <w:szCs w:val="24"/>
        </w:rPr>
        <w:t xml:space="preserve">Primary Reference (Vol-Scaling Exponent)</w:t>
      </w:r>
    </w:p>
    <w:p>
      <w:pPr>
        <w:spacing w:after="100" w:before="60"/>
      </w:pPr>
      <w:r>
        <w:rPr>
          <w:rFonts w:ascii="Arial" w:cs="Arial" w:eastAsia="Arial" w:hAnsi="Arial"/>
          <w:b/>
          <w:bCs/>
          <w:sz w:val="22"/>
          <w:szCs w:val="22"/>
        </w:rPr>
        <w:t xml:space="preserve">Kakushadze, Z. &amp; Tulchinsky, I. (2015). </w:t>
      </w:r>
      <w:r>
        <w:rPr>
          <w:rFonts w:ascii="Arial" w:cs="Arial" w:eastAsia="Arial" w:hAnsi="Arial"/>
          <w:i/>
          <w:iCs/>
          <w:sz w:val="22"/>
          <w:szCs w:val="22"/>
        </w:rPr>
        <w:t xml:space="preserve">Performance v. Turnover: A Story by 4,000 Alphas. </w:t>
      </w:r>
      <w:r>
        <w:rPr>
          <w:rFonts w:ascii="Arial" w:cs="Arial" w:eastAsia="Arial" w:hAnsi="Arial"/>
          <w:sz w:val="22"/>
          <w:szCs w:val="22"/>
        </w:rPr>
        <w:t xml:space="preserve">SSRN Working Paper. Available at: https://ssrn.com/abstract=2657603</w:t>
      </w:r>
    </w:p>
    <w:p>
      <w:pPr>
        <w:spacing w:after="100" w:before="60"/>
      </w:pPr>
      <w:r>
        <w:rPr>
          <w:rFonts w:ascii="Arial" w:cs="Arial" w:eastAsia="Arial" w:hAnsi="Arial"/>
          <w:sz w:val="22"/>
          <w:szCs w:val="22"/>
        </w:rPr>
        <w:t xml:space="preserve">This is the direct empirical source for the Vol^0.8 signal construction. The paper analyses 3,289 real trading portfolios from WorldQuant LLC and finds through cross-sectional regression that portfolio return scales with volatility as </w:t>
      </w:r>
      <w:r>
        <w:rPr>
          <w:rFonts w:ascii="Arial" w:cs="Arial" w:eastAsia="Arial" w:hAnsi="Arial"/>
          <w:i/>
          <w:iCs/>
          <w:sz w:val="22"/>
          <w:szCs w:val="22"/>
        </w:rPr>
        <w:t xml:space="preserve">R ~ Vol^β </w:t>
      </w:r>
      <w:r>
        <w:rPr>
          <w:rFonts w:ascii="Arial" w:cs="Arial" w:eastAsia="Arial" w:hAnsi="Arial"/>
          <w:sz w:val="22"/>
          <w:szCs w:val="22"/>
        </w:rPr>
        <w:t xml:space="preserve">with β = 0.813 (t-stat = 32.53) for holding periods up to ~10 trading days. The 0.8 exponent used in this strategy is taken directly from Table 5 and Section 3.4 of this paper. Crucially, a full division by volatility (β = 1.0) was shown to be empirically suboptimal — it over-penalises high-vol assets with genuine directional conviction.</w:t>
      </w:r>
    </w:p>
    <w:p>
      <w:pPr>
        <w:pStyle w:val="Heading2"/>
        <w:spacing w:after="80" w:before="240"/>
      </w:pPr>
      <w:r>
        <w:rPr>
          <w:rFonts w:ascii="Arial" w:cs="Arial" w:eastAsia="Arial" w:hAnsi="Arial"/>
          <w:b/>
          <w:bCs/>
          <w:sz w:val="24"/>
          <w:szCs w:val="24"/>
        </w:rPr>
        <w:t xml:space="preserve">Momentum Factor</w:t>
      </w:r>
    </w:p>
    <w:p>
      <w:pPr>
        <w:spacing w:after="100" w:before="60"/>
      </w:pPr>
      <w:r>
        <w:rPr>
          <w:rFonts w:ascii="Arial" w:cs="Arial" w:eastAsia="Arial" w:hAnsi="Arial"/>
          <w:b/>
          <w:bCs/>
          <w:sz w:val="22"/>
          <w:szCs w:val="22"/>
        </w:rPr>
        <w:t xml:space="preserve">Jegadeesh, N. &amp; Titman, S. (1993). </w:t>
      </w:r>
      <w:r>
        <w:rPr>
          <w:rFonts w:ascii="Arial" w:cs="Arial" w:eastAsia="Arial" w:hAnsi="Arial"/>
          <w:i/>
          <w:iCs/>
          <w:sz w:val="22"/>
          <w:szCs w:val="22"/>
        </w:rPr>
        <w:t xml:space="preserve">Returns to Buying Winners and Selling Losers. </w:t>
      </w:r>
      <w:r>
        <w:rPr>
          <w:rFonts w:ascii="Arial" w:cs="Arial" w:eastAsia="Arial" w:hAnsi="Arial"/>
          <w:sz w:val="22"/>
          <w:szCs w:val="22"/>
        </w:rPr>
        <w:t xml:space="preserve">Journal of Finance, 48(1), 65–91.</w:t>
      </w:r>
    </w:p>
    <w:p>
      <w:pPr>
        <w:spacing w:after="100" w:before="60"/>
      </w:pPr>
      <w:r>
        <w:rPr>
          <w:rFonts w:ascii="Arial" w:cs="Arial" w:eastAsia="Arial" w:hAnsi="Arial"/>
          <w:sz w:val="22"/>
          <w:szCs w:val="22"/>
        </w:rPr>
        <w:t xml:space="preserve">The original cross-sectional momentum paper. Showed that buying the top decile of past 12-month performers and selling the bottom decile generates approximately 1% per month over the next 12 months. The foundational justification for using a momentum signal at all.</w:t>
      </w:r>
    </w:p>
    <w:p>
      <w:pPr>
        <w:spacing w:after="40" w:before="120"/>
      </w:pPr>
    </w:p>
    <w:p>
      <w:pPr>
        <w:spacing w:after="100" w:before="60"/>
      </w:pPr>
      <w:r>
        <w:rPr>
          <w:rFonts w:ascii="Arial" w:cs="Arial" w:eastAsia="Arial" w:hAnsi="Arial"/>
          <w:b/>
          <w:bCs/>
          <w:sz w:val="22"/>
          <w:szCs w:val="22"/>
        </w:rPr>
        <w:t xml:space="preserve">Jegadeesh, N. (1990). </w:t>
      </w:r>
      <w:r>
        <w:rPr>
          <w:rFonts w:ascii="Arial" w:cs="Arial" w:eastAsia="Arial" w:hAnsi="Arial"/>
          <w:i/>
          <w:iCs/>
          <w:sz w:val="22"/>
          <w:szCs w:val="22"/>
        </w:rPr>
        <w:t xml:space="preserve">Evidence of Predictable Behavior of Security Returns. </w:t>
      </w:r>
      <w:r>
        <w:rPr>
          <w:rFonts w:ascii="Arial" w:cs="Arial" w:eastAsia="Arial" w:hAnsi="Arial"/>
          <w:sz w:val="22"/>
          <w:szCs w:val="22"/>
        </w:rPr>
        <w:t xml:space="preserve">Journal of Finance, 45(3), 881–898.</w:t>
      </w:r>
    </w:p>
    <w:p>
      <w:pPr>
        <w:spacing w:after="100" w:before="60"/>
      </w:pPr>
      <w:r>
        <w:rPr>
          <w:rFonts w:ascii="Arial" w:cs="Arial" w:eastAsia="Arial" w:hAnsi="Arial"/>
          <w:sz w:val="22"/>
          <w:szCs w:val="22"/>
        </w:rPr>
        <w:t xml:space="preserve">Documents the 1-month reversal effect — stocks that spike in the final days of a month tend to pull back. This is why this strategy uses a 21-day lookback and executes on the following month's first day rather than using a calendar-month return and trading immediately.</w:t>
      </w:r>
    </w:p>
    <w:p>
      <w:pPr>
        <w:spacing w:after="40" w:before="120"/>
      </w:pPr>
    </w:p>
    <w:p>
      <w:pPr>
        <w:spacing w:after="100" w:before="60"/>
      </w:pPr>
      <w:r>
        <w:rPr>
          <w:rFonts w:ascii="Arial" w:cs="Arial" w:eastAsia="Arial" w:hAnsi="Arial"/>
          <w:b/>
          <w:bCs/>
          <w:sz w:val="22"/>
          <w:szCs w:val="22"/>
        </w:rPr>
        <w:t xml:space="preserve">Barroso, P. &amp; Santa-Clara, P. (2015). </w:t>
      </w:r>
      <w:r>
        <w:rPr>
          <w:rFonts w:ascii="Arial" w:cs="Arial" w:eastAsia="Arial" w:hAnsi="Arial"/>
          <w:i/>
          <w:iCs/>
          <w:sz w:val="22"/>
          <w:szCs w:val="22"/>
        </w:rPr>
        <w:t xml:space="preserve">Momentum Has Its Moments. </w:t>
      </w:r>
      <w:r>
        <w:rPr>
          <w:rFonts w:ascii="Arial" w:cs="Arial" w:eastAsia="Arial" w:hAnsi="Arial"/>
          <w:sz w:val="22"/>
          <w:szCs w:val="22"/>
        </w:rPr>
        <w:t xml:space="preserve">Journal of Financial Economics, 116(1), 111–120.</w:t>
      </w:r>
    </w:p>
    <w:p>
      <w:pPr>
        <w:spacing w:after="100" w:before="60"/>
      </w:pPr>
      <w:r>
        <w:rPr>
          <w:rFonts w:ascii="Arial" w:cs="Arial" w:eastAsia="Arial" w:hAnsi="Arial"/>
          <w:sz w:val="22"/>
          <w:szCs w:val="22"/>
        </w:rPr>
        <w:t xml:space="preserve">Shows that scaling momentum signals by their own realised volatility dramatically improves risk-adjusted performance and reduces crash severity. Complements the Kakushadze &amp; Tulchinsky finding from a portfolio-construction perspective.</w:t>
      </w:r>
    </w:p>
    <w:p>
      <w:pPr>
        <w:pStyle w:val="Heading2"/>
        <w:spacing w:after="80" w:before="240"/>
      </w:pPr>
      <w:r>
        <w:rPr>
          <w:rFonts w:ascii="Arial" w:cs="Arial" w:eastAsia="Arial" w:hAnsi="Arial"/>
          <w:b/>
          <w:bCs/>
          <w:sz w:val="24"/>
          <w:szCs w:val="24"/>
        </w:rPr>
        <w:t xml:space="preserve">Transaction Costs</w:t>
      </w:r>
    </w:p>
    <w:p>
      <w:pPr>
        <w:spacing w:after="100" w:before="60"/>
      </w:pPr>
      <w:r>
        <w:rPr>
          <w:rFonts w:ascii="Arial" w:cs="Arial" w:eastAsia="Arial" w:hAnsi="Arial"/>
          <w:b/>
          <w:bCs/>
          <w:sz w:val="22"/>
          <w:szCs w:val="22"/>
        </w:rPr>
        <w:t xml:space="preserve">Korajczyk, R. &amp; Sadka, R. (2004). </w:t>
      </w:r>
      <w:r>
        <w:rPr>
          <w:rFonts w:ascii="Arial" w:cs="Arial" w:eastAsia="Arial" w:hAnsi="Arial"/>
          <w:i/>
          <w:iCs/>
          <w:sz w:val="22"/>
          <w:szCs w:val="22"/>
        </w:rPr>
        <w:t xml:space="preserve">Are Momentum Profits Robust to Trading Costs? </w:t>
      </w:r>
      <w:r>
        <w:rPr>
          <w:rFonts w:ascii="Arial" w:cs="Arial" w:eastAsia="Arial" w:hAnsi="Arial"/>
          <w:sz w:val="22"/>
          <w:szCs w:val="22"/>
        </w:rPr>
        <w:t xml:space="preserve">Journal of Finance, 59(3), 1039–1082.</w:t>
      </w:r>
    </w:p>
    <w:p>
      <w:pPr>
        <w:spacing w:after="100" w:before="60"/>
      </w:pPr>
      <w:r>
        <w:rPr>
          <w:rFonts w:ascii="Arial" w:cs="Arial" w:eastAsia="Arial" w:hAnsi="Arial"/>
          <w:sz w:val="22"/>
          <w:szCs w:val="22"/>
        </w:rPr>
        <w:t xml:space="preserve">Demonstrates that momentum strategies remain profitable net of realistic transaction costs when turnover is managed and the universe is large enough. Provides empirical grounding for the 10bps cost assumption used in this backtest.</w:t>
      </w:r>
    </w:p>
    <w:p>
      <w:pPr>
        <w:pStyle w:val="Heading2"/>
        <w:spacing w:after="80" w:before="240"/>
      </w:pPr>
      <w:r>
        <w:rPr>
          <w:rFonts w:ascii="Arial" w:cs="Arial" w:eastAsia="Arial" w:hAnsi="Arial"/>
          <w:b/>
          <w:bCs/>
          <w:sz w:val="24"/>
          <w:szCs w:val="24"/>
        </w:rPr>
        <w:t xml:space="preserve">Backtesting Methodology</w:t>
      </w:r>
    </w:p>
    <w:p>
      <w:pPr>
        <w:spacing w:after="100" w:before="60"/>
      </w:pPr>
      <w:r>
        <w:rPr>
          <w:rFonts w:ascii="Arial" w:cs="Arial" w:eastAsia="Arial" w:hAnsi="Arial"/>
          <w:b/>
          <w:bCs/>
          <w:sz w:val="22"/>
          <w:szCs w:val="22"/>
        </w:rPr>
        <w:t xml:space="preserve">Harvey, C., Liu, Y. &amp; Zhu, H. (2016). </w:t>
      </w:r>
      <w:r>
        <w:rPr>
          <w:rFonts w:ascii="Arial" w:cs="Arial" w:eastAsia="Arial" w:hAnsi="Arial"/>
          <w:i/>
          <w:iCs/>
          <w:sz w:val="22"/>
          <w:szCs w:val="22"/>
        </w:rPr>
        <w:t xml:space="preserve">... and the Cross-Section of Expected Returns. </w:t>
      </w:r>
      <w:r>
        <w:rPr>
          <w:rFonts w:ascii="Arial" w:cs="Arial" w:eastAsia="Arial" w:hAnsi="Arial"/>
          <w:sz w:val="22"/>
          <w:szCs w:val="22"/>
        </w:rPr>
        <w:t xml:space="preserve">Review of Financial Studies, 29(1).</w:t>
      </w:r>
    </w:p>
    <w:p>
      <w:pPr>
        <w:spacing w:after="100" w:before="60"/>
      </w:pPr>
      <w:r>
        <w:rPr>
          <w:rFonts w:ascii="Arial" w:cs="Arial" w:eastAsia="Arial" w:hAnsi="Arial"/>
          <w:sz w:val="22"/>
          <w:szCs w:val="22"/>
        </w:rPr>
        <w:t xml:space="preserve">Argues that a factor or strategy needs a t-statistic of at least 3.0 — not the conventional 2.0 — to be statistically credible given how many strategies are tested in practice. Used as a standard for interpreting backtest results honestly rather than claiming significance from a single favourable outcome.</w:t>
      </w:r>
    </w:p>
    <w:p>
      <w:pPr>
        <w:pBdr>
          <w:bottom w:val="single" w:color="CCCCCC" w:sz="4" w:space="1"/>
        </w:pBdr>
        <w:spacing w:after="160" w:before="160"/>
      </w:pPr>
    </w:p>
    <w:p>
      <w:pPr>
        <w:spacing w:after="0" w:before="120"/>
        <w:jc w:val="center"/>
      </w:pPr>
      <w:r>
        <w:rPr>
          <w:rFonts w:ascii="Arial" w:cs="Arial" w:eastAsia="Arial" w:hAnsi="Arial"/>
          <w:i/>
          <w:iCs/>
          <w:sz w:val="22"/>
          <w:szCs w:val="22"/>
        </w:rPr>
        <w:t xml:space="preserve">For research and educational purposes only. Past backtest results do not predict future returns.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000000"/>
      <w:sz w:val="28"/>
      <w:szCs w:val="28"/>
    </w:rPr>
  </w:style>
  <w:style w:type="paragraph" w:styleId="Heading2">
    <w:name w:val="Heading 2"/>
    <w:basedOn w:val="Normal"/>
    <w:next w:val="Normal"/>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2026-05-30T14:31:16.797Z</dcterms:created>
  <dcterms:modified xsi:type="dcterms:W3CDTF">2026-05-30T14:31:16.797Z</dcterms:modified>
</cp:coreProperties>
</file>

<file path=docProps/custom.xml><?xml version="1.0" encoding="utf-8"?>
<Properties xmlns="http://schemas.openxmlformats.org/officeDocument/2006/custom-properties" xmlns:vt="http://schemas.openxmlformats.org/officeDocument/2006/docPropsVTypes"/>
</file>