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Generic High Energy Physics Parts Library (GHEPlib) is a CAD library to manage data across multiple electronic CAD tools.</w:t>
      </w:r>
    </w:p>
    <w:p>
      <w:pPr>
        <w:pStyle w:val="Heading1"/>
        <w:numPr>
          <w:ilvl w:val="0"/>
          <w:numId w:val="2"/>
        </w:numPr>
        <w:spacing w:before="240" w:after="120"/>
        <w:rPr/>
      </w:pPr>
      <w:r>
        <w:rPr/>
        <w:t>Dependencies</w:t>
      </w:r>
    </w:p>
    <w:p>
      <w:pPr>
        <w:pStyle w:val="TextBody"/>
        <w:numPr>
          <w:ilvl w:val="0"/>
          <w:numId w:val="10"/>
        </w:numPr>
        <w:rPr/>
      </w:pPr>
      <w:r>
        <w:rPr/>
        <w:t>Supported CAD tools</w:t>
      </w:r>
    </w:p>
    <w:p>
      <w:pPr>
        <w:pStyle w:val="TextBody"/>
        <w:numPr>
          <w:ilvl w:val="1"/>
          <w:numId w:val="10"/>
        </w:numPr>
        <w:rPr/>
      </w:pPr>
      <w:r>
        <w:rPr/>
        <w:t>Siemens PADS VX2.3 or higher</w:t>
      </w:r>
    </w:p>
    <w:p>
      <w:pPr>
        <w:pStyle w:val="TextBody"/>
        <w:numPr>
          <w:ilvl w:val="1"/>
          <w:numId w:val="10"/>
        </w:numPr>
        <w:rPr/>
      </w:pPr>
      <w:r>
        <w:rPr/>
        <w:t>Siemens DxDesigner (assumed import ability from PADS)</w:t>
      </w:r>
    </w:p>
    <w:p>
      <w:pPr>
        <w:pStyle w:val="TextBody"/>
        <w:numPr>
          <w:ilvl w:val="1"/>
          <w:numId w:val="10"/>
        </w:numPr>
        <w:rPr/>
      </w:pPr>
      <w:r>
        <w:rPr/>
        <w:t>Altium Designer 23 or newer (tested)</w:t>
      </w:r>
    </w:p>
    <w:p>
      <w:pPr>
        <w:pStyle w:val="TextBody"/>
        <w:numPr>
          <w:ilvl w:val="1"/>
          <w:numId w:val="10"/>
        </w:numPr>
        <w:rPr/>
      </w:pPr>
      <w:r>
        <w:rPr/>
        <w:t>KiCAD</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None yet</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Conventions</w:t>
      </w:r>
    </w:p>
    <w:p>
      <w:pPr>
        <w:pStyle w:val="Heading2"/>
        <w:numPr>
          <w:ilvl w:val="1"/>
          <w:numId w:val="1"/>
        </w:numPr>
        <w:spacing w:before="200" w:after="120"/>
        <w:rPr/>
      </w:pPr>
      <w:r>
        <w:rPr/>
        <w:t>Schematic Symbols</w:t>
      </w:r>
    </w:p>
    <w:p>
      <w:pPr>
        <w:pStyle w:val="TextBody"/>
        <w:numPr>
          <w:ilvl w:val="0"/>
          <w:numId w:val="8"/>
        </w:numPr>
        <w:rPr/>
      </w:pPr>
      <w:r>
        <w:rPr/>
        <w:t>Imperial dimensions – no metric (yet)</w:t>
      </w:r>
    </w:p>
    <w:p>
      <w:pPr>
        <w:pStyle w:val="TextBody"/>
        <w:numPr>
          <w:ilvl w:val="0"/>
          <w:numId w:val="8"/>
        </w:numPr>
        <w:rPr/>
      </w:pPr>
      <w:r>
        <w:rPr/>
        <w:t>0.100" pin-pin and primary grid spacing</w:t>
      </w:r>
    </w:p>
    <w:p>
      <w:pPr>
        <w:pStyle w:val="TextBody"/>
        <w:numPr>
          <w:ilvl w:val="0"/>
          <w:numId w:val="8"/>
        </w:numPr>
        <w:rPr/>
      </w:pPr>
      <w:r>
        <w:rPr/>
        <w:t>2 pin component dimensions</w:t>
      </w:r>
    </w:p>
    <w:p>
      <w:pPr>
        <w:pStyle w:val="TextBody"/>
        <w:numPr>
          <w:ilvl w:val="1"/>
          <w:numId w:val="8"/>
        </w:numPr>
        <w:rPr/>
      </w:pPr>
      <w:r>
        <w:rPr/>
        <w:t>Siemens &lt; 200mil wide, 400mil pin to pin (per conventions of existing parts)</w:t>
      </w:r>
    </w:p>
    <w:p>
      <w:pPr>
        <w:pStyle w:val="TextBody"/>
        <w:numPr>
          <w:ilvl w:val="1"/>
          <w:numId w:val="8"/>
        </w:numPr>
        <w:rPr/>
      </w:pPr>
      <w:r>
        <w:rPr/>
        <w:t>Altium &lt;200mil wide, 300mil pin to pin (per conventions of existing parts)</w:t>
      </w:r>
    </w:p>
    <w:p>
      <w:pPr>
        <w:pStyle w:val="Heading2"/>
        <w:numPr>
          <w:ilvl w:val="1"/>
          <w:numId w:val="1"/>
        </w:numPr>
        <w:rPr/>
      </w:pPr>
      <w:r>
        <w:rPr/>
        <w:t>Layout Footprints</w:t>
      </w:r>
    </w:p>
    <w:p>
      <w:pPr>
        <w:pStyle w:val="TextBody"/>
        <w:numPr>
          <w:ilvl w:val="0"/>
          <w:numId w:val="13"/>
        </w:numPr>
        <w:rPr/>
      </w:pPr>
      <w:r>
        <w:rPr/>
        <w:t>Dimensions metric</w:t>
      </w:r>
    </w:p>
    <w:p>
      <w:pPr>
        <w:pStyle w:val="TextBody"/>
        <w:numPr>
          <w:ilvl w:val="1"/>
          <w:numId w:val="13"/>
        </w:numPr>
        <w:rPr/>
      </w:pPr>
      <w:r>
        <w:rPr/>
        <w:t>Imperial is often what is given by the manufacturers or required by a standard. Use the following rules to convert:</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rPr/>
            </w:pPr>
            <w:r>
              <w:rPr/>
              <w:t>Conversion(s)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Typical Applications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Metric grid (rounding)</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Imperial equivalent</w:t>
            </w:r>
          </w:p>
        </w:tc>
      </w:tr>
      <w:tr>
        <w:trPr/>
        <w:tc>
          <w:tcPr>
            <w:tcW w:w="2492" w:type="dxa"/>
            <w:tcBorders>
              <w:left w:val="single" w:sz="4" w:space="0" w:color="000000"/>
              <w:bottom w:val="single" w:sz="4" w:space="0" w:color="000000"/>
            </w:tcBorders>
          </w:tcPr>
          <w:p>
            <w:pPr>
              <w:pStyle w:val="TableContents"/>
              <w:widowControl w:val="false"/>
              <w:rPr/>
            </w:pPr>
            <w:r>
              <w:rPr/>
              <w:t>Strict tolerance</w:t>
            </w:r>
          </w:p>
        </w:tc>
        <w:tc>
          <w:tcPr>
            <w:tcW w:w="2493" w:type="dxa"/>
            <w:tcBorders>
              <w:left w:val="single" w:sz="4" w:space="0" w:color="000000"/>
              <w:bottom w:val="single" w:sz="4" w:space="0" w:color="000000"/>
            </w:tcBorders>
          </w:tcPr>
          <w:p>
            <w:pPr>
              <w:pStyle w:val="TableContents"/>
              <w:widowControl w:val="false"/>
              <w:rPr/>
            </w:pPr>
            <w:r>
              <w:rPr/>
              <w:t>Drill sizes</w:t>
            </w:r>
          </w:p>
          <w:p>
            <w:pPr>
              <w:pStyle w:val="TableContents"/>
              <w:widowControl w:val="false"/>
              <w:rPr/>
            </w:pPr>
            <w:r>
              <w:rPr/>
              <w:t>RF</w:t>
            </w:r>
          </w:p>
          <w:p>
            <w:pPr>
              <w:pStyle w:val="TableContents"/>
              <w:widowControl w:val="false"/>
              <w:rPr/>
            </w:pPr>
            <w:r>
              <w:rPr/>
              <w:t>Wafer scale dimensions</w:t>
            </w:r>
          </w:p>
        </w:tc>
        <w:tc>
          <w:tcPr>
            <w:tcW w:w="2493" w:type="dxa"/>
            <w:tcBorders>
              <w:left w:val="single" w:sz="4" w:space="0" w:color="000000"/>
              <w:bottom w:val="single" w:sz="4" w:space="0" w:color="000000"/>
            </w:tcBorders>
          </w:tcPr>
          <w:p>
            <w:pPr>
              <w:pStyle w:val="TableContents"/>
              <w:widowControl w:val="false"/>
              <w:rPr/>
            </w:pPr>
            <w:r>
              <w:rPr/>
              <w:t>1um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39.37e-6 inches</w:t>
            </w:r>
          </w:p>
        </w:tc>
      </w:tr>
      <w:tr>
        <w:trPr/>
        <w:tc>
          <w:tcPr>
            <w:tcW w:w="2492" w:type="dxa"/>
            <w:tcBorders>
              <w:left w:val="single" w:sz="4" w:space="0" w:color="000000"/>
              <w:bottom w:val="single" w:sz="4" w:space="0" w:color="000000"/>
            </w:tcBorders>
          </w:tcPr>
          <w:p>
            <w:pPr>
              <w:pStyle w:val="TableContents"/>
              <w:widowControl w:val="false"/>
              <w:rPr/>
            </w:pPr>
            <w:r>
              <w:rPr/>
              <w:t>Standard imperial to metric</w:t>
            </w:r>
          </w:p>
        </w:tc>
        <w:tc>
          <w:tcPr>
            <w:tcW w:w="2493" w:type="dxa"/>
            <w:tcBorders>
              <w:left w:val="single" w:sz="4" w:space="0" w:color="000000"/>
              <w:bottom w:val="single" w:sz="4" w:space="0" w:color="000000"/>
            </w:tcBorders>
          </w:tcPr>
          <w:p>
            <w:pPr>
              <w:pStyle w:val="TableContents"/>
              <w:widowControl w:val="false"/>
              <w:rPr/>
            </w:pPr>
            <w:r>
              <w:rPr/>
              <w:t>Connectors</w:t>
            </w:r>
          </w:p>
        </w:tc>
        <w:tc>
          <w:tcPr>
            <w:tcW w:w="2493" w:type="dxa"/>
            <w:tcBorders>
              <w:left w:val="single" w:sz="4" w:space="0" w:color="000000"/>
              <w:bottom w:val="single" w:sz="4" w:space="0" w:color="000000"/>
            </w:tcBorders>
          </w:tcPr>
          <w:p>
            <w:pPr>
              <w:pStyle w:val="TableContents"/>
              <w:widowControl w:val="false"/>
              <w:rPr/>
            </w:pPr>
            <w:r>
              <w:rPr/>
              <w:t>25um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~1mil=0.001 inches</w:t>
            </w:r>
          </w:p>
        </w:tc>
      </w:tr>
      <w:tr>
        <w:trPr/>
        <w:tc>
          <w:tcPr>
            <w:tcW w:w="2492" w:type="dxa"/>
            <w:tcBorders>
              <w:left w:val="single" w:sz="4" w:space="0" w:color="000000"/>
              <w:bottom w:val="single" w:sz="4" w:space="0" w:color="000000"/>
            </w:tcBorders>
          </w:tcPr>
          <w:p>
            <w:pPr>
              <w:pStyle w:val="TableContents"/>
              <w:widowControl w:val="false"/>
              <w:rPr/>
            </w:pPr>
            <w:r>
              <w:rPr/>
              <w:t>Rounded imperial to metric</w:t>
            </w:r>
          </w:p>
        </w:tc>
        <w:tc>
          <w:tcPr>
            <w:tcW w:w="2493" w:type="dxa"/>
            <w:tcBorders>
              <w:left w:val="single" w:sz="4" w:space="0" w:color="000000"/>
              <w:bottom w:val="single" w:sz="4" w:space="0" w:color="000000"/>
            </w:tcBorders>
          </w:tcPr>
          <w:p>
            <w:pPr>
              <w:pStyle w:val="TableContents"/>
              <w:widowControl w:val="false"/>
              <w:rPr/>
            </w:pPr>
            <w:r>
              <w:rPr/>
              <w:t>General Purpose</w:t>
            </w:r>
          </w:p>
        </w:tc>
        <w:tc>
          <w:tcPr>
            <w:tcW w:w="2493" w:type="dxa"/>
            <w:tcBorders>
              <w:left w:val="single" w:sz="4" w:space="0" w:color="000000"/>
              <w:bottom w:val="single" w:sz="4" w:space="0" w:color="000000"/>
            </w:tcBorders>
          </w:tcPr>
          <w:p>
            <w:pPr>
              <w:pStyle w:val="TableContents"/>
              <w:widowControl w:val="false"/>
              <w:rPr/>
            </w:pPr>
            <w:r>
              <w:rPr/>
              <w:t>100um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 mil</w:t>
            </w:r>
          </w:p>
        </w:tc>
      </w:tr>
      <w:tr>
        <w:trPr/>
        <w:tc>
          <w:tcPr>
            <w:tcW w:w="2492" w:type="dxa"/>
            <w:tcBorders>
              <w:left w:val="single" w:sz="4" w:space="0" w:color="000000"/>
              <w:bottom w:val="single" w:sz="4" w:space="0" w:color="000000"/>
            </w:tcBorders>
          </w:tcPr>
          <w:p>
            <w:pPr>
              <w:pStyle w:val="TableContents"/>
              <w:widowControl w:val="false"/>
              <w:rPr/>
            </w:pPr>
            <w:r>
              <w:rPr/>
              <w:t>Large rounded imperial to metric</w:t>
            </w:r>
          </w:p>
        </w:tc>
        <w:tc>
          <w:tcPr>
            <w:tcW w:w="2493" w:type="dxa"/>
            <w:tcBorders>
              <w:left w:val="single" w:sz="4" w:space="0" w:color="000000"/>
              <w:bottom w:val="single" w:sz="4" w:space="0" w:color="000000"/>
            </w:tcBorders>
          </w:tcPr>
          <w:p>
            <w:pPr>
              <w:pStyle w:val="TableContents"/>
              <w:widowControl w:val="false"/>
              <w:rPr/>
            </w:pPr>
            <w:r>
              <w:rPr/>
              <w:t>Copper Fills</w:t>
            </w:r>
          </w:p>
          <w:p>
            <w:pPr>
              <w:pStyle w:val="TableContents"/>
              <w:widowControl w:val="false"/>
              <w:rPr/>
            </w:pPr>
            <w:r>
              <w:rPr/>
              <w:t>Mechanical Outlines</w:t>
            </w:r>
          </w:p>
        </w:tc>
        <w:tc>
          <w:tcPr>
            <w:tcW w:w="2493" w:type="dxa"/>
            <w:tcBorders>
              <w:left w:val="single" w:sz="4" w:space="0" w:color="000000"/>
              <w:bottom w:val="single" w:sz="4" w:space="0" w:color="000000"/>
            </w:tcBorders>
          </w:tcPr>
          <w:p>
            <w:pPr>
              <w:pStyle w:val="TableContents"/>
              <w:widowControl w:val="false"/>
              <w:rPr/>
            </w:pPr>
            <w:r>
              <w:rPr/>
              <w:t>1mm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39.37mil</w:t>
            </w:r>
          </w:p>
        </w:tc>
      </w:tr>
    </w:tbl>
    <w:p>
      <w:pPr>
        <w:pStyle w:val="TextBody"/>
        <w:numPr>
          <w:ilvl w:val="1"/>
          <w:numId w:val="13"/>
        </w:numPr>
        <w:rPr/>
      </w:pPr>
      <w:r>
        <w:rPr/>
        <w:t>The conversion strategy appropriate for the application should be used. Tight tolerances require smaller rounding errors. Note that the courser rounding is usually an integer multiple of the finer options.</w:t>
      </w:r>
    </w:p>
    <w:p>
      <w:pPr>
        <w:pStyle w:val="TextBody"/>
        <w:numPr>
          <w:ilvl w:val="1"/>
          <w:numId w:val="13"/>
        </w:numPr>
        <w:rPr/>
      </w:pPr>
      <w:r>
        <w:rPr/>
        <w:t>For drill size matching between imperial and metric sizes, drills should always use strict (1um) conversion</w:t>
      </w:r>
    </w:p>
    <w:p>
      <w:pPr>
        <w:pStyle w:val="TextBody"/>
        <w:numPr>
          <w:ilvl w:val="1"/>
          <w:numId w:val="13"/>
        </w:numPr>
        <w:rPr/>
      </w:pPr>
      <w:r>
        <w:rPr/>
        <w:t>Standard passive components footprint names should include whether they are imperial or metric to avoid confusion in duplicate names</w:t>
      </w:r>
    </w:p>
    <w:p>
      <w:pPr>
        <w:pStyle w:val="TextBody"/>
        <w:numPr>
          <w:ilvl w:val="0"/>
          <w:numId w:val="13"/>
        </w:numPr>
        <w:rPr/>
      </w:pPr>
      <w:r>
        <w:rPr/>
        <w:t>Separate footprints based on assembly method (wave, reflow, bonding, etc.)</w:t>
      </w:r>
    </w:p>
    <w:p>
      <w:pPr>
        <w:pStyle w:val="TextBody"/>
        <w:numPr>
          <w:ilvl w:val="0"/>
          <w:numId w:val="13"/>
        </w:numPr>
        <w:rPr/>
      </w:pPr>
      <w:r>
        <w:rPr/>
        <w:t>Separate footprints for different design densities only for parts that are very frequently used (passives)</w:t>
      </w:r>
    </w:p>
    <w:p>
      <w:pPr>
        <w:pStyle w:val="TextBody"/>
        <w:numPr>
          <w:ilvl w:val="1"/>
          <w:numId w:val="13"/>
        </w:numPr>
        <w:rPr/>
      </w:pPr>
      <w:r>
        <w:rPr/>
        <w:t>Low volume footprints can be manually modified as needed. E.g. Silk screen can be removed</w:t>
      </w:r>
    </w:p>
    <w:p>
      <w:pPr>
        <w:pStyle w:val="TextBody"/>
        <w:numPr>
          <w:ilvl w:val="0"/>
          <w:numId w:val="13"/>
        </w:numPr>
        <w:rPr/>
      </w:pPr>
      <w:r>
        <w:rPr/>
        <w:t>Silkscreen</w:t>
      </w:r>
    </w:p>
    <w:p>
      <w:pPr>
        <w:pStyle w:val="TextBody"/>
        <w:numPr>
          <w:ilvl w:val="1"/>
          <w:numId w:val="13"/>
        </w:numPr>
        <w:rPr/>
      </w:pPr>
      <w:r>
        <w:rPr/>
        <w:t>Polarity indicators included but may be covered after assembly</w:t>
      </w:r>
    </w:p>
    <w:p>
      <w:pPr>
        <w:pStyle w:val="TextBody"/>
        <w:numPr>
          <w:ilvl w:val="1"/>
          <w:numId w:val="13"/>
        </w:numPr>
        <w:rPr/>
      </w:pPr>
      <w:r>
        <w:rPr/>
        <w:t>All footprints should include a bounding box. The primary reason for this is to show which pads are grouped when a part is not installed. This also serves as a type of layout keepout.</w:t>
      </w:r>
    </w:p>
    <w:p>
      <w:pPr>
        <w:pStyle w:val="TextBody"/>
        <w:numPr>
          <w:ilvl w:val="0"/>
          <w:numId w:val="13"/>
        </w:numPr>
        <w:rPr/>
      </w:pPr>
      <w:r>
        <w:rPr/>
        <w:t>Soldermask</w:t>
      </w:r>
    </w:p>
    <w:p>
      <w:pPr>
        <w:pStyle w:val="TextBody"/>
        <w:numPr>
          <w:ilvl w:val="1"/>
          <w:numId w:val="13"/>
        </w:numPr>
        <w:rPr/>
      </w:pPr>
      <w:r>
        <w:rPr/>
        <w:t>Dedicated shapes</w:t>
      </w:r>
    </w:p>
    <w:p>
      <w:pPr>
        <w:pStyle w:val="TextBody"/>
        <w:numPr>
          <w:ilvl w:val="0"/>
          <w:numId w:val="13"/>
        </w:numPr>
        <w:rPr/>
      </w:pPr>
      <w:r>
        <w:rPr/>
        <w:t>Solder paste</w:t>
      </w:r>
    </w:p>
    <w:p>
      <w:pPr>
        <w:pStyle w:val="TextBody"/>
        <w:numPr>
          <w:ilvl w:val="1"/>
          <w:numId w:val="13"/>
        </w:numPr>
        <w:rPr/>
      </w:pPr>
      <w:r>
        <w:rPr/>
        <w:t>Dedicated shapes</w:t>
      </w:r>
    </w:p>
    <w:p>
      <w:pPr>
        <w:pStyle w:val="TextBody"/>
        <w:numPr>
          <w:ilvl w:val="0"/>
          <w:numId w:val="13"/>
        </w:numPr>
        <w:rPr/>
      </w:pPr>
      <w:r>
        <w:rPr/>
        <w:t>Assembly layers</w:t>
      </w:r>
    </w:p>
    <w:p>
      <w:pPr>
        <w:pStyle w:val="TextBody"/>
        <w:numPr>
          <w:ilvl w:val="1"/>
          <w:numId w:val="13"/>
        </w:numPr>
        <w:rPr/>
      </w:pPr>
      <w:r>
        <w:rPr/>
        <w:t>Dedicated shapes</w:t>
      </w:r>
    </w:p>
    <w:p>
      <w:pPr>
        <w:pStyle w:val="TextBody"/>
        <w:numPr>
          <w:ilvl w:val="0"/>
          <w:numId w:val="13"/>
        </w:numPr>
        <w:rPr/>
      </w:pPr>
      <w:r>
        <w:rPr/>
        <w:t>Drill layer</w:t>
      </w:r>
    </w:p>
    <w:p>
      <w:pPr>
        <w:pStyle w:val="TextBody"/>
        <w:numPr>
          <w:ilvl w:val="1"/>
          <w:numId w:val="13"/>
        </w:numPr>
        <w:rPr/>
      </w:pPr>
      <w:r>
        <w:rPr/>
        <w:t>Preferred drill size: 1mm</w:t>
      </w:r>
    </w:p>
    <w:p>
      <w:pPr>
        <w:pStyle w:val="TextBody"/>
        <w:numPr>
          <w:ilvl w:val="1"/>
          <w:numId w:val="13"/>
        </w:numPr>
        <w:rPr/>
      </w:pPr>
      <w:r>
        <w:rPr/>
        <w:t>Other acceptable drill sizes</w:t>
      </w:r>
    </w:p>
    <w:p>
      <w:pPr>
        <w:pStyle w:val="TextBody"/>
        <w:numPr>
          <w:ilvl w:val="2"/>
          <w:numId w:val="13"/>
        </w:numPr>
        <w:rPr/>
      </w:pPr>
      <w:r>
        <w:rPr/>
        <w:t>40mil</w:t>
      </w:r>
    </w:p>
    <w:p>
      <w:pPr>
        <w:pStyle w:val="TextBody"/>
        <w:numPr>
          <w:ilvl w:val="2"/>
          <w:numId w:val="13"/>
        </w:numPr>
        <w:rPr/>
      </w:pPr>
      <w:r>
        <w:rPr/>
        <w:t>60mil</w:t>
      </w:r>
    </w:p>
    <w:p>
      <w:pPr>
        <w:pStyle w:val="TextBody"/>
        <w:rPr/>
      </w:pPr>
      <w:r>
        <w:rPr/>
        <w:t>General design rules that footprints should meet:</w:t>
      </w:r>
    </w:p>
    <w:tbl>
      <w:tblPr>
        <w:tblW w:w="5000" w:type="pct"/>
        <w:jc w:val="left"/>
        <w:tblInd w:w="-5" w:type="dxa"/>
        <w:tblLayout w:type="fixed"/>
        <w:tblCellMar>
          <w:top w:w="55" w:type="dxa"/>
          <w:left w:w="55" w:type="dxa"/>
          <w:bottom w:w="55" w:type="dxa"/>
          <w:right w:w="55" w:type="dxa"/>
        </w:tblCellMar>
      </w:tblPr>
      <w:tblGrid>
        <w:gridCol w:w="2990"/>
        <w:gridCol w:w="2993"/>
        <w:gridCol w:w="1993"/>
        <w:gridCol w:w="1995"/>
      </w:tblGrid>
      <w:tr>
        <w:trPr/>
        <w:tc>
          <w:tcPr>
            <w:tcW w:w="2990" w:type="dxa"/>
            <w:tcBorders>
              <w:top w:val="single" w:sz="4" w:space="0" w:color="000000"/>
              <w:left w:val="single" w:sz="4" w:space="0" w:color="000000"/>
              <w:bottom w:val="single" w:sz="4" w:space="0" w:color="000000"/>
            </w:tcBorders>
          </w:tcPr>
          <w:p>
            <w:pPr>
              <w:pStyle w:val="TableContents"/>
              <w:widowControl w:val="false"/>
              <w:rPr/>
            </w:pPr>
            <w:r>
              <w:rPr/>
              <w:t>Rule</w:t>
            </w:r>
          </w:p>
        </w:tc>
        <w:tc>
          <w:tcPr>
            <w:tcW w:w="2993" w:type="dxa"/>
            <w:tcBorders>
              <w:top w:val="single" w:sz="4" w:space="0" w:color="000000"/>
              <w:left w:val="single" w:sz="4" w:space="0" w:color="000000"/>
              <w:bottom w:val="single" w:sz="4" w:space="0" w:color="000000"/>
            </w:tcBorders>
          </w:tcPr>
          <w:p>
            <w:pPr>
              <w:pStyle w:val="TableContents"/>
              <w:widowControl w:val="false"/>
              <w:rPr/>
            </w:pPr>
            <w:r>
              <w:rPr/>
              <w:t>Min.</w:t>
            </w:r>
          </w:p>
        </w:tc>
        <w:tc>
          <w:tcPr>
            <w:tcW w:w="1993" w:type="dxa"/>
            <w:tcBorders>
              <w:top w:val="single" w:sz="4" w:space="0" w:color="000000"/>
              <w:left w:val="single" w:sz="4" w:space="0" w:color="000000"/>
              <w:bottom w:val="single" w:sz="4" w:space="0" w:color="000000"/>
            </w:tcBorders>
          </w:tcPr>
          <w:p>
            <w:pPr>
              <w:pStyle w:val="TableContents"/>
              <w:widowControl w:val="false"/>
              <w:rPr/>
            </w:pPr>
            <w:r>
              <w:rPr/>
              <w:t>Typ.</w:t>
            </w:r>
          </w:p>
        </w:tc>
        <w:tc>
          <w:tcPr>
            <w:tcW w:w="199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Max.</w:t>
            </w:r>
          </w:p>
        </w:tc>
      </w:tr>
      <w:tr>
        <w:trPr/>
        <w:tc>
          <w:tcPr>
            <w:tcW w:w="2990" w:type="dxa"/>
            <w:tcBorders>
              <w:left w:val="single" w:sz="4" w:space="0" w:color="000000"/>
              <w:bottom w:val="single" w:sz="4" w:space="0" w:color="000000"/>
            </w:tcBorders>
          </w:tcPr>
          <w:p>
            <w:pPr>
              <w:pStyle w:val="TableContents"/>
              <w:widowControl w:val="false"/>
              <w:rPr/>
            </w:pPr>
            <w:r>
              <w:rPr/>
              <w:t>Copper 1 (top)</w:t>
            </w:r>
          </w:p>
          <w:p>
            <w:pPr>
              <w:pStyle w:val="TableContents"/>
              <w:widowControl w:val="false"/>
              <w:rPr/>
            </w:pPr>
            <w:r>
              <w:rPr/>
              <w:t xml:space="preserve">to </w:t>
            </w:r>
          </w:p>
          <w:p>
            <w:pPr>
              <w:pStyle w:val="TableContents"/>
              <w:widowControl w:val="false"/>
              <w:rPr/>
            </w:pPr>
            <w:r>
              <w:rPr/>
              <w:t>Top silk screen</w:t>
            </w:r>
          </w:p>
        </w:tc>
        <w:tc>
          <w:tcPr>
            <w:tcW w:w="2993" w:type="dxa"/>
            <w:tcBorders>
              <w:left w:val="single" w:sz="4" w:space="0" w:color="000000"/>
              <w:bottom w:val="single" w:sz="4" w:space="0" w:color="000000"/>
            </w:tcBorders>
          </w:tcPr>
          <w:p>
            <w:pPr>
              <w:pStyle w:val="TableContents"/>
              <w:widowControl w:val="false"/>
              <w:rPr/>
            </w:pPr>
            <w:r>
              <w:rPr/>
              <w:t>0.4mm</w:t>
            </w:r>
          </w:p>
        </w:tc>
        <w:tc>
          <w:tcPr>
            <w:tcW w:w="1993" w:type="dxa"/>
            <w:tcBorders>
              <w:left w:val="single" w:sz="4" w:space="0" w:color="000000"/>
              <w:bottom w:val="single" w:sz="4" w:space="0" w:color="000000"/>
            </w:tcBorders>
          </w:tcPr>
          <w:p>
            <w:pPr>
              <w:pStyle w:val="TableContents"/>
              <w:widowControl w:val="false"/>
              <w:rPr/>
            </w:pPr>
            <w:r>
              <w:rPr/>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Copper 1 (top)</w:t>
            </w:r>
          </w:p>
          <w:p>
            <w:pPr>
              <w:pStyle w:val="TableContents"/>
              <w:widowControl w:val="false"/>
              <w:rPr/>
            </w:pPr>
            <w:r>
              <w:rPr/>
              <w:t>to</w:t>
            </w:r>
          </w:p>
          <w:p>
            <w:pPr>
              <w:pStyle w:val="TableContents"/>
              <w:widowControl w:val="false"/>
              <w:rPr/>
            </w:pPr>
            <w:r>
              <w:rPr/>
              <w:t>Copper 1 (top)</w:t>
            </w:r>
          </w:p>
        </w:tc>
        <w:tc>
          <w:tcPr>
            <w:tcW w:w="2993" w:type="dxa"/>
            <w:tcBorders>
              <w:left w:val="single" w:sz="4" w:space="0" w:color="000000"/>
              <w:bottom w:val="single" w:sz="4" w:space="0" w:color="000000"/>
            </w:tcBorders>
          </w:tcPr>
          <w:p>
            <w:pPr>
              <w:pStyle w:val="TableContents"/>
              <w:widowControl w:val="false"/>
              <w:rPr/>
            </w:pPr>
            <w:r>
              <w:rPr/>
              <w:t>?</w:t>
            </w:r>
          </w:p>
        </w:tc>
        <w:tc>
          <w:tcPr>
            <w:tcW w:w="1993" w:type="dxa"/>
            <w:tcBorders>
              <w:left w:val="single" w:sz="4" w:space="0" w:color="000000"/>
              <w:bottom w:val="single" w:sz="4" w:space="0" w:color="000000"/>
            </w:tcBorders>
          </w:tcPr>
          <w:p>
            <w:pPr>
              <w:pStyle w:val="TableContents"/>
              <w:widowControl w:val="false"/>
              <w:rPr/>
            </w:pPr>
            <w:r>
              <w:rPr/>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Silk screen text height</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2mm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Via ring width</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500um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NPTH copper ring to hole clearance</w:t>
            </w:r>
          </w:p>
        </w:tc>
        <w:tc>
          <w:tcPr>
            <w:tcW w:w="2993" w:type="dxa"/>
            <w:tcBorders>
              <w:left w:val="single" w:sz="4" w:space="0" w:color="000000"/>
              <w:bottom w:val="single" w:sz="4" w:space="0" w:color="000000"/>
            </w:tcBorders>
          </w:tcPr>
          <w:p>
            <w:pPr>
              <w:pStyle w:val="TableContents"/>
              <w:widowControl w:val="false"/>
              <w:rPr/>
            </w:pPr>
            <w:r>
              <w:rPr/>
              <w:t>0</w:t>
            </w:r>
          </w:p>
        </w:tc>
        <w:tc>
          <w:tcPr>
            <w:tcW w:w="1993" w:type="dxa"/>
            <w:tcBorders>
              <w:left w:val="single" w:sz="4" w:space="0" w:color="000000"/>
              <w:bottom w:val="single" w:sz="4" w:space="0" w:color="000000"/>
            </w:tcBorders>
          </w:tcPr>
          <w:p>
            <w:pPr>
              <w:pStyle w:val="TableContents"/>
              <w:widowControl w:val="false"/>
              <w:rPr/>
            </w:pPr>
            <w:r>
              <w:rPr/>
              <w:t>10um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PTH copper ring hole coverage</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10um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t>Full hole</w:t>
            </w:r>
          </w:p>
        </w:tc>
      </w:tr>
    </w:tbl>
    <w:p>
      <w:pPr>
        <w:pStyle w:val="TextBody"/>
        <w:rPr/>
      </w:pPr>
      <w:r>
        <w:rPr/>
      </w:r>
    </w:p>
    <w:p>
      <w:pPr>
        <w:pStyle w:val="Heading1"/>
        <w:numPr>
          <w:ilvl w:val="0"/>
          <w:numId w:val="2"/>
        </w:numPr>
        <w:spacing w:before="240" w:after="120"/>
        <w:rPr/>
      </w:pPr>
      <w:r>
        <w:rPr/>
        <w:t>Device Property Conventions</w:t>
      </w:r>
    </w:p>
    <w:p>
      <w:pPr>
        <w:pStyle w:val="TextBody"/>
        <w:numPr>
          <w:ilvl w:val="0"/>
          <w:numId w:val="11"/>
        </w:numPr>
        <w:rPr/>
      </w:pPr>
      <w:r>
        <w:rPr/>
        <w:t>Generic CAD data and Variants</w:t>
      </w:r>
    </w:p>
    <w:p>
      <w:pPr>
        <w:pStyle w:val="TextBody"/>
        <w:numPr>
          <w:ilvl w:val="1"/>
          <w:numId w:val="11"/>
        </w:numPr>
        <w:rPr/>
      </w:pPr>
      <w:r>
        <w:rPr/>
        <w:t xml:space="preserve">There are multiple ways to handle generic symbols and footprints: </w:t>
      </w:r>
    </w:p>
    <w:p>
      <w:pPr>
        <w:pStyle w:val="TextBody"/>
        <w:numPr>
          <w:ilvl w:val="2"/>
          <w:numId w:val="11"/>
        </w:numPr>
        <w:rPr/>
      </w:pPr>
      <w:r>
        <w:rPr/>
        <w:t>part + generic symbol + pin remapped footprints</w:t>
      </w:r>
    </w:p>
    <w:p>
      <w:pPr>
        <w:pStyle w:val="TextBody"/>
        <w:numPr>
          <w:ilvl w:val="3"/>
          <w:numId w:val="11"/>
        </w:numPr>
        <w:rPr/>
      </w:pPr>
      <w:r>
        <w:rPr/>
        <w:t>E.g. PART_NUM, BJT, SOT23_123</w:t>
      </w:r>
    </w:p>
    <w:p>
      <w:pPr>
        <w:pStyle w:val="TextBody"/>
        <w:numPr>
          <w:ilvl w:val="3"/>
          <w:numId w:val="11"/>
        </w:numPr>
        <w:rPr/>
      </w:pPr>
      <w:r>
        <w:rPr/>
        <w:t>In practice this is very challenging to manage</w:t>
      </w:r>
    </w:p>
    <w:p>
      <w:pPr>
        <w:pStyle w:val="TextBody"/>
        <w:numPr>
          <w:ilvl w:val="2"/>
          <w:numId w:val="11"/>
        </w:numPr>
        <w:rPr/>
      </w:pPr>
      <w:r>
        <w:rPr/>
        <w:t>part + pin remapped symbol + footprint</w:t>
      </w:r>
    </w:p>
    <w:p>
      <w:pPr>
        <w:pStyle w:val="TextBody"/>
        <w:numPr>
          <w:ilvl w:val="3"/>
          <w:numId w:val="11"/>
        </w:numPr>
        <w:rPr/>
      </w:pPr>
      <w:r>
        <w:rPr/>
        <w:t>E.g. PART_NUM, BJT_123, SOT23</w:t>
      </w:r>
    </w:p>
    <w:p>
      <w:pPr>
        <w:pStyle w:val="TextBody"/>
        <w:numPr>
          <w:ilvl w:val="2"/>
          <w:numId w:val="11"/>
        </w:numPr>
        <w:rPr/>
      </w:pPr>
      <w:r>
        <w:rPr/>
        <w:t>part + pin map file to associate pin numbers, pin names, and pin IDs. Different CAD tools use different values to link schematic and layout.</w:t>
      </w:r>
    </w:p>
    <w:p>
      <w:pPr>
        <w:pStyle w:val="TextBody"/>
        <w:numPr>
          <w:ilvl w:val="2"/>
          <w:numId w:val="11"/>
        </w:numPr>
        <w:rPr/>
      </w:pPr>
      <w:r>
        <w:rPr/>
        <w:t>part+one symbol+one footprint, 1 to 1 map</w:t>
      </w:r>
    </w:p>
    <w:p>
      <w:pPr>
        <w:pStyle w:val="TextBody"/>
        <w:numPr>
          <w:ilvl w:val="3"/>
          <w:numId w:val="11"/>
        </w:numPr>
        <w:rPr/>
      </w:pPr>
      <w:r>
        <w:rPr/>
        <w:t>PART_NUM, BJT_123, SOT23_123</w:t>
      </w:r>
    </w:p>
    <w:p>
      <w:pPr>
        <w:pStyle w:val="TextBody"/>
        <w:numPr>
          <w:ilvl w:val="1"/>
          <w:numId w:val="11"/>
        </w:numPr>
        <w:rPr/>
      </w:pPr>
      <w:r>
        <w:rPr/>
        <w:t>Selected strategy: for parts with 3pins or less (transistors, potentiometers, etc.), p</w:t>
      </w:r>
      <w:r>
        <w:rPr/>
        <w:t xml:space="preserve">in remapping is done at the symbol level mostly for convenience of data entry. This gives 6 unique symbols. For parts with more than 3 pins, </w:t>
      </w:r>
      <w:r>
        <w:rPr/>
        <w:t xml:space="preserve">one symbol+one footprint strategy is used. </w:t>
      </w:r>
    </w:p>
    <w:p>
      <w:pPr>
        <w:pStyle w:val="TextBody"/>
        <w:numPr>
          <w:ilvl w:val="2"/>
          <w:numId w:val="11"/>
        </w:numPr>
        <w:rPr/>
      </w:pPr>
      <w:r>
        <w:rPr/>
        <w:t>I</w:t>
      </w:r>
      <w:r>
        <w:rPr/>
        <w:t xml:space="preserve">t is considered a coincidence that the pinout is identical between two parts </w:t>
      </w:r>
      <w:r>
        <w:rPr/>
        <w:t>with more than 3 pins</w:t>
      </w:r>
      <w:r>
        <w:rPr/>
        <w:t>. This even applies to fairly standard parts such as quad opamps, comparators, etc. since the pinouts usually still vary.</w:t>
      </w:r>
    </w:p>
    <w:p>
      <w:pPr>
        <w:pStyle w:val="TextBody"/>
        <w:numPr>
          <w:ilvl w:val="2"/>
          <w:numId w:val="11"/>
        </w:numPr>
        <w:rPr/>
      </w:pPr>
      <w:r>
        <w:rPr/>
        <w:t>If a high (&gt;3) pin count part is found to have an identical pinout to an existing symbol and/or footprint, this CAD data can be directly reused without renaming any files and only changing properties as needed. This linkage should be indicated in the database.</w:t>
      </w:r>
    </w:p>
    <w:p>
      <w:pPr>
        <w:pStyle w:val="TextBody"/>
        <w:numPr>
          <w:ilvl w:val="2"/>
          <w:numId w:val="11"/>
        </w:numPr>
        <w:rPr/>
      </w:pPr>
      <w:r>
        <w:rPr/>
        <w:t>A “drop in” replacement occurs when both the symbol and footprint of an existing library part can be reused (assuming same part performance).</w:t>
      </w:r>
    </w:p>
    <w:p>
      <w:pPr>
        <w:pStyle w:val="TextBody"/>
        <w:numPr>
          <w:ilvl w:val="3"/>
          <w:numId w:val="11"/>
        </w:numPr>
        <w:rPr/>
      </w:pPr>
      <w:r>
        <w:rPr/>
        <w:t>A “near drop in” replacement could be considered to be a part that has the same symbol (connectivity and performance) but slightly different footprint e.g. same part in a different package.</w:t>
      </w:r>
    </w:p>
    <w:p>
      <w:pPr>
        <w:pStyle w:val="TextBody"/>
        <w:numPr>
          <w:ilvl w:val="0"/>
          <w:numId w:val="11"/>
        </w:numPr>
        <w:rPr/>
      </w:pPr>
      <w:r>
        <w:rPr/>
        <w:t>Multiplier Format</w:t>
      </w:r>
    </w:p>
    <w:p>
      <w:pPr>
        <w:pStyle w:val="TextBody"/>
        <w:numPr>
          <w:ilvl w:val="1"/>
          <w:numId w:val="11"/>
        </w:numPr>
        <w:rPr/>
      </w:pPr>
      <w:r>
        <w:rPr/>
        <w:t>“</w:t>
      </w:r>
      <w:r>
        <w:rPr/>
        <w:t>DNI” = “DNP” = “NP” = 0</w:t>
      </w:r>
    </w:p>
    <w:p>
      <w:pPr>
        <w:pStyle w:val="TextBody"/>
        <w:numPr>
          <w:ilvl w:val="1"/>
          <w:numId w:val="11"/>
        </w:numPr>
        <w:rPr/>
      </w:pPr>
      <w:r>
        <w:rPr/>
        <w:t>multiplier (integer) = 1xmultiplier</w:t>
      </w:r>
    </w:p>
    <w:p>
      <w:pPr>
        <w:pStyle w:val="TextBody"/>
        <w:numPr>
          <w:ilvl w:val="1"/>
          <w:numId w:val="11"/>
        </w:numPr>
        <w:rPr/>
      </w:pPr>
      <w:r>
        <w:rPr/>
        <w:t xml:space="preserve">“” </w:t>
      </w:r>
      <w:r>
        <w:rPr/>
        <w:t>(empty) = 1</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 xml:space="preserve">Convention for DEVICE = “Symbol Name” </w:t>
      </w:r>
      <w:r>
        <w:rPr/>
        <w:t>without any suffixed that are used to identify a part of a heterogenous symbol</w:t>
      </w:r>
    </w:p>
    <w:p>
      <w:pPr>
        <w:pStyle w:val="TextBody"/>
        <w:numPr>
          <w:ilvl w:val="2"/>
          <w:numId w:val="11"/>
        </w:numPr>
        <w:rPr/>
      </w:pPr>
      <w:r>
        <w:rPr/>
        <w:t xml:space="preserve">Formerly, DEVICE = “Symbol Name”_PN. As of 2023-03-08, the </w:t>
      </w:r>
      <w:r>
        <w:rPr/>
        <w:t>MANUFACTURER_</w:t>
      </w:r>
      <w:r>
        <w:rPr/>
        <w:t>PART_NUMBER property was added to enable the use of different symbols for the same part within the same design. This property name is also more explicit, clearer, and CAD tool independent</w:t>
      </w:r>
    </w:p>
    <w:p>
      <w:pPr>
        <w:pStyle w:val="TextBody"/>
        <w:numPr>
          <w:ilvl w:val="2"/>
          <w:numId w:val="11"/>
        </w:numPr>
        <w:rPr/>
      </w:pPr>
      <w:r>
        <w:rPr/>
        <w:t>DEVICE must be unique since the tool uses this property for layout-schematic linkage</w:t>
      </w:r>
    </w:p>
    <w:p>
      <w:pPr>
        <w:pStyle w:val="TextBody"/>
        <w:numPr>
          <w:ilvl w:val="1"/>
          <w:numId w:val="11"/>
        </w:numPr>
        <w:rPr/>
      </w:pPr>
      <w:r>
        <w:rPr/>
        <w:t>MANUFACTURER_</w:t>
      </w:r>
      <w:r>
        <w:rPr/>
        <w:t>PART_NUMBER= “PART_NUMBER” before completion</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 xml:space="preserve">HETERO property is fully completed if applicable. </w:t>
      </w:r>
      <w:r>
        <w:rPr/>
        <w:t>Symbol grouping is not explicitly stored in the database</w:t>
      </w:r>
    </w:p>
    <w:p>
      <w:pPr>
        <w:pStyle w:val="TextBody"/>
        <w:numPr>
          <w:ilvl w:val="1"/>
          <w:numId w:val="11"/>
        </w:numPr>
        <w:rPr/>
      </w:pPr>
      <w:r>
        <w:rPr/>
        <w:t>PKG_TYPE=”PKG_TYPE” (unlinked – determined at PCB layout start)</w:t>
      </w:r>
    </w:p>
    <w:p>
      <w:pPr>
        <w:pStyle w:val="TextBody"/>
        <w:numPr>
          <w:ilvl w:val="2"/>
          <w:numId w:val="11"/>
        </w:numPr>
        <w:rPr/>
      </w:pPr>
      <w:r>
        <w:rPr/>
        <w:t>PCB only parts do not have this property</w:t>
      </w:r>
    </w:p>
    <w:p>
      <w:pPr>
        <w:pStyle w:val="TextBody"/>
        <w:numPr>
          <w:ilvl w:val="1"/>
          <w:numId w:val="11"/>
        </w:numPr>
        <w:rPr/>
      </w:pPr>
      <w:r>
        <w:rPr/>
        <w:t>Only properties necessary for display in the symbol and basic packaging 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TextBody"/>
        <w:numPr>
          <w:ilvl w:val="2"/>
          <w:numId w:val="11"/>
        </w:numPr>
        <w:rPr/>
      </w:pPr>
      <w:r>
        <w:rPr/>
        <w:t>This is typically, DEVICE, PKG_TYPE, PART_NUMBER, REFDES</w:t>
      </w:r>
    </w:p>
    <w:p>
      <w:pPr>
        <w:pStyle w:val="TextBody"/>
        <w:numPr>
          <w:ilvl w:val="2"/>
          <w:numId w:val="11"/>
        </w:numPr>
        <w:rPr/>
      </w:pPr>
      <w:r>
        <w:rPr/>
        <w:t>Note: For some reason, properties can only be moved if they don’t contain the default value</w:t>
      </w:r>
    </w:p>
    <w:p>
      <w:pPr>
        <w:pStyle w:val="Heading1"/>
        <w:numPr>
          <w:ilvl w:val="0"/>
          <w:numId w:val="2"/>
        </w:numPr>
        <w:spacing w:before="240" w:after="120"/>
        <w:rPr/>
      </w:pPr>
      <w:r>
        <w:rPr/>
        <w:t>Verification 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Debugging Tips</w:t>
      </w:r>
    </w:p>
    <w:p>
      <w:pPr>
        <w:pStyle w:val="Heading2"/>
        <w:numPr>
          <w:ilvl w:val="1"/>
          <w:numId w:val="1"/>
        </w:numPr>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All symbols and symbol instances in a HETERO part must have exactly 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TextBody"/>
        <w:numPr>
          <w:ilvl w:val="0"/>
          <w:numId w:val="12"/>
        </w:numPr>
        <w:rPr/>
      </w:pPr>
      <w:r>
        <w:rPr/>
        <w:t xml:space="preserve">PADS layout libraries are </w:t>
      </w:r>
      <w:r>
        <w:rPr>
          <w:b/>
          <w:bCs/>
        </w:rPr>
        <w:t xml:space="preserve">not </w:t>
      </w:r>
      <w:r>
        <w:rPr/>
        <w:t>compatible with DxDesigner</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1886</TotalTime>
  <Application>LibreOffice/7.3.4.2$Windows_X86_64 LibreOffice_project/728fec16bd5f605073805c3c9e7c4212a0120dc5</Application>
  <AppVersion>15.0000</AppVersion>
  <Pages>7</Pages>
  <Words>1622</Words>
  <Characters>8254</Characters>
  <CharactersWithSpaces>9584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2023-03-23T13:49:35Z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