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4710B" w14:textId="77777777" w:rsidR="007C2758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35716CFE" w:rsidR="00BD0138" w:rsidRPr="000A45C1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646677EA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099B084E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77E6C992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DD4C4C7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bookmarkStart w:id="0" w:name="_GoBack"/>
      <w:bookmarkEnd w:id="0"/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9855F4C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6963098B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2C2DD6">
        <w:rPr>
          <w:rFonts w:ascii="PT Sans" w:hAnsi="PT Sans" w:cs="Times New Roman"/>
          <w:sz w:val="20"/>
          <w:szCs w:val="20"/>
        </w:rPr>
        <w:t>playground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34D9334F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RealEstateTracker.co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5D5206A1" w:rsidR="00390B04" w:rsidRPr="00796089" w:rsidRDefault="00390B04" w:rsidP="00796089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2062ED0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3EB8EB86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625DEC48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</w:t>
      </w:r>
      <w:r w:rsidR="00872134">
        <w:rPr>
          <w:rFonts w:ascii="PT Sans" w:hAnsi="PT Sans" w:cs="Times New Roman"/>
          <w:sz w:val="20"/>
          <w:szCs w:val="20"/>
        </w:rPr>
        <w:t xml:space="preserve">there is </w:t>
      </w:r>
      <w:r w:rsidR="007A74C6">
        <w:rPr>
          <w:rFonts w:ascii="PT Sans" w:hAnsi="PT Sans" w:cs="Times New Roman"/>
          <w:sz w:val="20"/>
          <w:szCs w:val="20"/>
        </w:rPr>
        <w:t xml:space="preserve">also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7A74C6">
        <w:rPr>
          <w:rFonts w:ascii="PT Sans" w:hAnsi="PT Sans" w:cs="Times New Roman"/>
          <w:sz w:val="20"/>
          <w:szCs w:val="20"/>
        </w:rPr>
        <w:t>ails version)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78F7"/>
    <w:rsid w:val="00175831"/>
    <w:rsid w:val="00180CBB"/>
    <w:rsid w:val="00181D2C"/>
    <w:rsid w:val="00183448"/>
    <w:rsid w:val="00191312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1283</Words>
  <Characters>7314</Characters>
  <Application>Microsoft Macintosh Word</Application>
  <DocSecurity>0</DocSecurity>
  <Lines>60</Lines>
  <Paragraphs>17</Paragraphs>
  <ScaleCrop>false</ScaleCrop>
  <Company/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591</cp:revision>
  <cp:lastPrinted>2015-06-13T22:30:00Z</cp:lastPrinted>
  <dcterms:created xsi:type="dcterms:W3CDTF">2015-06-13T22:30:00Z</dcterms:created>
  <dcterms:modified xsi:type="dcterms:W3CDTF">2015-06-15T22:04:00Z</dcterms:modified>
</cp:coreProperties>
</file>