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t xml:space="preserve">Relazione tecnica sulle forniture di energia elettrica e gas</w:t>
      </w:r>
    </w:p>
    <w:p>
      <w:pPr>
        <w:spacing w:after="40"/>
      </w:pPr>
      <w:r>
        <w:rPr>
          <w:i/>
          <w:iCs/>
          <w:color w:val="475569"/>
          <w:sz w:val="24"/>
          <w:szCs w:val="24"/>
        </w:rPr>
        <w:t xml:space="preserve">Richiesta di maggiore tutela contrattuale per i prossimi mesi</w:t>
      </w:r>
    </w:p>
    <w:p>
      <w:pPr>
        <w:spacing w:after="200"/>
      </w:pPr>
      <w:r>
        <w:rPr>
          <w:color w:val="64748B"/>
          <w:sz w:val="20"/>
          <w:szCs w:val="20"/>
        </w:rPr>
        <w:t xml:space="preserve">Cliente: Basilico di Bonino Alessandro — Via Corniglia 22, Genova (GE)</w:t>
      </w:r>
    </w:p>
    <w:p>
      <w:pPr>
        <w:pStyle w:val="Heading1"/>
        <w:spacing w:after="120" w:before="280"/>
      </w:pPr>
      <w:r>
        <w:t xml:space="preserve">1. Premessa</w:t>
      </w:r>
    </w:p>
    <w:p>
      <w:pPr>
        <w:spacing w:after="120"/>
      </w:pPr>
      <w:r>
        <w:t xml:space="preserve">La presente relazione riassume l'andamento dei consumi e della spesa per le forniture di energia elettrica (POD IT001E11676733, potenza contrattuale 20 kW) e gas naturale (PDR 03270037115412) del punto vendita Basilico, entrambe attualmente fornite da FuturEnergy (Energia Pulita) con offerte a mercato libero (ULTRAGREEN per l'elettrico, ULTRAGREEN/ULTRAGREEN FIX per il gas).</w:t>
      </w:r>
    </w:p>
    <w:p>
      <w:pPr>
        <w:spacing w:after="120"/>
      </w:pPr>
      <w:r>
        <w:t xml:space="preserve">L'analisi copre il periodo giugno 2025 – luglio 2026 e mostra un peggioramento delle condizioni economiche che desta forte preoccupazione: negli ultimi mesi la bolletta dell'energia elettrica ha registrato aumenti a doppia cifra rispetto allo stesso periodo dell'anno precedente, con un picco del </w:t>
      </w:r>
      <w:r>
        <w:rPr>
          <w:b/>
          <w:bCs/>
        </w:rPr>
        <w:t xml:space="preserve">+31,0% sul prezzo medio al kWh a luglio 2026</w:t>
      </w:r>
      <w:r>
        <w:t xml:space="preserve"> (da 0,304 a 0,398 €/kWh) e un </w:t>
      </w:r>
      <w:r>
        <w:rPr>
          <w:b/>
          <w:bCs/>
        </w:rPr>
        <w:t xml:space="preserve">+25,1% sull'importo totale della bolletta</w:t>
      </w:r>
      <w:r>
        <w:t xml:space="preserve"> nello stesso mese. Si tratta di un trend che, se confermato, rende insostenibile la programmazione dei costi energetici dell'attività.</w:t>
      </w:r>
    </w:p>
    <w:p>
      <w:pPr>
        <w:spacing w:after="120"/>
      </w:pPr>
      <w:r>
        <w:t xml:space="preserve">Questi rincari si verificano in un momento in cui il mercato offre, in particolare alle piccole e medie imprese, la possibilità di bloccare il prezzo dell'energia per superare le fasi di maggiore volatilità: condizione che, ad oggi, l'attuale fornitura non garantisce. Si richiede pertanto al broker di sottoporre a FuturEnergy le richieste di seguito descritte, con l'obiettivo di ottenere una tutela contrattuale realmente efficace nei prossimi mesi, e non solo sulla carta.</w:t>
      </w:r>
    </w:p>
    <w:p>
      <w:pPr>
        <w:pStyle w:val="Heading1"/>
        <w:spacing w:after="120" w:before="280"/>
      </w:pPr>
      <w:r>
        <w:t xml:space="preserve">2. Sintesi di consumi e spesa</w:t>
      </w:r>
    </w:p>
    <w:p>
      <w:pPr>
        <w:spacing w:after="120"/>
      </w:pPr>
      <w:r>
        <w:t xml:space="preserve">Nella tabella seguente sono riportati i totali annui per le due utenze, con il relativo prezzo medio unitario pagato (comprensivo di tutte le componenti di fattura).</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600"/>
        <w:gridCol w:w="2600"/>
      </w:tblGrid>
      <w:tr>
        <w:tc>
          <w:tcPr>
            <w:tcW w:type="dxa" w:w="2600"/>
            <w:shd w:fill="1F2937" w:val="clear"/>
            <w:tcMar>
              <w:top w:type="dxa" w:w="80"/>
              <w:left w:type="dxa" w:w="100"/>
              <w:bottom w:type="dxa" w:w="80"/>
              <w:right w:type="dxa" w:w="100"/>
            </w:tcMar>
          </w:tcPr>
          <w:p>
            <w:pPr>
              <w:jc w:val="left"/>
            </w:pPr>
            <w:r>
              <w:rPr>
                <w:b/>
                <w:bCs/>
                <w:color w:val="FFFFFF"/>
              </w:rPr>
              <w:t xml:space="preserve">Utenza / Anno</w:t>
            </w:r>
          </w:p>
        </w:tc>
        <w:tc>
          <w:tcPr>
            <w:tcW w:type="dxa" w:w="2600"/>
            <w:shd w:fill="1F2937" w:val="clear"/>
            <w:tcMar>
              <w:top w:type="dxa" w:w="80"/>
              <w:left w:type="dxa" w:w="100"/>
              <w:bottom w:type="dxa" w:w="80"/>
              <w:right w:type="dxa" w:w="100"/>
            </w:tcMar>
          </w:tcPr>
          <w:p>
            <w:pPr>
              <w:jc w:val="right"/>
            </w:pPr>
            <w:r>
              <w:rPr>
                <w:b/>
                <w:bCs/>
                <w:color w:val="FFFFFF"/>
              </w:rPr>
              <w:t xml:space="preserve">Consumo</w:t>
            </w:r>
          </w:p>
        </w:tc>
        <w:tc>
          <w:tcPr>
            <w:tcW w:type="dxa" w:w="2600"/>
            <w:shd w:fill="1F2937" w:val="clear"/>
            <w:tcMar>
              <w:top w:type="dxa" w:w="80"/>
              <w:left w:type="dxa" w:w="100"/>
              <w:bottom w:type="dxa" w:w="80"/>
              <w:right w:type="dxa" w:w="100"/>
            </w:tcMar>
          </w:tcPr>
          <w:p>
            <w:pPr>
              <w:jc w:val="right"/>
            </w:pPr>
            <w:r>
              <w:rPr>
                <w:b/>
                <w:bCs/>
                <w:color w:val="FFFFFF"/>
              </w:rPr>
              <w:t xml:space="preserve">Spesa totale</w:t>
            </w:r>
          </w:p>
        </w:tc>
        <w:tc>
          <w:tcPr>
            <w:tcW w:type="dxa" w:w="2600"/>
            <w:shd w:fill="1F2937" w:val="clear"/>
            <w:tcMar>
              <w:top w:type="dxa" w:w="80"/>
              <w:left w:type="dxa" w:w="100"/>
              <w:bottom w:type="dxa" w:w="80"/>
              <w:right w:type="dxa" w:w="100"/>
            </w:tcMar>
          </w:tcPr>
          <w:p>
            <w:pPr>
              <w:jc w:val="right"/>
            </w:pPr>
            <w:r>
              <w:rPr>
                <w:b/>
                <w:bCs/>
                <w:color w:val="FFFFFF"/>
              </w:rPr>
              <w:t xml:space="preserve">Prezzo medio</w:t>
            </w:r>
          </w:p>
        </w:tc>
      </w:tr>
      <w:tr>
        <w:tc>
          <w:tcPr>
            <w:tcW w:type="dxa" w:w="2600"/>
            <w:tcMar>
              <w:top w:type="dxa" w:w="80"/>
              <w:left w:type="dxa" w:w="100"/>
              <w:bottom w:type="dxa" w:w="80"/>
              <w:right w:type="dxa" w:w="100"/>
            </w:tcMar>
          </w:tcPr>
          <w:p>
            <w:pPr>
              <w:jc w:val="left"/>
            </w:pPr>
            <w:r>
              <w:rPr>
                <w:b w:val="false"/>
                <w:bCs w:val="false"/>
              </w:rPr>
              <w:t xml:space="preserve">Energia Elettrica 2025 (giu–dic)</w:t>
            </w:r>
          </w:p>
        </w:tc>
        <w:tc>
          <w:tcPr>
            <w:tcW w:type="dxa" w:w="2600"/>
            <w:tcMar>
              <w:top w:type="dxa" w:w="80"/>
              <w:left w:type="dxa" w:w="100"/>
              <w:bottom w:type="dxa" w:w="80"/>
              <w:right w:type="dxa" w:w="100"/>
            </w:tcMar>
          </w:tcPr>
          <w:p>
            <w:pPr>
              <w:jc w:val="right"/>
            </w:pPr>
            <w:r>
              <w:rPr>
                <w:b w:val="false"/>
                <w:bCs w:val="false"/>
              </w:rPr>
              <w:t xml:space="preserve">22.560 kWh</w:t>
            </w:r>
          </w:p>
        </w:tc>
        <w:tc>
          <w:tcPr>
            <w:tcW w:type="dxa" w:w="2600"/>
            <w:tcMar>
              <w:top w:type="dxa" w:w="80"/>
              <w:left w:type="dxa" w:w="100"/>
              <w:bottom w:type="dxa" w:w="80"/>
              <w:right w:type="dxa" w:w="100"/>
            </w:tcMar>
          </w:tcPr>
          <w:p>
            <w:pPr>
              <w:jc w:val="right"/>
            </w:pPr>
            <w:r>
              <w:rPr>
                <w:b w:val="false"/>
                <w:bCs w:val="false"/>
              </w:rPr>
              <w:t xml:space="preserve">7211,67 €</w:t>
            </w:r>
          </w:p>
        </w:tc>
        <w:tc>
          <w:tcPr>
            <w:tcW w:type="dxa" w:w="2600"/>
            <w:tcMar>
              <w:top w:type="dxa" w:w="80"/>
              <w:left w:type="dxa" w:w="100"/>
              <w:bottom w:type="dxa" w:w="80"/>
              <w:right w:type="dxa" w:w="100"/>
            </w:tcMar>
          </w:tcPr>
          <w:p>
            <w:pPr>
              <w:jc w:val="right"/>
            </w:pPr>
            <w:r>
              <w:rPr>
                <w:b w:val="false"/>
                <w:bCs w:val="false"/>
              </w:rPr>
              <w:t xml:space="preserve">0,32 €/kWh</w:t>
            </w:r>
          </w:p>
        </w:tc>
      </w:tr>
      <w:tr>
        <w:tc>
          <w:tcPr>
            <w:tcW w:type="dxa" w:w="2600"/>
            <w:tcMar>
              <w:top w:type="dxa" w:w="80"/>
              <w:left w:type="dxa" w:w="100"/>
              <w:bottom w:type="dxa" w:w="80"/>
              <w:right w:type="dxa" w:w="100"/>
            </w:tcMar>
          </w:tcPr>
          <w:p>
            <w:pPr>
              <w:jc w:val="left"/>
            </w:pPr>
            <w:r>
              <w:rPr>
                <w:b w:val="false"/>
                <w:bCs w:val="false"/>
              </w:rPr>
              <w:t xml:space="preserve">Energia Elettrica 2026 (gen–lug)</w:t>
            </w:r>
          </w:p>
        </w:tc>
        <w:tc>
          <w:tcPr>
            <w:tcW w:type="dxa" w:w="2600"/>
            <w:tcMar>
              <w:top w:type="dxa" w:w="80"/>
              <w:left w:type="dxa" w:w="100"/>
              <w:bottom w:type="dxa" w:w="80"/>
              <w:right w:type="dxa" w:w="100"/>
            </w:tcMar>
          </w:tcPr>
          <w:p>
            <w:pPr>
              <w:jc w:val="right"/>
            </w:pPr>
            <w:r>
              <w:rPr>
                <w:b w:val="false"/>
                <w:bCs w:val="false"/>
              </w:rPr>
              <w:t xml:space="preserve">23.272 kWh</w:t>
            </w:r>
          </w:p>
        </w:tc>
        <w:tc>
          <w:tcPr>
            <w:tcW w:type="dxa" w:w="2600"/>
            <w:tcMar>
              <w:top w:type="dxa" w:w="80"/>
              <w:left w:type="dxa" w:w="100"/>
              <w:bottom w:type="dxa" w:w="80"/>
              <w:right w:type="dxa" w:w="100"/>
            </w:tcMar>
          </w:tcPr>
          <w:p>
            <w:pPr>
              <w:jc w:val="right"/>
            </w:pPr>
            <w:r>
              <w:rPr>
                <w:b w:val="false"/>
                <w:bCs w:val="false"/>
              </w:rPr>
              <w:t xml:space="preserve">8454,41 €</w:t>
            </w:r>
          </w:p>
        </w:tc>
        <w:tc>
          <w:tcPr>
            <w:tcW w:type="dxa" w:w="2600"/>
            <w:tcMar>
              <w:top w:type="dxa" w:w="80"/>
              <w:left w:type="dxa" w:w="100"/>
              <w:bottom w:type="dxa" w:w="80"/>
              <w:right w:type="dxa" w:w="100"/>
            </w:tcMar>
          </w:tcPr>
          <w:p>
            <w:pPr>
              <w:jc w:val="right"/>
            </w:pPr>
            <w:r>
              <w:rPr>
                <w:b w:val="false"/>
                <w:bCs w:val="false"/>
              </w:rPr>
              <w:t xml:space="preserve">0,36 €/kWh</w:t>
            </w:r>
          </w:p>
        </w:tc>
      </w:tr>
      <w:tr>
        <w:tc>
          <w:tcPr>
            <w:tcW w:type="dxa" w:w="2600"/>
            <w:tcMar>
              <w:top w:type="dxa" w:w="80"/>
              <w:left w:type="dxa" w:w="100"/>
              <w:bottom w:type="dxa" w:w="80"/>
              <w:right w:type="dxa" w:w="100"/>
            </w:tcMar>
          </w:tcPr>
          <w:p>
            <w:pPr>
              <w:jc w:val="left"/>
            </w:pPr>
            <w:r>
              <w:rPr>
                <w:b w:val="false"/>
                <w:bCs w:val="false"/>
              </w:rPr>
              <w:t xml:space="preserve">Gas 2025 (giu–dic)</w:t>
            </w:r>
          </w:p>
        </w:tc>
        <w:tc>
          <w:tcPr>
            <w:tcW w:type="dxa" w:w="2600"/>
            <w:tcMar>
              <w:top w:type="dxa" w:w="80"/>
              <w:left w:type="dxa" w:w="100"/>
              <w:bottom w:type="dxa" w:w="80"/>
              <w:right w:type="dxa" w:w="100"/>
            </w:tcMar>
          </w:tcPr>
          <w:p>
            <w:pPr>
              <w:jc w:val="right"/>
            </w:pPr>
            <w:r>
              <w:rPr>
                <w:b w:val="false"/>
                <w:bCs w:val="false"/>
              </w:rPr>
              <w:t xml:space="preserve">2640 Smc</w:t>
            </w:r>
          </w:p>
        </w:tc>
        <w:tc>
          <w:tcPr>
            <w:tcW w:type="dxa" w:w="2600"/>
            <w:tcMar>
              <w:top w:type="dxa" w:w="80"/>
              <w:left w:type="dxa" w:w="100"/>
              <w:bottom w:type="dxa" w:w="80"/>
              <w:right w:type="dxa" w:w="100"/>
            </w:tcMar>
          </w:tcPr>
          <w:p>
            <w:pPr>
              <w:jc w:val="right"/>
            </w:pPr>
            <w:r>
              <w:rPr>
                <w:b w:val="false"/>
                <w:bCs w:val="false"/>
              </w:rPr>
              <w:t xml:space="preserve">3227,20 €</w:t>
            </w:r>
          </w:p>
        </w:tc>
        <w:tc>
          <w:tcPr>
            <w:tcW w:type="dxa" w:w="2600"/>
            <w:tcMar>
              <w:top w:type="dxa" w:w="80"/>
              <w:left w:type="dxa" w:w="100"/>
              <w:bottom w:type="dxa" w:w="80"/>
              <w:right w:type="dxa" w:w="100"/>
            </w:tcMar>
          </w:tcPr>
          <w:p>
            <w:pPr>
              <w:jc w:val="right"/>
            </w:pPr>
            <w:r>
              <w:rPr>
                <w:b w:val="false"/>
                <w:bCs w:val="false"/>
              </w:rPr>
              <w:t xml:space="preserve">1,222 €/Smc</w:t>
            </w:r>
          </w:p>
        </w:tc>
      </w:tr>
      <w:tr>
        <w:tc>
          <w:tcPr>
            <w:tcW w:type="dxa" w:w="2600"/>
            <w:tcMar>
              <w:top w:type="dxa" w:w="80"/>
              <w:left w:type="dxa" w:w="100"/>
              <w:bottom w:type="dxa" w:w="80"/>
              <w:right w:type="dxa" w:w="100"/>
            </w:tcMar>
          </w:tcPr>
          <w:p>
            <w:pPr>
              <w:jc w:val="left"/>
            </w:pPr>
            <w:r>
              <w:rPr>
                <w:b w:val="false"/>
                <w:bCs w:val="false"/>
              </w:rPr>
              <w:t xml:space="preserve">Gas 2026 (gen–lug)</w:t>
            </w:r>
          </w:p>
        </w:tc>
        <w:tc>
          <w:tcPr>
            <w:tcW w:type="dxa" w:w="2600"/>
            <w:tcMar>
              <w:top w:type="dxa" w:w="80"/>
              <w:left w:type="dxa" w:w="100"/>
              <w:bottom w:type="dxa" w:w="80"/>
              <w:right w:type="dxa" w:w="100"/>
            </w:tcMar>
          </w:tcPr>
          <w:p>
            <w:pPr>
              <w:jc w:val="right"/>
            </w:pPr>
            <w:r>
              <w:rPr>
                <w:b w:val="false"/>
                <w:bCs w:val="false"/>
              </w:rPr>
              <w:t xml:space="preserve">2550 Smc</w:t>
            </w:r>
          </w:p>
        </w:tc>
        <w:tc>
          <w:tcPr>
            <w:tcW w:type="dxa" w:w="2600"/>
            <w:tcMar>
              <w:top w:type="dxa" w:w="80"/>
              <w:left w:type="dxa" w:w="100"/>
              <w:bottom w:type="dxa" w:w="80"/>
              <w:right w:type="dxa" w:w="100"/>
            </w:tcMar>
          </w:tcPr>
          <w:p>
            <w:pPr>
              <w:jc w:val="right"/>
            </w:pPr>
            <w:r>
              <w:rPr>
                <w:b w:val="false"/>
                <w:bCs w:val="false"/>
              </w:rPr>
              <w:t xml:space="preserve">3842,07 €</w:t>
            </w:r>
          </w:p>
        </w:tc>
        <w:tc>
          <w:tcPr>
            <w:tcW w:type="dxa" w:w="2600"/>
            <w:tcMar>
              <w:top w:type="dxa" w:w="80"/>
              <w:left w:type="dxa" w:w="100"/>
              <w:bottom w:type="dxa" w:w="80"/>
              <w:right w:type="dxa" w:w="100"/>
            </w:tcMar>
          </w:tcPr>
          <w:p>
            <w:pPr>
              <w:jc w:val="right"/>
            </w:pPr>
            <w:r>
              <w:rPr>
                <w:b w:val="false"/>
                <w:bCs w:val="false"/>
              </w:rPr>
              <w:t xml:space="preserve">1,507 €/Smc</w:t>
            </w:r>
          </w:p>
        </w:tc>
      </w:tr>
    </w:tbl>
    <w:p>
      <w:pPr>
        <w:spacing w:after="200" w:before="120"/>
      </w:pPr>
      <w:r>
        <w:t xml:space="preserve">Il prezzo medio per kWh è cresciuto del </w:t>
      </w:r>
      <w:r>
        <w:rPr>
          <w:b/>
          <w:bCs/>
        </w:rPr>
        <w:t xml:space="preserve">13,6%</w:t>
      </w:r>
      <w:r>
        <w:t xml:space="preserve"> tra i due periodi confrontabili; il prezzo medio per Smc del gas è cresciuto del </w:t>
      </w:r>
      <w:r>
        <w:rPr>
          <w:b/>
          <w:bCs/>
        </w:rPr>
        <w:t xml:space="preserve">23,2%</w:t>
      </w:r>
      <w:r>
        <w:t xml:space="preserve">. Entrambi gli aumenti sono superiori alla sola dinamica degli indici di mercato (PUN/PSV) nello stesso periodo.</w:t>
      </w:r>
    </w:p>
    <w:p>
      <w:pPr>
        <w:pStyle w:val="Heading2"/>
        <w:spacing w:after="100" w:before="200"/>
      </w:pPr>
      <w:r>
        <w:t xml:space="preserve">2.1 Il trend si sta aggravando negli ultimi mesi</w:t>
      </w:r>
    </w:p>
    <w:p>
      <w:pPr>
        <w:spacing w:after="120"/>
      </w:pPr>
      <w:r>
        <w:t xml:space="preserve">Il confronto sui totali annui, da solo, non rende conto della velocità con cui la situazione sta peggiorando. Il confronto mese su mese degli ultimi due mesi disponibili è più eloquente:</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800"/>
        <w:gridCol w:w="2150"/>
        <w:gridCol w:w="2150"/>
        <w:gridCol w:w="2150"/>
        <w:gridCol w:w="2150"/>
      </w:tblGrid>
      <w:tr>
        <w:tc>
          <w:tcPr>
            <w:tcW w:type="dxa" w:w="1800"/>
            <w:shd w:fill="1F2937" w:val="clear"/>
            <w:tcMar>
              <w:top w:type="dxa" w:w="80"/>
              <w:left w:type="dxa" w:w="100"/>
              <w:bottom w:type="dxa" w:w="80"/>
              <w:right w:type="dxa" w:w="100"/>
            </w:tcMar>
          </w:tcPr>
          <w:p>
            <w:pPr>
              <w:jc w:val="left"/>
            </w:pPr>
            <w:r>
              <w:rPr>
                <w:b/>
                <w:bCs/>
                <w:color w:val="FFFFFF"/>
              </w:rPr>
              <w:t xml:space="preserve">Mese</w:t>
            </w:r>
          </w:p>
        </w:tc>
        <w:tc>
          <w:tcPr>
            <w:tcW w:type="dxa" w:w="2150"/>
            <w:shd w:fill="1F2937" w:val="clear"/>
            <w:tcMar>
              <w:top w:type="dxa" w:w="80"/>
              <w:left w:type="dxa" w:w="100"/>
              <w:bottom w:type="dxa" w:w="80"/>
              <w:right w:type="dxa" w:w="100"/>
            </w:tcMar>
          </w:tcPr>
          <w:p>
            <w:pPr>
              <w:jc w:val="right"/>
            </w:pPr>
            <w:r>
              <w:rPr>
                <w:b/>
                <w:bCs/>
                <w:color w:val="FFFFFF"/>
              </w:rPr>
              <w:t xml:space="preserve">Bolletta EE 2025</w:t>
            </w:r>
          </w:p>
        </w:tc>
        <w:tc>
          <w:tcPr>
            <w:tcW w:type="dxa" w:w="2150"/>
            <w:shd w:fill="1F2937" w:val="clear"/>
            <w:tcMar>
              <w:top w:type="dxa" w:w="80"/>
              <w:left w:type="dxa" w:w="100"/>
              <w:bottom w:type="dxa" w:w="80"/>
              <w:right w:type="dxa" w:w="100"/>
            </w:tcMar>
          </w:tcPr>
          <w:p>
            <w:pPr>
              <w:jc w:val="right"/>
            </w:pPr>
            <w:r>
              <w:rPr>
                <w:b/>
                <w:bCs/>
                <w:color w:val="FFFFFF"/>
              </w:rPr>
              <w:t xml:space="preserve">Bolletta EE 2026</w:t>
            </w:r>
          </w:p>
        </w:tc>
        <w:tc>
          <w:tcPr>
            <w:tcW w:type="dxa" w:w="2150"/>
            <w:shd w:fill="1F2937" w:val="clear"/>
            <w:tcMar>
              <w:top w:type="dxa" w:w="80"/>
              <w:left w:type="dxa" w:w="100"/>
              <w:bottom w:type="dxa" w:w="80"/>
              <w:right w:type="dxa" w:w="100"/>
            </w:tcMar>
          </w:tcPr>
          <w:p>
            <w:pPr>
              <w:jc w:val="right"/>
            </w:pPr>
            <w:r>
              <w:rPr>
                <w:b/>
                <w:bCs/>
                <w:color w:val="FFFFFF"/>
              </w:rPr>
              <w:t xml:space="preserve">Var. importo</w:t>
            </w:r>
          </w:p>
        </w:tc>
        <w:tc>
          <w:tcPr>
            <w:tcW w:type="dxa" w:w="2150"/>
            <w:shd w:fill="1F2937" w:val="clear"/>
            <w:tcMar>
              <w:top w:type="dxa" w:w="80"/>
              <w:left w:type="dxa" w:w="100"/>
              <w:bottom w:type="dxa" w:w="80"/>
              <w:right w:type="dxa" w:w="100"/>
            </w:tcMar>
          </w:tcPr>
          <w:p>
            <w:pPr>
              <w:jc w:val="right"/>
            </w:pPr>
            <w:r>
              <w:rPr>
                <w:b/>
                <w:bCs/>
                <w:color w:val="FFFFFF"/>
              </w:rPr>
              <w:t xml:space="preserve">Var. prezzo €/kWh</w:t>
            </w:r>
          </w:p>
        </w:tc>
      </w:tr>
      <w:tr>
        <w:tc>
          <w:tcPr>
            <w:tcW w:type="dxa" w:w="1800"/>
            <w:tcMar>
              <w:top w:type="dxa" w:w="80"/>
              <w:left w:type="dxa" w:w="100"/>
              <w:bottom w:type="dxa" w:w="80"/>
              <w:right w:type="dxa" w:w="100"/>
            </w:tcMar>
          </w:tcPr>
          <w:p>
            <w:pPr>
              <w:jc w:val="left"/>
            </w:pPr>
            <w:r>
              <w:rPr>
                <w:b w:val="false"/>
                <w:bCs w:val="false"/>
              </w:rPr>
              <w:t xml:space="preserve">Giugno</w:t>
            </w:r>
          </w:p>
        </w:tc>
        <w:tc>
          <w:tcPr>
            <w:tcW w:type="dxa" w:w="2150"/>
            <w:tcMar>
              <w:top w:type="dxa" w:w="80"/>
              <w:left w:type="dxa" w:w="100"/>
              <w:bottom w:type="dxa" w:w="80"/>
              <w:right w:type="dxa" w:w="100"/>
            </w:tcMar>
          </w:tcPr>
          <w:p>
            <w:pPr>
              <w:jc w:val="right"/>
            </w:pPr>
            <w:r>
              <w:rPr>
                <w:b w:val="false"/>
                <w:bCs w:val="false"/>
              </w:rPr>
              <w:t xml:space="preserve">1144,18 €</w:t>
            </w:r>
          </w:p>
        </w:tc>
        <w:tc>
          <w:tcPr>
            <w:tcW w:type="dxa" w:w="2150"/>
            <w:tcMar>
              <w:top w:type="dxa" w:w="80"/>
              <w:left w:type="dxa" w:w="100"/>
              <w:bottom w:type="dxa" w:w="80"/>
              <w:right w:type="dxa" w:w="100"/>
            </w:tcMar>
          </w:tcPr>
          <w:p>
            <w:pPr>
              <w:jc w:val="right"/>
            </w:pPr>
            <w:r>
              <w:rPr>
                <w:b w:val="false"/>
                <w:bCs w:val="false"/>
              </w:rPr>
              <w:t xml:space="preserve">1273,69 €</w:t>
            </w:r>
          </w:p>
        </w:tc>
        <w:tc>
          <w:tcPr>
            <w:tcW w:type="dxa" w:w="2150"/>
            <w:tcMar>
              <w:top w:type="dxa" w:w="80"/>
              <w:left w:type="dxa" w:w="100"/>
              <w:bottom w:type="dxa" w:w="80"/>
              <w:right w:type="dxa" w:w="100"/>
            </w:tcMar>
          </w:tcPr>
          <w:p>
            <w:pPr>
              <w:jc w:val="right"/>
            </w:pPr>
            <w:r>
              <w:rPr>
                <w:b w:val="false"/>
                <w:bCs w:val="false"/>
              </w:rPr>
              <w:t xml:space="preserve">+11,3%</w:t>
            </w:r>
          </w:p>
        </w:tc>
        <w:tc>
          <w:tcPr>
            <w:tcW w:type="dxa" w:w="2150"/>
            <w:tcMar>
              <w:top w:type="dxa" w:w="80"/>
              <w:left w:type="dxa" w:w="100"/>
              <w:bottom w:type="dxa" w:w="80"/>
              <w:right w:type="dxa" w:w="100"/>
            </w:tcMar>
          </w:tcPr>
          <w:p>
            <w:pPr>
              <w:jc w:val="right"/>
            </w:pPr>
            <w:r>
              <w:rPr>
                <w:b w:val="false"/>
                <w:bCs w:val="false"/>
              </w:rPr>
              <w:t xml:space="preserve">+11,2%</w:t>
            </w:r>
          </w:p>
        </w:tc>
      </w:tr>
      <w:tr>
        <w:tc>
          <w:tcPr>
            <w:tcW w:type="dxa" w:w="1800"/>
            <w:tcMar>
              <w:top w:type="dxa" w:w="80"/>
              <w:left w:type="dxa" w:w="100"/>
              <w:bottom w:type="dxa" w:w="80"/>
              <w:right w:type="dxa" w:w="100"/>
            </w:tcMar>
          </w:tcPr>
          <w:p>
            <w:pPr>
              <w:jc w:val="left"/>
            </w:pPr>
            <w:r>
              <w:rPr>
                <w:b w:val="false"/>
                <w:bCs w:val="false"/>
              </w:rPr>
              <w:t xml:space="preserve">Luglio</w:t>
            </w:r>
          </w:p>
        </w:tc>
        <w:tc>
          <w:tcPr>
            <w:tcW w:type="dxa" w:w="2150"/>
            <w:tcMar>
              <w:top w:type="dxa" w:w="80"/>
              <w:left w:type="dxa" w:w="100"/>
              <w:bottom w:type="dxa" w:w="80"/>
              <w:right w:type="dxa" w:w="100"/>
            </w:tcMar>
          </w:tcPr>
          <w:p>
            <w:pPr>
              <w:jc w:val="right"/>
            </w:pPr>
            <w:r>
              <w:rPr>
                <w:b w:val="false"/>
                <w:bCs w:val="false"/>
              </w:rPr>
              <w:t xml:space="preserve">1119,08 €</w:t>
            </w:r>
          </w:p>
        </w:tc>
        <w:tc>
          <w:tcPr>
            <w:tcW w:type="dxa" w:w="2150"/>
            <w:tcMar>
              <w:top w:type="dxa" w:w="80"/>
              <w:left w:type="dxa" w:w="100"/>
              <w:bottom w:type="dxa" w:w="80"/>
              <w:right w:type="dxa" w:w="100"/>
            </w:tcMar>
          </w:tcPr>
          <w:p>
            <w:pPr>
              <w:jc w:val="right"/>
            </w:pPr>
            <w:r>
              <w:rPr>
                <w:b w:val="false"/>
                <w:bCs w:val="false"/>
              </w:rPr>
              <w:t xml:space="preserve">1399,50 €</w:t>
            </w:r>
          </w:p>
        </w:tc>
        <w:tc>
          <w:tcPr>
            <w:tcW w:type="dxa" w:w="2150"/>
            <w:tcMar>
              <w:top w:type="dxa" w:w="80"/>
              <w:left w:type="dxa" w:w="100"/>
              <w:bottom w:type="dxa" w:w="80"/>
              <w:right w:type="dxa" w:w="100"/>
            </w:tcMar>
          </w:tcPr>
          <w:p>
            <w:pPr>
              <w:jc w:val="right"/>
            </w:pPr>
            <w:r>
              <w:rPr>
                <w:b w:val="false"/>
                <w:bCs w:val="false"/>
              </w:rPr>
              <w:t xml:space="preserve">+25,1%</w:t>
            </w:r>
          </w:p>
        </w:tc>
        <w:tc>
          <w:tcPr>
            <w:tcW w:type="dxa" w:w="2150"/>
            <w:tcMar>
              <w:top w:type="dxa" w:w="80"/>
              <w:left w:type="dxa" w:w="100"/>
              <w:bottom w:type="dxa" w:w="80"/>
              <w:right w:type="dxa" w:w="100"/>
            </w:tcMar>
          </w:tcPr>
          <w:p>
            <w:pPr>
              <w:jc w:val="right"/>
            </w:pPr>
            <w:r>
              <w:rPr>
                <w:b w:val="false"/>
                <w:bCs w:val="false"/>
              </w:rPr>
              <w:t xml:space="preserve">+31,0%</w:t>
            </w:r>
          </w:p>
        </w:tc>
      </w:tr>
    </w:tbl>
    <w:p>
      <w:pPr>
        <w:spacing w:after="200" w:before="120"/>
      </w:pPr>
      <w:r>
        <w:t xml:space="preserve">In sole cinque settimane il prezzo medio al kWh è passato da 0,349 €/kWh (giugno 2026) a 0,398 €/kWh (luglio 2026): un ulteriore </w:t>
      </w:r>
      <w:r>
        <w:rPr>
          <w:b/>
          <w:bCs/>
        </w:rPr>
        <w:t xml:space="preserve">+14% nel giro di un solo mese</w:t>
      </w:r>
      <w:r>
        <w:t xml:space="preserve">, segno che l'aumento non è un episodio isolato ma un trend in accelerazione.</w:t>
      </w:r>
    </w:p>
    <w:p>
      <w:pPr>
        <w:pStyle w:val="Heading1"/>
        <w:spacing w:after="120" w:before="280"/>
      </w:pPr>
      <w:r>
        <w:t xml:space="preserve">3. Criticità riscontrate</w:t>
      </w:r>
    </w:p>
    <w:p>
      <w:pPr>
        <w:pStyle w:val="Heading2"/>
        <w:spacing w:after="100" w:before="200"/>
      </w:pPr>
      <w:r>
        <w:t xml:space="preserve">3.1 Conguagli retroattivi ripetuti sul gas</w:t>
      </w:r>
    </w:p>
    <w:p>
      <w:pPr>
        <w:spacing w:after="120"/>
      </w:pPr>
      <w:r>
        <w:t xml:space="preserve">Nel periodo analizzato si sono verificati due conguagli di importo rilevante, entrambi originati da letture stimate significativamente inferiori al consumo reale, corrette solo in occasione di un'autolettura o di un cambio di intestazione:</w:t>
      </w:r>
    </w:p>
    <w:p>
      <w:pPr>
        <w:pStyle w:val="ListParagraph"/>
        <w:numPr>
          <w:ilvl w:val="0"/>
          <w:numId w:val="1"/>
        </w:numPr>
        <w:spacing w:after="80"/>
      </w:pPr>
      <w:r>
        <w:t xml:space="preserve">Fattura di ottobre 2025 (GN00432592/2025): conguaglio retroattivo di 790,93 € (848 Smc) relativo ai mesi maggio–settembre 2025, emerso solo a seguito di un'autolettura del 21/10/2025.</w:t>
      </w:r>
    </w:p>
    <w:p>
      <w:pPr>
        <w:pStyle w:val="ListParagraph"/>
        <w:numPr>
          <w:ilvl w:val="0"/>
          <w:numId w:val="1"/>
        </w:numPr>
        <w:spacing w:after="80"/>
      </w:pPr>
      <w:r>
        <w:t xml:space="preserve">Fattura di gennaio 2026 (GN00041777/2026): conguaglio di 372,66 € relativo a novembre–dicembre 2025, emerso in occasione del cambio di intestazione della fornitura.</w:t>
      </w:r>
    </w:p>
    <w:p>
      <w:pPr>
        <w:spacing w:after="120"/>
      </w:pPr>
      <w:r>
        <w:t xml:space="preserve">Questi conguagli, sommandosi a oneri una tantum (es. 117,94 € di voltura nella fattura di gennaio 2026), generano picchi di spesa imprevedibili che rendono difficile la pianificazione dei costi energetici dell'attività.</w:t>
      </w:r>
    </w:p>
    <w:p>
      <w:pPr>
        <w:pStyle w:val="Heading2"/>
        <w:spacing w:after="100" w:before="200"/>
      </w:pPr>
      <w:r>
        <w:t xml:space="preserve">3.2 Potenza contrattuale non adeguata ai consumi reali</w:t>
      </w:r>
    </w:p>
    <w:p>
      <w:pPr>
        <w:spacing w:after="120"/>
      </w:pPr>
      <w:r>
        <w:t xml:space="preserve">Dall'analisi delle bollette elettriche più recenti risulta che i picchi di potenza prelevata (23–25 kW) superano regolarmente la potenza contrattualmente impegnata (20 kW), esponendo l'utenza a possibili penali o costi aggiuntivi per superamento soglia.</w:t>
      </w:r>
    </w:p>
    <w:p>
      <w:pPr>
        <w:pStyle w:val="Heading2"/>
        <w:spacing w:after="100" w:before="200"/>
      </w:pPr>
      <w:r>
        <w:t xml:space="preserve">3.3 Incremento del prezzo medio unitario</w:t>
      </w:r>
    </w:p>
    <w:p>
      <w:pPr>
        <w:spacing w:after="120"/>
      </w:pPr>
      <w:r>
        <w:t xml:space="preserve">Come indicato al punto 2, sia il prezzo medio dell'energia elettrica sia quello del gas sono aumentati in modo significativo tra il 2025 e il 2026, con uno spread applicato rispetto agli indici di riferimento (PUN per l'elettrico, PSV per il gas) che, da una prima verifica, risulta superiore alla media di mercato per utenze di profilo analogo.</w:t>
      </w:r>
    </w:p>
    <w:p>
      <w:pPr>
        <w:pStyle w:val="Heading2"/>
        <w:spacing w:after="100" w:before="200"/>
      </w:pPr>
      <w:r>
        <w:t xml:space="preserve">3.4 Il mercato offre condizioni migliori a PMI con profilo analogo</w:t>
      </w:r>
    </w:p>
    <w:p>
      <w:pPr>
        <w:spacing w:after="120"/>
      </w:pPr>
      <w:r>
        <w:t xml:space="preserve">Una verifica preliminare delle offerte attualmente disponibili per piccole e medie imprese con potenza e consumi comparabili a quelli di Basilico conferma che esistono soluzioni a prezzo realmente bloccato, a condizioni più favorevoli di quelle applicate ad oggi:</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900"/>
        <w:gridCol w:w="2400"/>
        <w:gridCol w:w="3200"/>
        <w:gridCol w:w="1900"/>
      </w:tblGrid>
      <w:tr>
        <w:tc>
          <w:tcPr>
            <w:tcW w:type="dxa" w:w="2900"/>
            <w:shd w:fill="1F2937" w:val="clear"/>
            <w:tcMar>
              <w:top w:type="dxa" w:w="80"/>
              <w:left w:type="dxa" w:w="100"/>
              <w:bottom w:type="dxa" w:w="80"/>
              <w:right w:type="dxa" w:w="100"/>
            </w:tcMar>
          </w:tcPr>
          <w:p>
            <w:pPr>
              <w:jc w:val="left"/>
            </w:pPr>
            <w:r>
              <w:rPr>
                <w:b/>
                <w:bCs/>
                <w:color w:val="FFFFFF"/>
              </w:rPr>
              <w:t xml:space="preserve">Fornitore / Offerta</w:t>
            </w:r>
          </w:p>
        </w:tc>
        <w:tc>
          <w:tcPr>
            <w:tcW w:type="dxa" w:w="2400"/>
            <w:shd w:fill="1F2937" w:val="clear"/>
            <w:tcMar>
              <w:top w:type="dxa" w:w="80"/>
              <w:left w:type="dxa" w:w="100"/>
              <w:bottom w:type="dxa" w:w="80"/>
              <w:right w:type="dxa" w:w="100"/>
            </w:tcMar>
          </w:tcPr>
          <w:p>
            <w:pPr>
              <w:jc w:val="right"/>
            </w:pPr>
            <w:r>
              <w:rPr>
                <w:b/>
                <w:bCs/>
                <w:color w:val="FFFFFF"/>
              </w:rPr>
              <w:t xml:space="preserve">Utenza</w:t>
            </w:r>
          </w:p>
        </w:tc>
        <w:tc>
          <w:tcPr>
            <w:tcW w:type="dxa" w:w="3200"/>
            <w:shd w:fill="1F2937" w:val="clear"/>
            <w:tcMar>
              <w:top w:type="dxa" w:w="80"/>
              <w:left w:type="dxa" w:w="100"/>
              <w:bottom w:type="dxa" w:w="80"/>
              <w:right w:type="dxa" w:w="100"/>
            </w:tcMar>
          </w:tcPr>
          <w:p>
            <w:pPr>
              <w:jc w:val="right"/>
            </w:pPr>
            <w:r>
              <w:rPr>
                <w:b/>
                <w:bCs/>
                <w:color w:val="FFFFFF"/>
              </w:rPr>
              <w:t xml:space="preserve">Condizioni</w:t>
            </w:r>
          </w:p>
        </w:tc>
        <w:tc>
          <w:tcPr>
            <w:tcW w:type="dxa" w:w="1900"/>
            <w:shd w:fill="1F2937" w:val="clear"/>
            <w:tcMar>
              <w:top w:type="dxa" w:w="80"/>
              <w:left w:type="dxa" w:w="100"/>
              <w:bottom w:type="dxa" w:w="80"/>
              <w:right w:type="dxa" w:w="100"/>
            </w:tcMar>
          </w:tcPr>
          <w:p>
            <w:pPr>
              <w:jc w:val="right"/>
            </w:pPr>
            <w:r>
              <w:rPr>
                <w:b/>
                <w:bCs/>
                <w:color w:val="FFFFFF"/>
              </w:rPr>
              <w:t xml:space="preserve">Durata blocco</w:t>
            </w:r>
          </w:p>
        </w:tc>
      </w:tr>
      <w:tr>
        <w:tc>
          <w:tcPr>
            <w:tcW w:type="dxa" w:w="2900"/>
            <w:tcMar>
              <w:top w:type="dxa" w:w="80"/>
              <w:left w:type="dxa" w:w="100"/>
              <w:bottom w:type="dxa" w:w="80"/>
              <w:right w:type="dxa" w:w="100"/>
            </w:tcMar>
          </w:tcPr>
          <w:p>
            <w:pPr>
              <w:jc w:val="left"/>
            </w:pPr>
            <w:r>
              <w:rPr>
                <w:b w:val="false"/>
                <w:bCs w:val="false"/>
              </w:rPr>
              <w:t xml:space="preserve">Enel Business Super Luce</w:t>
            </w:r>
          </w:p>
        </w:tc>
        <w:tc>
          <w:tcPr>
            <w:tcW w:type="dxa" w:w="2400"/>
            <w:tcMar>
              <w:top w:type="dxa" w:w="80"/>
              <w:left w:type="dxa" w:w="100"/>
              <w:bottom w:type="dxa" w:w="80"/>
              <w:right w:type="dxa" w:w="100"/>
            </w:tcMar>
          </w:tcPr>
          <w:p>
            <w:pPr>
              <w:jc w:val="right"/>
            </w:pPr>
            <w:r>
              <w:rPr>
                <w:b w:val="false"/>
                <w:bCs w:val="false"/>
              </w:rPr>
              <w:t xml:space="preserve">Elettrico (3–25 kW)</w:t>
            </w:r>
          </w:p>
        </w:tc>
        <w:tc>
          <w:tcPr>
            <w:tcW w:type="dxa" w:w="3200"/>
            <w:tcMar>
              <w:top w:type="dxa" w:w="80"/>
              <w:left w:type="dxa" w:w="100"/>
              <w:bottom w:type="dxa" w:w="80"/>
              <w:right w:type="dxa" w:w="100"/>
            </w:tcMar>
          </w:tcPr>
          <w:p>
            <w:pPr>
              <w:jc w:val="right"/>
            </w:pPr>
            <w:r>
              <w:rPr>
                <w:b w:val="false"/>
                <w:bCs w:val="false"/>
              </w:rPr>
              <w:t xml:space="preserve">0,161 €/kWh + 15 €/POD/mese*</w:t>
            </w:r>
          </w:p>
        </w:tc>
        <w:tc>
          <w:tcPr>
            <w:tcW w:type="dxa" w:w="1900"/>
            <w:tcMar>
              <w:top w:type="dxa" w:w="80"/>
              <w:left w:type="dxa" w:w="100"/>
              <w:bottom w:type="dxa" w:w="80"/>
              <w:right w:type="dxa" w:w="100"/>
            </w:tcMar>
          </w:tcPr>
          <w:p>
            <w:pPr>
              <w:jc w:val="right"/>
            </w:pPr>
            <w:r>
              <w:rPr>
                <w:b w:val="false"/>
                <w:bCs w:val="false"/>
              </w:rPr>
              <w:t xml:space="preserve">24 mesi</w:t>
            </w:r>
          </w:p>
        </w:tc>
      </w:tr>
      <w:tr>
        <w:tc>
          <w:tcPr>
            <w:tcW w:type="dxa" w:w="2900"/>
            <w:tcMar>
              <w:top w:type="dxa" w:w="80"/>
              <w:left w:type="dxa" w:w="100"/>
              <w:bottom w:type="dxa" w:w="80"/>
              <w:right w:type="dxa" w:w="100"/>
            </w:tcMar>
          </w:tcPr>
          <w:p>
            <w:pPr>
              <w:jc w:val="left"/>
            </w:pPr>
            <w:r>
              <w:rPr>
                <w:b w:val="false"/>
                <w:bCs w:val="false"/>
              </w:rPr>
              <w:t xml:space="preserve">Enel Fix Business Gas</w:t>
            </w:r>
          </w:p>
        </w:tc>
        <w:tc>
          <w:tcPr>
            <w:tcW w:type="dxa" w:w="2400"/>
            <w:tcMar>
              <w:top w:type="dxa" w:w="80"/>
              <w:left w:type="dxa" w:w="100"/>
              <w:bottom w:type="dxa" w:w="80"/>
              <w:right w:type="dxa" w:w="100"/>
            </w:tcMar>
          </w:tcPr>
          <w:p>
            <w:pPr>
              <w:jc w:val="right"/>
            </w:pPr>
            <w:r>
              <w:rPr>
                <w:b w:val="false"/>
                <w:bCs w:val="false"/>
              </w:rPr>
              <w:t xml:space="preserve">Gas</w:t>
            </w:r>
          </w:p>
        </w:tc>
        <w:tc>
          <w:tcPr>
            <w:tcW w:type="dxa" w:w="3200"/>
            <w:tcMar>
              <w:top w:type="dxa" w:w="80"/>
              <w:left w:type="dxa" w:w="100"/>
              <w:bottom w:type="dxa" w:w="80"/>
              <w:right w:type="dxa" w:w="100"/>
            </w:tcMar>
          </w:tcPr>
          <w:p>
            <w:pPr>
              <w:jc w:val="right"/>
            </w:pPr>
            <w:r>
              <w:rPr>
                <w:b w:val="false"/>
                <w:bCs w:val="false"/>
              </w:rPr>
              <w:t xml:space="preserve">~0,56 €/Smc + 15 €/PDR/mese*</w:t>
            </w:r>
          </w:p>
        </w:tc>
        <w:tc>
          <w:tcPr>
            <w:tcW w:type="dxa" w:w="1900"/>
            <w:tcMar>
              <w:top w:type="dxa" w:w="80"/>
              <w:left w:type="dxa" w:w="100"/>
              <w:bottom w:type="dxa" w:w="80"/>
              <w:right w:type="dxa" w:w="100"/>
            </w:tcMar>
          </w:tcPr>
          <w:p>
            <w:pPr>
              <w:jc w:val="right"/>
            </w:pPr>
            <w:r>
              <w:rPr>
                <w:b w:val="false"/>
                <w:bCs w:val="false"/>
              </w:rPr>
              <w:t xml:space="preserve">24 mesi</w:t>
            </w:r>
          </w:p>
        </w:tc>
      </w:tr>
    </w:tbl>
    <w:p>
      <w:pPr>
        <w:spacing w:after="120" w:before="80"/>
      </w:pPr>
      <w:r>
        <w:rPr>
          <w:i/>
          <w:iCs/>
          <w:color w:val="64748B"/>
          <w:sz w:val="18"/>
          <w:szCs w:val="18"/>
        </w:rPr>
        <w:t xml:space="preserve">* Prezzi riferiti alla sola componente energia/materia prima, IVA e imposte escluse; condizioni pubbliche rilevate ad agosto 2026, da riverificare al momento dell'eventuale adesione.</w:t>
      </w:r>
    </w:p>
    <w:p>
      <w:pPr>
        <w:spacing w:after="120"/>
      </w:pPr>
      <w:r>
        <w:t xml:space="preserve">Enel Business Super Luce copre esattamente la fascia di potenza contrattuale di Basilico (3–25 kW) e blocca il prezzo per 24 mesi; analogamente l'offerta gas a prezzo fisso Enel copre un profilo di consumo pienamente compatibile con quello di Basilico (~2.600 Smc/anno). Si tratta di un solo esempio tra i fornitori consultati: il punto centrale è che la protezione dai rincari è oggi disponibile sul mercato per aziende con lo stesso profilo, e non viene attualmente offerta da FuturEnergy in una forma equivalente.</w:t>
      </w:r>
    </w:p>
    <w:p>
      <w:pPr>
        <w:pStyle w:val="Heading1"/>
        <w:spacing w:after="120" w:before="280"/>
      </w:pPr>
      <w:r>
        <w:t xml:space="preserve">4. Richieste al broker / al fornitore</w:t>
      </w:r>
    </w:p>
    <w:p>
      <w:pPr>
        <w:spacing w:after="120"/>
      </w:pPr>
      <w:r>
        <w:t xml:space="preserve">Alla luce di quanto sopra, si richiede di sottoporre a FuturEnergy le seguenti richieste in modo formale, con l'obiettivo di ottenere una </w:t>
      </w:r>
      <w:r>
        <w:rPr>
          <w:b/>
          <w:bCs/>
        </w:rPr>
        <w:t xml:space="preserve">tutela reale e non solo dichiarata</w:t>
      </w:r>
      <w:r>
        <w:t xml:space="preserve">, coerente con quanto già offerto sul mercato ad altre PMI in questa fase:</w:t>
      </w:r>
    </w:p>
    <w:p>
      <w:pPr>
        <w:pStyle w:val="ListParagraph"/>
        <w:numPr>
          <w:ilvl w:val="0"/>
          <w:numId w:val="1"/>
        </w:numPr>
        <w:spacing w:after="80"/>
      </w:pPr>
      <w:r>
        <w:t xml:space="preserve">Blocco immediato del prezzo dell'energia elettrica su un'offerta a prezzo fisso, o quantomeno l'introduzione di un tetto massimo di variazione mensile, per porre fine agli aumenti a doppia cifra registrati negli ultimi due mesi (+11,2% a giugno, +31,0% a luglio sul solo prezzo unitario). Come indicato al punto 3.4, il mercato offre attualmente a PMI con profilo analogo condizioni a prezzo bloccato per 24 mesi: si richiede una proposta comparabile.</w:t>
      </w:r>
    </w:p>
    <w:p>
      <w:pPr>
        <w:pStyle w:val="ListParagraph"/>
        <w:numPr>
          <w:ilvl w:val="0"/>
          <w:numId w:val="1"/>
        </w:numPr>
        <w:spacing w:after="80"/>
      </w:pPr>
      <w:r>
        <w:t xml:space="preserve">Rivalutazione dello spread/margine applicato rispetto agli indici PUN e PSV, alla luce delle condizioni di mercato attuali per un profilo di consumo analogo (~23.000 kWh/anno elettrico, ~2.600 Smc/anno gas): l'aumento riscontrato non trova giustificazione nella sola dinamica degli indici di riferimento.</w:t>
      </w:r>
    </w:p>
    <w:p>
      <w:pPr>
        <w:pStyle w:val="ListParagraph"/>
        <w:numPr>
          <w:ilvl w:val="0"/>
          <w:numId w:val="1"/>
        </w:numPr>
        <w:spacing w:after="80"/>
      </w:pPr>
      <w:r>
        <w:t xml:space="preserve">Passaggio a lettura reale o telelettura con cadenza più frequente sul punto gas, per ridurre lo scostamento tra consumi stimati e consuntivi ed evitare nuovi conguagli di importo rilevante come quelli già subiti (790,93 € e 372,66 €).</w:t>
      </w:r>
    </w:p>
    <w:p>
      <w:pPr>
        <w:pStyle w:val="ListParagraph"/>
        <w:numPr>
          <w:ilvl w:val="0"/>
          <w:numId w:val="1"/>
        </w:numPr>
        <w:spacing w:after="80"/>
      </w:pPr>
      <w:r>
        <w:t xml:space="preserve">Verifica e adeguamento della potenza contrattuale elettrica ai consumi reali (o attivazione di una soglia di salvaguardia), per evitare rischi di sospensione della fornitura o costi aggiuntivi per sforamento.</w:t>
      </w:r>
    </w:p>
    <w:p>
      <w:pPr>
        <w:pStyle w:val="ListParagraph"/>
        <w:numPr>
          <w:ilvl w:val="0"/>
          <w:numId w:val="1"/>
        </w:numPr>
        <w:spacing w:after="80"/>
      </w:pPr>
      <w:r>
        <w:t xml:space="preserve">Impegno scritto a comunicare tempestivamente eventuali conguagli significativi, con dettaglio delle causali, non appena disponibili — anziché in un'unica fattura cumulativa a distanza di mesi.</w:t>
      </w:r>
    </w:p>
    <w:p>
      <w:pPr>
        <w:spacing w:before="120"/>
      </w:pPr>
      <w:r>
        <w:t xml:space="preserve">Qualora FuturEnergy non fosse in grado di offrire condizioni di prezzo bloccato in linea con quanto disponibile altrove sul mercato per una PMI con questo profilo di consumo, si richiede al broker di predisporre un confronto formale con altri fornitori, così da valutare concretamente un cambio di fornitura.</w:t>
      </w:r>
    </w:p>
    <w:p>
      <w:pPr>
        <w:pStyle w:val="Heading1"/>
        <w:spacing w:after="120" w:before="280"/>
      </w:pPr>
      <w:r>
        <w:t xml:space="preserve">5. Conclusione</w:t>
      </w:r>
    </w:p>
    <w:p>
      <w:pPr>
        <w:spacing w:after="120"/>
      </w:pPr>
      <w:r>
        <w:t xml:space="preserve">Gli aumenti registrati negli ultimi mesi non sono più accettabili in assenza di una risposta concreta da parte del fornitore. Si richiede un incontro, anche telefonico, </w:t>
      </w:r>
      <w:r>
        <w:rPr>
          <w:b/>
          <w:bCs/>
        </w:rPr>
        <w:t xml:space="preserve">entro le prossime due settimane</w:t>
      </w:r>
      <w:r>
        <w:t xml:space="preserve">, per discutere le presenti richieste e ricevere una proposta aggiornata — in primis su un blocco del prezzo — che garantisca stabilità e prevedibilità dei costi energetici per i prossimi mesi.</w:t>
      </w:r>
    </w:p>
    <w:p>
      <w:pPr>
        <w:spacing w:before="300"/>
      </w:pPr>
      <w:r>
        <w:rPr>
          <w:b/>
          <w:bCs/>
        </w:rPr>
        <w:t xml:space="preserve">Basilico di Bonino Alessandro</w:t>
      </w:r>
    </w:p>
    <w:p>
      <w:r>
        <w:rPr>
          <w:color w:val="64748B"/>
          <w:sz w:val="20"/>
          <w:szCs w:val="20"/>
        </w:rPr>
        <w:t xml:space="preserve">Via Corniglia 22, 16152 Genova (GE)</w:t>
      </w:r>
    </w:p>
    <w:sectPr>
      <w:pgSz w:w="11906" w:h="16838"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2026-08-24T17:37:13.473Z</dcterms:created>
  <dcterms:modified xsi:type="dcterms:W3CDTF">2026-08-24T17:37:13.474Z</dcterms:modified>
</cp:coreProperties>
</file>

<file path=docProps/custom.xml><?xml version="1.0" encoding="utf-8"?>
<Properties xmlns="http://schemas.openxmlformats.org/officeDocument/2006/custom-properties" xmlns:vt="http://schemas.openxmlformats.org/officeDocument/2006/docPropsVTypes"/>
</file>