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Helios Cloud Service Agreement</w:t>
      </w:r>
    </w:p>
    <w:p>
      <w:r>
        <w:t>This agreement is made between Helios Cloud Ltd (the Provider) and the customer named in the order form (the Customer). It is a synthetic sample document used for software testing.</w:t>
      </w:r>
    </w:p>
    <w:p>
      <w:pPr>
        <w:pStyle w:val="Heading1"/>
      </w:pPr>
      <w:r>
        <w:t>1. Service Levels</w:t>
      </w:r>
    </w:p>
    <w:p>
      <w:r>
        <w:t>The Provider guarantees a monthly uptime of 99.9% for the production environment, measured per calendar month. Scheduled maintenance takes place on Sundays between 02:00 and 04:00 UTC and is not counted as downtime.</w:t>
      </w:r>
    </w:p>
    <w:p>
      <w:pPr>
        <w:pStyle w:val="Heading2"/>
      </w:pPr>
      <w:r>
        <w:t>1.1 Service Credits</w:t>
      </w:r>
    </w:p>
    <w:p>
      <w:r>
        <w:t>If monthly uptime falls below 99.9% but is at least 99.0%, the Customer receives a service credit of 10% of the monthly fee. If monthly uptime falls below 99.0%, the service credit is 25% of the monthly fee. Credits must be requested within 30 days.</w:t>
      </w:r>
    </w:p>
    <w:p>
      <w:pPr>
        <w:pStyle w:val="Heading1"/>
      </w:pPr>
      <w:r>
        <w:t>2. Support</w:t>
      </w:r>
    </w:p>
    <w:p>
      <w:r>
        <w:t>Support requests are classified by priority. Initial response targets are listed below.</w:t>
      </w:r>
    </w:p>
    <w:tbl>
      <w:tblPr>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Initial response</w:t>
            </w:r>
          </w:p>
        </w:tc>
        <w:tc>
          <w:tcPr>
            <w:tcW w:type="dxa" w:w="2880"/>
          </w:tcPr>
          <w:p>
            <w:r>
              <w:t>Availability</w:t>
            </w:r>
          </w:p>
        </w:tc>
      </w:tr>
      <w:tr>
        <w:tc>
          <w:tcPr>
            <w:tcW w:type="dxa" w:w="2880"/>
          </w:tcPr>
          <w:p>
            <w:r>
              <w:t>P1 - service down</w:t>
            </w:r>
          </w:p>
        </w:tc>
        <w:tc>
          <w:tcPr>
            <w:tcW w:type="dxa" w:w="2880"/>
          </w:tcPr>
          <w:p>
            <w:r>
              <w:t>1 hour</w:t>
            </w:r>
          </w:p>
        </w:tc>
        <w:tc>
          <w:tcPr>
            <w:tcW w:type="dxa" w:w="2880"/>
          </w:tcPr>
          <w:p>
            <w:r>
              <w:t>24/7 on the Premium plan only</w:t>
            </w:r>
          </w:p>
        </w:tc>
      </w:tr>
      <w:tr>
        <w:tc>
          <w:tcPr>
            <w:tcW w:type="dxa" w:w="2880"/>
          </w:tcPr>
          <w:p>
            <w:r>
              <w:t>P2 - major degradation</w:t>
            </w:r>
          </w:p>
        </w:tc>
        <w:tc>
          <w:tcPr>
            <w:tcW w:type="dxa" w:w="2880"/>
          </w:tcPr>
          <w:p>
            <w:r>
              <w:t>4 hours</w:t>
            </w:r>
          </w:p>
        </w:tc>
        <w:tc>
          <w:tcPr>
            <w:tcW w:type="dxa" w:w="2880"/>
          </w:tcPr>
          <w:p>
            <w:r>
              <w:t>Business days 08:00-18:00 CET</w:t>
            </w:r>
          </w:p>
        </w:tc>
      </w:tr>
      <w:tr>
        <w:tc>
          <w:tcPr>
            <w:tcW w:type="dxa" w:w="2880"/>
          </w:tcPr>
          <w:p>
            <w:r>
              <w:t>P3 - minor issue</w:t>
            </w:r>
          </w:p>
        </w:tc>
        <w:tc>
          <w:tcPr>
            <w:tcW w:type="dxa" w:w="2880"/>
          </w:tcPr>
          <w:p>
            <w:r>
              <w:t>1 business day</w:t>
            </w:r>
          </w:p>
        </w:tc>
        <w:tc>
          <w:tcPr>
            <w:tcW w:type="dxa" w:w="2880"/>
          </w:tcPr>
          <w:p>
            <w:r>
              <w:t>Business days 08:00-18:00 CET</w:t>
            </w:r>
          </w:p>
        </w:tc>
      </w:tr>
    </w:tbl>
    <w:p>
      <w:pPr>
        <w:pStyle w:val="Heading1"/>
      </w:pPr>
      <w:r>
        <w:t>3. Fees and Payment</w:t>
      </w:r>
    </w:p>
    <w:p>
      <w:r>
        <w:t>Invoices are payable within 30 days of the invoice date. Late payments accrue interest at 1.5% per month. The Provider may increase fees once per year, by no more than 5% of the previous annual fee.</w:t>
      </w:r>
    </w:p>
    <w:p>
      <w:pPr>
        <w:pStyle w:val="Heading1"/>
      </w:pPr>
      <w:r>
        <w:t>4. Data Protection</w:t>
      </w:r>
    </w:p>
    <w:p>
      <w:r>
        <w:t>Customer data is stored exclusively in the Frankfurt (Germany) region. Daily backups are kept for 35 days. The Provider notifies the Customer of a personal data breach without undue delay and in any case within 72 hours.</w:t>
      </w:r>
    </w:p>
    <w:p>
      <w:pPr>
        <w:pStyle w:val="Heading2"/>
      </w:pPr>
      <w:r>
        <w:t>4.1 Data After Termination</w:t>
      </w:r>
    </w:p>
    <w:p>
      <w:r>
        <w:t>After termination the Customer can export its data for 30 days. After that period all Customer data is permanently deleted.</w:t>
      </w:r>
    </w:p>
    <w:p>
      <w:pPr>
        <w:pStyle w:val="Heading1"/>
      </w:pPr>
      <w:r>
        <w:t>5. Termination</w:t>
      </w:r>
    </w:p>
    <w:p>
      <w:r>
        <w:t>Either party may terminate this agreement with 60 days written notice. Either party may terminate immediately if the other party commits a material breach and does not remedy it within 30 days of written notice.</w:t>
      </w:r>
    </w:p>
    <w:p>
      <w:pPr>
        <w:pStyle w:val="Heading1"/>
      </w:pPr>
      <w:r>
        <w:t>6. Liability</w:t>
      </w:r>
    </w:p>
    <w:p>
      <w:r>
        <w:t>The total liability of the Provider is limited to the fees paid by the Customer in the 12 months preceding the claim. The Provider is not liable for indirect or consequential damages.</w:t>
      </w:r>
    </w:p>
    <w:p>
      <w:pPr>
        <w:pStyle w:val="Heading1"/>
      </w:pPr>
      <w:r>
        <w:t>7. Governing Law</w:t>
      </w:r>
    </w:p>
    <w:p>
      <w:r>
        <w:t>This agreement is governed by the laws of Ireland. The courts of Dublin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Cloud Service Agreement (synthetic sample)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