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Phase 2 Research Plan</w:t>
      </w:r>
    </w:p>
    <w:p>
      <w:pPr>
        <w:spacing w:after="200"/>
        <w:jc w:val="center"/>
      </w:pPr>
      <w:r>
        <w:rPr>
          <w:rFonts w:ascii="Calibri" w:cs="Calibri" w:eastAsia="Calibri" w:hAnsi="Calibri"/>
          <w:i/>
          <w:iCs/>
          <w:sz w:val="24"/>
          <w:szCs w:val="24"/>
        </w:rPr>
        <w:t xml:space="preserve">Mechanism, Generalization, and Scale-Up of Cross-Paradigm Explanation Divergence</w:t>
      </w:r>
    </w:p>
    <w:p>
      <w:pPr>
        <w:spacing w:after="40"/>
        <w:jc w:val="center"/>
      </w:pPr>
      <w:r>
        <w:rPr>
          <w:rFonts w:ascii="Calibri" w:cs="Calibri" w:eastAsia="Calibri" w:hAnsi="Calibri"/>
          <w:sz w:val="22"/>
          <w:szCs w:val="22"/>
        </w:rPr>
        <w:t xml:space="preserve">Abhinav Shukla</w:t>
      </w:r>
    </w:p>
    <w:p>
      <w:pPr>
        <w:spacing w:after="40"/>
        <w:jc w:val="center"/>
      </w:pPr>
      <w:r>
        <w:rPr>
          <w:rFonts w:ascii="Calibri" w:cs="Calibri" w:eastAsia="Calibri" w:hAnsi="Calibri"/>
          <w:sz w:val="22"/>
          <w:szCs w:val="22"/>
        </w:rPr>
        <w:t xml:space="preserve">CSVTU Bhilai  ·  ISI Kolkata  ·  IIIT Hyderabad</w:t>
      </w:r>
    </w:p>
    <w:p>
      <w:pPr>
        <w:spacing w:after="360"/>
        <w:jc w:val="center"/>
      </w:pPr>
      <w:r>
        <w:rPr>
          <w:rFonts w:ascii="Calibri" w:cs="Calibri" w:eastAsia="Calibri" w:hAnsi="Calibri"/>
          <w:sz w:val="22"/>
          <w:szCs w:val="22"/>
        </w:rPr>
        <w:t xml:space="preserve">August 2026</w:t>
      </w:r>
    </w:p>
    <w:p>
      <w:pPr>
        <w:pStyle w:val="Heading1"/>
        <w:spacing w:after="160" w:before="360"/>
      </w:pPr>
      <w:r>
        <w:t xml:space="preserve">1. Executive Summary</w:t>
      </w:r>
    </w:p>
    <w:p>
      <w:pPr>
        <w:spacing w:after="200" w:line="300"/>
        <w:jc w:val="both"/>
      </w:pPr>
      <w:r>
        <w:rPr>
          <w:rFonts w:ascii="Calibri" w:cs="Calibri" w:eastAsia="Calibri" w:hAnsi="Calibri"/>
          <w:b w:val="false"/>
          <w:bCs w:val="false"/>
          <w:i w:val="false"/>
          <w:iCs w:val="false"/>
          <w:sz w:val="22"/>
          <w:szCs w:val="22"/>
        </w:rPr>
        <w:t xml:space="preserve">Phase 0 and Phase 1 answered the question they were designed to answer: Cross-Paradigm Explanation Divergence (CSED) is a real, measurable phenomenon, it shifts under adversarial attack, and a minimal two-feature classifier built on it holds up under held-out evaluation with near-zero overfitting. But the most interesting result to come out of Phase 1 was not the one the project set out to find. The headline finding is the co-failure result (Gate 1): when an attacker optimizes explicitly to suppress CSED, the artifact and semantic streams do not just individually fail more — they start failing together, at a rate far above what independence would predict (OR=12.63, N=300, Bonferroni-significant). That is a more specific and more surprising claim than “CSED detects attacks,” and it points at something the original proposal did not anticipate: the act of suppressing explanation divergence may itself manufacture a shared vulnerability between paradigms that would not otherwise exist.</w:t>
      </w:r>
    </w:p>
    <w:p>
      <w:pPr>
        <w:spacing w:after="200" w:line="300"/>
        <w:jc w:val="both"/>
      </w:pPr>
      <w:r>
        <w:rPr>
          <w:rFonts w:ascii="Calibri" w:cs="Calibri" w:eastAsia="Calibri" w:hAnsi="Calibri"/>
          <w:b w:val="false"/>
          <w:bCs w:val="false"/>
          <w:i w:val="false"/>
          <w:iCs w:val="false"/>
          <w:sz w:val="22"/>
          <w:szCs w:val="22"/>
        </w:rPr>
        <w:t xml:space="preserve">Phase 2 is built around that pivot. Rather than treating Phase 0/1 as complete and moving straight to scale-up, this plan puts mechanism first: understanding why CSED-suppression produces co-failure, whether that holds beyond one generator and one detector pair, and whether it survives the additional threat models (explanation-targeted attacks, trajectory-aware adaptive attacks) that Phase 0 explicitly deferred. Scale-up and benchmark submission come after mechanism, not before it — running the same measurement at 10x the sample size before understanding what is being measured would just produce a more precise version of a claim that might need revising.</w:t>
      </w:r>
    </w:p>
    <w:p>
      <w:pPr>
        <w:pStyle w:val="Heading1"/>
        <w:spacing w:after="160" w:before="360"/>
      </w:pPr>
      <w:r>
        <w:t xml:space="preserve">2. Phase 0 / Phase 1 Recap</w:t>
      </w:r>
    </w:p>
    <w:p>
      <w:pPr>
        <w:spacing w:after="200" w:line="300"/>
        <w:jc w:val="both"/>
      </w:pPr>
      <w:r>
        <w:rPr>
          <w:rFonts w:ascii="Calibri" w:cs="Calibri" w:eastAsia="Calibri" w:hAnsi="Calibri"/>
          <w:b w:val="false"/>
          <w:bCs w:val="false"/>
          <w:i w:val="false"/>
          <w:iCs w:val="false"/>
          <w:sz w:val="22"/>
          <w:szCs w:val="22"/>
        </w:rPr>
        <w:t xml:space="preserve">Included for continuity; full detail lives in the Phase 0 pilot plan and the Phase 1 gate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1F4E79" w:color="1F4E79" w:val="solid"/>
          </w:tcPr>
          <w:p>
            <w:r>
              <w:rPr>
                <w:rFonts w:ascii="Calibri" w:cs="Calibri" w:eastAsia="Calibri" w:hAnsi="Calibri"/>
                <w:b/>
                <w:bCs/>
                <w:color w:val="FFFFFF"/>
                <w:sz w:val="20"/>
                <w:szCs w:val="20"/>
              </w:rPr>
              <w:t xml:space="preserve">Gate</w:t>
            </w:r>
          </w:p>
        </w:tc>
        <w:tc>
          <w:tcPr>
            <w:tcW w:type="pct" w:w="66%"/>
            <w:shd w:fill="1F4E79" w:color="1F4E79" w:val="solid"/>
          </w:tcPr>
          <w:p>
            <w:r>
              <w:rPr>
                <w:rFonts w:ascii="Calibri" w:cs="Calibri" w:eastAsia="Calibri" w:hAnsi="Calibri"/>
                <w:b/>
                <w:bCs/>
                <w:color w:val="FFFFFF"/>
                <w:sz w:val="20"/>
                <w:szCs w:val="20"/>
              </w:rPr>
              <w:t xml:space="preserve">Result</w:t>
            </w:r>
          </w:p>
        </w:tc>
        <w:tc>
          <w:tcPr>
            <w:tcW w:type="pct" w:w="20%"/>
            <w:shd w:fill="1F4E79" w:color="1F4E79" w:val="solid"/>
          </w:tcPr>
          <w:p>
            <w:r>
              <w:rPr>
                <w:rFonts w:ascii="Calibri" w:cs="Calibri" w:eastAsia="Calibri" w:hAnsi="Calibri"/>
                <w:b/>
                <w:bCs/>
                <w:color w:val="FFFFFF"/>
                <w:sz w:val="20"/>
                <w:szCs w:val="20"/>
              </w:rPr>
              <w:t xml:space="preserve">Status</w:t>
            </w:r>
          </w:p>
        </w:tc>
      </w:tr>
      <w:tr>
        <w:tc>
          <w:tcPr>
            <w:tcW w:type="pct" w:w="14%"/>
          </w:tcPr>
          <w:p>
            <w:r>
              <w:rPr>
                <w:rFonts w:ascii="Calibri" w:cs="Calibri" w:eastAsia="Calibri" w:hAnsi="Calibri"/>
                <w:sz w:val="20"/>
                <w:szCs w:val="20"/>
              </w:rPr>
              <w:t xml:space="preserve">Phase 0 — Q1/Q2/Q3</w:t>
            </w:r>
          </w:p>
        </w:tc>
        <w:tc>
          <w:tcPr>
            <w:tcW w:type="pct" w:w="66%"/>
          </w:tcPr>
          <w:p>
            <w:r>
              <w:rPr>
                <w:rFonts w:ascii="Calibri" w:cs="Calibri" w:eastAsia="Calibri" w:hAnsi="Calibri"/>
                <w:sz w:val="20"/>
                <w:szCs w:val="20"/>
              </w:rPr>
              <w:t xml:space="preserve">CSED phenomenon confirmed under T1 and mild adaptivity (λ≤1); plateaus ~0.56 at high λ, inconclusive at N=300 vs. the 0.60 bar.</w:t>
            </w:r>
          </w:p>
        </w:tc>
        <w:tc>
          <w:tcPr>
            <w:tcW w:type="pct" w:w="20%"/>
          </w:tcPr>
          <w:p>
            <w:r>
              <w:rPr>
                <w:rFonts w:ascii="Calibri" w:cs="Calibri" w:eastAsia="Calibri" w:hAnsi="Calibri"/>
                <w:sz w:val="20"/>
                <w:szCs w:val="20"/>
              </w:rPr>
              <w:t xml:space="preserve">PASS / Inconclusive</w:t>
            </w:r>
          </w:p>
        </w:tc>
      </w:tr>
      <w:tr>
        <w:tc>
          <w:tcPr>
            <w:tcW w:type="pct" w:w="14%"/>
          </w:tcPr>
          <w:p>
            <w:r>
              <w:rPr>
                <w:rFonts w:ascii="Calibri" w:cs="Calibri" w:eastAsia="Calibri" w:hAnsi="Calibri"/>
                <w:sz w:val="20"/>
                <w:szCs w:val="20"/>
              </w:rPr>
              <w:t xml:space="preserve">Phase 1 — Gate 1</w:t>
            </w:r>
          </w:p>
        </w:tc>
        <w:tc>
          <w:tcPr>
            <w:tcW w:type="pct" w:w="66%"/>
          </w:tcPr>
          <w:p>
            <w:r>
              <w:rPr>
                <w:rFonts w:ascii="Calibri" w:cs="Calibri" w:eastAsia="Calibri" w:hAnsi="Calibri"/>
                <w:sz w:val="20"/>
                <w:szCs w:val="20"/>
              </w:rPr>
              <w:t xml:space="preserve">Co-failure between NPR and UnivFD under T2 attack replicated at N=300. T2 λ=1.0: OR=12.63, 95% CI [5.38, 29.66], p&lt;0.0001, Bonferroni-significant.</w:t>
            </w:r>
          </w:p>
        </w:tc>
        <w:tc>
          <w:tcPr>
            <w:tcW w:type="pct" w:w="20%"/>
          </w:tcPr>
          <w:p>
            <w:r>
              <w:rPr>
                <w:rFonts w:ascii="Calibri" w:cs="Calibri" w:eastAsia="Calibri" w:hAnsi="Calibri"/>
                <w:sz w:val="20"/>
                <w:szCs w:val="20"/>
              </w:rPr>
              <w:t xml:space="preserve">PASS — headline finding</w:t>
            </w:r>
          </w:p>
        </w:tc>
      </w:tr>
      <w:tr>
        <w:tc>
          <w:tcPr>
            <w:tcW w:type="pct" w:w="14%"/>
          </w:tcPr>
          <w:p>
            <w:r>
              <w:rPr>
                <w:rFonts w:ascii="Calibri" w:cs="Calibri" w:eastAsia="Calibri" w:hAnsi="Calibri"/>
                <w:sz w:val="20"/>
                <w:szCs w:val="20"/>
              </w:rPr>
              <w:t xml:space="preserve">Phase 1 — Gate 2</w:t>
            </w:r>
          </w:p>
        </w:tc>
        <w:tc>
          <w:tcPr>
            <w:tcW w:type="pct" w:w="66%"/>
          </w:tcPr>
          <w:p>
            <w:r>
              <w:rPr>
                <w:rFonts w:ascii="Calibri" w:cs="Calibri" w:eastAsia="Calibri" w:hAnsi="Calibri"/>
                <w:sz w:val="20"/>
                <w:szCs w:val="20"/>
              </w:rPr>
              <w:t xml:space="preserve">Raw CSED beats ED/RED baselines by +0.074–+0.102 AUC on T2 (CSED-aware) attacks; CSED shows a reverse signal on FGSM/PGD-T1 (non-CSED-aware attacks).</w:t>
            </w:r>
          </w:p>
        </w:tc>
        <w:tc>
          <w:tcPr>
            <w:tcW w:type="pct" w:w="20%"/>
          </w:tcPr>
          <w:p>
            <w:r>
              <w:rPr>
                <w:rFonts w:ascii="Calibri" w:cs="Calibri" w:eastAsia="Calibri" w:hAnsi="Calibri"/>
                <w:sz w:val="20"/>
                <w:szCs w:val="20"/>
              </w:rPr>
              <w:t xml:space="preserve">PASS (with unresolved asymmetry)</w:t>
            </w:r>
          </w:p>
        </w:tc>
      </w:tr>
      <w:tr>
        <w:tc>
          <w:tcPr>
            <w:tcW w:type="pct" w:w="14%"/>
          </w:tcPr>
          <w:p>
            <w:r>
              <w:rPr>
                <w:rFonts w:ascii="Calibri" w:cs="Calibri" w:eastAsia="Calibri" w:hAnsi="Calibri"/>
                <w:sz w:val="20"/>
                <w:szCs w:val="20"/>
              </w:rPr>
              <w:t xml:space="preserve">Phase 1 — Gate 3</w:t>
            </w:r>
          </w:p>
        </w:tc>
        <w:tc>
          <w:tcPr>
            <w:tcW w:type="pct" w:w="66%"/>
          </w:tcPr>
          <w:p>
            <w:r>
              <w:rPr>
                <w:rFonts w:ascii="Calibri" w:cs="Calibri" w:eastAsia="Calibri" w:hAnsi="Calibri"/>
                <w:sz w:val="20"/>
                <w:szCs w:val="20"/>
              </w:rPr>
              <w:t xml:space="preserve">1-D KDE calibration on CSED-cosine alone: mass intersection 0.68, insufficient to separate clean from attacked.</w:t>
            </w:r>
          </w:p>
        </w:tc>
        <w:tc>
          <w:tcPr>
            <w:tcW w:type="pct" w:w="20%"/>
          </w:tcPr>
          <w:p>
            <w:r>
              <w:rPr>
                <w:rFonts w:ascii="Calibri" w:cs="Calibri" w:eastAsia="Calibri" w:hAnsi="Calibri"/>
                <w:sz w:val="20"/>
                <w:szCs w:val="20"/>
              </w:rPr>
              <w:t xml:space="preserve">FAILED (stated negative result)</w:t>
            </w:r>
          </w:p>
        </w:tc>
      </w:tr>
      <w:tr>
        <w:tc>
          <w:tcPr>
            <w:tcW w:type="pct" w:w="14%"/>
          </w:tcPr>
          <w:p>
            <w:r>
              <w:rPr>
                <w:rFonts w:ascii="Calibri" w:cs="Calibri" w:eastAsia="Calibri" w:hAnsi="Calibri"/>
                <w:sz w:val="20"/>
                <w:szCs w:val="20"/>
              </w:rPr>
              <w:t xml:space="preserve">Phase 1 — Gate 4</w:t>
            </w:r>
          </w:p>
        </w:tc>
        <w:tc>
          <w:tcPr>
            <w:tcW w:type="pct" w:w="66%"/>
          </w:tcPr>
          <w:p>
            <w:r>
              <w:rPr>
                <w:rFonts w:ascii="Calibri" w:cs="Calibri" w:eastAsia="Calibri" w:hAnsi="Calibri"/>
                <w:sz w:val="20"/>
                <w:szCs w:val="20"/>
              </w:rPr>
              <w:t xml:space="preserve">Minimal 2-feature (CSED-cosine + CSED-JS) MLP: held-out AUC 0.809 ± 0.047, train-test gap 0.37% (vs. 3.7% for the 9-feature model). Statistically indistinguishable from the full model, with far less overfitting.</w:t>
            </w:r>
          </w:p>
        </w:tc>
        <w:tc>
          <w:tcPr>
            <w:tcW w:type="pct" w:w="20%"/>
          </w:tcPr>
          <w:p>
            <w:r>
              <w:rPr>
                <w:rFonts w:ascii="Calibri" w:cs="Calibri" w:eastAsia="Calibri" w:hAnsi="Calibri"/>
                <w:sz w:val="20"/>
                <w:szCs w:val="20"/>
              </w:rPr>
              <w:t xml:space="preserve">PASS — parsimony result</w:t>
            </w:r>
          </w:p>
        </w:tc>
      </w:tr>
    </w:tbl>
    <w:p>
      <w:pPr>
        <w:spacing w:after="200" w:line="300"/>
        <w:jc w:val="both"/>
      </w:pPr>
      <w:r>
        <w:rPr>
          <w:rFonts w:ascii="Calibri" w:cs="Calibri" w:eastAsia="Calibri" w:hAnsi="Calibri"/>
          <w:b w:val="false"/>
          <w:bCs w:val="false"/>
          <w:i w:val="false"/>
          <w:iCs w:val="false"/>
          <w:sz w:val="22"/>
          <w:szCs w:val="22"/>
        </w:rPr>
        <w:t xml:space="preserve"/>
      </w:r>
    </w:p>
    <w:p>
      <w:pPr>
        <w:pStyle w:val="Heading1"/>
        <w:spacing w:after="160" w:before="360"/>
      </w:pPr>
      <w:r>
        <w:t xml:space="preserve">3. The Reframed Research Question</w:t>
      </w:r>
    </w:p>
    <w:p>
      <w:pPr>
        <w:spacing w:after="200" w:line="300"/>
        <w:jc w:val="both"/>
      </w:pPr>
      <w:r>
        <w:rPr>
          <w:rFonts w:ascii="Calibri" w:cs="Calibri" w:eastAsia="Calibri" w:hAnsi="Calibri"/>
          <w:b w:val="false"/>
          <w:bCs w:val="false"/>
          <w:i w:val="false"/>
          <w:iCs w:val="false"/>
          <w:sz w:val="22"/>
          <w:szCs w:val="22"/>
        </w:rPr>
        <w:t xml:space="preserve">The original proposal asked: does cross-paradigm explanation divergence behave as a measurable phenomenon, and does it survive adaptive attack? Phase 2 asks a sharper, two-part question that follows directly from what was actually found:</w:t>
      </w:r>
    </w:p>
    <w:p>
      <w:pPr>
        <w:pStyle w:val="ListParagraph"/>
        <w:numPr>
          <w:ilvl w:val="0"/>
          <w:numId w:val="2"/>
        </w:numPr>
        <w:spacing w:after="100" w:line="280"/>
      </w:pPr>
      <w:r>
        <w:rPr>
          <w:rFonts w:ascii="Calibri" w:cs="Calibri" w:eastAsia="Calibri" w:hAnsi="Calibri"/>
          <w:sz w:val="22"/>
          <w:szCs w:val="22"/>
        </w:rPr>
        <w:t xml:space="preserve">Mechanism: why does explicitly suppressing CSED (the T2 attack objective) produce correlated failure between two independently-trained, architecturally unrelated detectors, when non-CSED-aware attacks (FGSM, plain PGD) do not produce the same effect and in fact move CSED in the opposite direction?</w:t>
      </w:r>
    </w:p>
    <w:p>
      <w:pPr>
        <w:pStyle w:val="ListParagraph"/>
        <w:numPr>
          <w:ilvl w:val="0"/>
          <w:numId w:val="2"/>
        </w:numPr>
        <w:spacing w:after="100" w:line="280"/>
      </w:pPr>
      <w:r>
        <w:rPr>
          <w:rFonts w:ascii="Calibri" w:cs="Calibri" w:eastAsia="Calibri" w:hAnsi="Calibri"/>
          <w:sz w:val="22"/>
          <w:szCs w:val="22"/>
        </w:rPr>
        <w:t xml:space="preserve">Generality: does this co-failure phenomenon hold beyond a single generator (VQDM) and a single detector pair (NPR, UnivFD), or is it specific to this particular architectural combination?</w:t>
      </w:r>
    </w:p>
    <w:p>
      <w:pPr>
        <w:spacing w:after="200" w:line="300"/>
        <w:jc w:val="both"/>
      </w:pPr>
      <w:r>
        <w:rPr>
          <w:rFonts w:ascii="Calibri" w:cs="Calibri" w:eastAsia="Calibri" w:hAnsi="Calibri"/>
          <w:b w:val="false"/>
          <w:bCs w:val="false"/>
          <w:i w:val="false"/>
          <w:iCs w:val="false"/>
          <w:sz w:val="22"/>
          <w:szCs w:val="22"/>
        </w:rPr>
        <w:t xml:space="preserve">A defensible answer to these two questions is a stronger and more novel contribution than the original robustness-signal framing, and it is the contribution Phase 2 is scoped to deliver.</w:t>
      </w:r>
    </w:p>
    <w:p>
      <w:pPr>
        <w:pStyle w:val="Heading1"/>
        <w:spacing w:after="160" w:before="360"/>
      </w:pPr>
      <w:r>
        <w:t xml:space="preserve">4. Phase 2 Objectives</w:t>
      </w:r>
    </w:p>
    <w:p>
      <w:pPr>
        <w:pStyle w:val="Heading2"/>
        <w:spacing w:after="120" w:before="260"/>
      </w:pPr>
      <w:r>
        <w:t xml:space="preserve">Objective 1 — Mechanism of the Co-Failure Effect</w:t>
      </w:r>
    </w:p>
    <w:p>
      <w:pPr>
        <w:spacing w:after="200" w:line="300"/>
        <w:jc w:val="both"/>
      </w:pPr>
      <w:r>
        <w:rPr>
          <w:rFonts w:ascii="Calibri" w:cs="Calibri" w:eastAsia="Calibri" w:hAnsi="Calibri"/>
          <w:b w:val="false"/>
          <w:bCs w:val="false"/>
          <w:i w:val="false"/>
          <w:iCs w:val="false"/>
          <w:sz w:val="22"/>
          <w:szCs w:val="22"/>
        </w:rPr>
        <w:t xml:space="preserve">Hypothesis: the CSED-suppression term in the T2 loss pushes the attack toward a perturbation direction that is simultaneously salient to both streams — i.e., it selects for perturbations lying close to the intersection of each model's high-gradient subspace — rather than each stream failing for independent, paradigm-specific reasons.</w:t>
      </w:r>
    </w:p>
    <w:p>
      <w:pPr>
        <w:pStyle w:val="ListParagraph"/>
        <w:numPr>
          <w:ilvl w:val="0"/>
          <w:numId w:val="3"/>
        </w:numPr>
        <w:spacing w:after="100" w:line="280"/>
      </w:pPr>
      <w:r>
        <w:rPr>
          <w:rFonts w:ascii="Calibri" w:cs="Calibri" w:eastAsia="Calibri" w:hAnsi="Calibri"/>
          <w:sz w:val="22"/>
          <w:szCs w:val="22"/>
        </w:rPr>
        <w:t xml:space="preserve">Compute the cosine similarity between ∇ₓL_CE,A and ∇ₓL_CE,B (the two streams' raw classification gradients, no CSED term) at the clean input, per image, and compare this baseline alignment against the alignment of the actual T2 perturbation direction at each λ. If T2's perturbation direction is measurably closer to the shared component of the two gradients than a random or non-adaptive perturbation is, that is direct mechanistic evidence for the hypothesis.</w:t>
      </w:r>
    </w:p>
    <w:p>
      <w:pPr>
        <w:pStyle w:val="ListParagraph"/>
        <w:numPr>
          <w:ilvl w:val="0"/>
          <w:numId w:val="3"/>
        </w:numPr>
        <w:spacing w:after="100" w:line="280"/>
      </w:pPr>
      <w:r>
        <w:rPr>
          <w:rFonts w:ascii="Calibri" w:cs="Calibri" w:eastAsia="Calibri" w:hAnsi="Calibri"/>
          <w:sz w:val="22"/>
          <w:szCs w:val="22"/>
        </w:rPr>
        <w:t xml:space="preserve">Repeat the PGD-T1 (λ=0) vs. T2 (λ&gt;0) gradient-alignment comparison at the N=300 scale already validated in Phase 1, so this analysis sits on top of a pipeline already trusted rather than a new one.</w:t>
      </w:r>
    </w:p>
    <w:p>
      <w:pPr>
        <w:pStyle w:val="ListParagraph"/>
        <w:numPr>
          <w:ilvl w:val="0"/>
          <w:numId w:val="3"/>
        </w:numPr>
        <w:spacing w:after="100" w:line="280"/>
      </w:pPr>
      <w:r>
        <w:rPr>
          <w:rFonts w:ascii="Calibri" w:cs="Calibri" w:eastAsia="Calibri" w:hAnsi="Calibri"/>
          <w:sz w:val="22"/>
          <w:szCs w:val="22"/>
        </w:rPr>
        <w:t xml:space="preserve">Visualize: for 8–10 representative co-failure cases, overlay the T2 perturbation, and both streams' Grad-CAM maps, clean and attacked, in one figure — this is likely the paper's central figure.</w:t>
      </w:r>
    </w:p>
    <w:p>
      <w:pPr>
        <w:pStyle w:val="Heading2"/>
        <w:spacing w:after="120" w:before="260"/>
      </w:pPr>
      <w:r>
        <w:t xml:space="preserve">Objective 2 — Trajectory-Based CSED and Its Adaptive Variant</w:t>
      </w:r>
    </w:p>
    <w:p>
      <w:pPr>
        <w:spacing w:after="200" w:line="300"/>
        <w:jc w:val="both"/>
      </w:pPr>
      <w:r>
        <w:rPr>
          <w:rFonts w:ascii="Calibri" w:cs="Calibri" w:eastAsia="Calibri" w:hAnsi="Calibri"/>
          <w:b w:val="false"/>
          <w:bCs w:val="false"/>
          <w:i w:val="false"/>
          <w:iCs w:val="false"/>
          <w:sz w:val="22"/>
          <w:szCs w:val="22"/>
        </w:rPr>
        <w:t xml:space="preserve">Deferred from Phase 0 by design. Now that the static signal and the co-failure effect are both established on a trustworthy pipeline, extend to the trajectory formulation: compute CSED_t at every PGD step (not just the final iterate) and test whether the trajectory's shape — not just its endpoint — separates clean from attacked more reliably than the static signal alone.</w:t>
      </w:r>
    </w:p>
    <w:p>
      <w:pPr>
        <w:pStyle w:val="ListParagraph"/>
        <w:numPr>
          <w:ilvl w:val="0"/>
          <w:numId w:val="3"/>
        </w:numPr>
        <w:spacing w:after="100" w:line="280"/>
      </w:pPr>
      <w:r>
        <w:rPr>
          <w:rFonts w:ascii="Calibri" w:cs="Calibri" w:eastAsia="Calibri" w:hAnsi="Calibri"/>
          <w:sz w:val="22"/>
          <w:szCs w:val="22"/>
        </w:rPr>
        <w:t xml:space="preserve">Implement the trajectory-aware adaptive attacker explicitly flagged as a gap in the original proposal: an attacker that regularizes CSED at every intermediate PGD step, not only the final image. A trajectory signal that is only evaluated against attackers targeting the endpoint has not been adaptively evaluated by this project's own standard.</w:t>
      </w:r>
    </w:p>
    <w:p>
      <w:pPr>
        <w:pStyle w:val="ListParagraph"/>
        <w:numPr>
          <w:ilvl w:val="0"/>
          <w:numId w:val="3"/>
        </w:numPr>
        <w:spacing w:after="100" w:line="280"/>
      </w:pPr>
      <w:r>
        <w:rPr>
          <w:rFonts w:ascii="Calibri" w:cs="Calibri" w:eastAsia="Calibri" w:hAnsi="Calibri"/>
          <w:sz w:val="22"/>
          <w:szCs w:val="22"/>
        </w:rPr>
        <w:t xml:space="preserve">Metric: trajectory slope and variance as classifier features, benchmarked against the Gate 4 minimal static-CSED model using the same held-out protocol (train/test split, 5-seed repetition) that Phase 1 established.</w:t>
      </w:r>
    </w:p>
    <w:p>
      <w:pPr>
        <w:pStyle w:val="ListParagraph"/>
        <w:numPr>
          <w:ilvl w:val="0"/>
          <w:numId w:val="3"/>
        </w:numPr>
        <w:spacing w:after="100" w:line="280"/>
      </w:pPr>
      <w:r>
        <w:rPr>
          <w:rFonts w:ascii="Calibri" w:cs="Calibri" w:eastAsia="Calibri" w:hAnsi="Calibri"/>
          <w:sz w:val="22"/>
          <w:szCs w:val="22"/>
        </w:rPr>
        <w:t xml:space="preserve">Go/no-go: if trajectory features do not improve on the static 2-feature model's held-out AUC (0.809) once evaluated against the trajectory-aware adaptive attacker specifically, report that as a negative result rather than folding it into the minimal model by default.</w:t>
      </w:r>
    </w:p>
    <w:p>
      <w:pPr>
        <w:pStyle w:val="Heading2"/>
        <w:spacing w:after="120" w:before="260"/>
      </w:pPr>
      <w:r>
        <w:t xml:space="preserve">Objective 3 — T3: Explanation-Targeted, Label-Preserving Attacks</w:t>
      </w:r>
    </w:p>
    <w:p>
      <w:pPr>
        <w:spacing w:after="200" w:line="300"/>
        <w:jc w:val="both"/>
      </w:pPr>
      <w:r>
        <w:rPr>
          <w:rFonts w:ascii="Calibri" w:cs="Calibri" w:eastAsia="Calibri" w:hAnsi="Calibri"/>
          <w:b w:val="false"/>
          <w:bCs w:val="false"/>
          <w:i w:val="false"/>
          <w:iCs w:val="false"/>
          <w:sz w:val="22"/>
          <w:szCs w:val="22"/>
        </w:rPr>
        <w:t xml:space="preserve">Also deferred from Phase 0. This is the eXIAA-style threat model: construct x′ such that both streams' predicted labels are unchanged from clean, while explanation maps are driven to diverge. This threat model was named in the original problem statement (Section 2, T3) and has not yet been tested at all.</w:t>
      </w:r>
    </w:p>
    <w:p>
      <w:pPr>
        <w:pStyle w:val="ListParagraph"/>
        <w:numPr>
          <w:ilvl w:val="0"/>
          <w:numId w:val="3"/>
        </w:numPr>
        <w:spacing w:after="100" w:line="280"/>
      </w:pPr>
      <w:r>
        <w:rPr>
          <w:rFonts w:ascii="Calibri" w:cs="Calibri" w:eastAsia="Calibri" w:hAnsi="Calibri"/>
          <w:sz w:val="22"/>
          <w:szCs w:val="22"/>
        </w:rPr>
        <w:t xml:space="preserve">Implement a label-preserving explanation attack against each stream independently and against the pair jointly, using a loss that penalizes label change while rewarding explanation-map shift.</w:t>
      </w:r>
    </w:p>
    <w:p>
      <w:pPr>
        <w:pStyle w:val="ListParagraph"/>
        <w:numPr>
          <w:ilvl w:val="0"/>
          <w:numId w:val="3"/>
        </w:numPr>
        <w:spacing w:after="100" w:line="280"/>
      </w:pPr>
      <w:r>
        <w:rPr>
          <w:rFonts w:ascii="Calibri" w:cs="Calibri" w:eastAsia="Calibri" w:hAnsi="Calibri"/>
          <w:sz w:val="22"/>
          <w:szCs w:val="22"/>
        </w:rPr>
        <w:t xml:space="preserve">Central question: does the same paradigm-orthogonality that produces co-failure under T2 make T3 harder to execute jointly against both streams — i.e., is it difficult to shift both streams' explanations simultaneously while preserving both labels? If so, that is independent, converging evidence for the Objective 1 mechanism from a completely different attack direction.</w:t>
      </w:r>
    </w:p>
    <w:p>
      <w:pPr>
        <w:pStyle w:val="Heading2"/>
        <w:spacing w:after="120" w:before="260"/>
      </w:pPr>
      <w:r>
        <w:t xml:space="preserve">Objective 4 — Cross-Generator Generalization</w:t>
      </w:r>
    </w:p>
    <w:p>
      <w:pPr>
        <w:spacing w:after="200" w:line="300"/>
        <w:jc w:val="both"/>
      </w:pPr>
      <w:r>
        <w:rPr>
          <w:rFonts w:ascii="Calibri" w:cs="Calibri" w:eastAsia="Calibri" w:hAnsi="Calibri"/>
          <w:b w:val="false"/>
          <w:bCs w:val="false"/>
          <w:i w:val="false"/>
          <w:iCs w:val="false"/>
          <w:sz w:val="22"/>
          <w:szCs w:val="22"/>
        </w:rPr>
        <w:t xml:space="preserve">Every result to date is on one generator (GenImage VQDM) and one detector pair (NPR, UnivFD). Before any claim generalizes, it needs to be checked against at least 2–3 additional generator subsets already available in GenImage (e.g., a GAN-family generator such as BigGAN and at least one additional diffusion-family generator such as Stable Diffusion or Midjourney, matching the scope named in the original proposal).</w:t>
      </w:r>
    </w:p>
    <w:p>
      <w:pPr>
        <w:pStyle w:val="ListParagraph"/>
        <w:numPr>
          <w:ilvl w:val="0"/>
          <w:numId w:val="3"/>
        </w:numPr>
        <w:spacing w:after="100" w:line="280"/>
      </w:pPr>
      <w:r>
        <w:rPr>
          <w:rFonts w:ascii="Calibri" w:cs="Calibri" w:eastAsia="Calibri" w:hAnsi="Calibri"/>
          <w:sz w:val="22"/>
          <w:szCs w:val="22"/>
        </w:rPr>
        <w:t xml:space="preserve">Re-run the Gate 1 co-failure test (T2 λ=1.0 vs. PGD-T1 λ=0, Fisher's exact + HA-corrected OR) on each additional generator, at the same N=300 scale already validated, before combining across generators.</w:t>
      </w:r>
    </w:p>
    <w:p>
      <w:pPr>
        <w:pStyle w:val="ListParagraph"/>
        <w:numPr>
          <w:ilvl w:val="0"/>
          <w:numId w:val="3"/>
        </w:numPr>
        <w:spacing w:after="100" w:line="280"/>
      </w:pPr>
      <w:r>
        <w:rPr>
          <w:rFonts w:ascii="Calibri" w:cs="Calibri" w:eastAsia="Calibri" w:hAnsi="Calibri"/>
          <w:sz w:val="22"/>
          <w:szCs w:val="22"/>
        </w:rPr>
        <w:t xml:space="preserve">Explicit outcome categories: (a) effect replicates across all generators — strong generality claim; (b) effect replicates on diffusion-family generators but not GAN-family (or vice versa) — a generator-family-specific mechanism, still publishable and arguably more precise; (c) effect is VQDM-specific — report honestly and scope all claims accordingly.</w:t>
      </w:r>
    </w:p>
    <w:p>
      <w:pPr>
        <w:pStyle w:val="ListParagraph"/>
        <w:numPr>
          <w:ilvl w:val="0"/>
          <w:numId w:val="3"/>
        </w:numPr>
        <w:spacing w:after="100" w:line="280"/>
      </w:pPr>
      <w:r>
        <w:rPr>
          <w:rFonts w:ascii="Calibri" w:cs="Calibri" w:eastAsia="Calibri" w:hAnsi="Calibri"/>
          <w:sz w:val="22"/>
          <w:szCs w:val="22"/>
        </w:rPr>
        <w:t xml:space="preserve">Positive-control discipline carries forward: any new generator subset gets a clean-accuracy sanity check against published NPR/UnivFD numbers before any attack is run against it, the same gate applied to VQDM in Phase 1.</w:t>
      </w:r>
    </w:p>
    <w:p>
      <w:pPr>
        <w:pStyle w:val="Heading2"/>
        <w:spacing w:after="120" w:before="260"/>
      </w:pPr>
      <w:r>
        <w:t xml:space="preserve">Objective 5 — Full-Scale Confirmatory Run</w:t>
      </w:r>
    </w:p>
    <w:p>
      <w:pPr>
        <w:spacing w:after="200" w:line="300"/>
        <w:jc w:val="both"/>
      </w:pPr>
      <w:r>
        <w:rPr>
          <w:rFonts w:ascii="Calibri" w:cs="Calibri" w:eastAsia="Calibri" w:hAnsi="Calibri"/>
          <w:b w:val="false"/>
          <w:bCs w:val="false"/>
          <w:i w:val="false"/>
          <w:iCs w:val="false"/>
          <w:sz w:val="22"/>
          <w:szCs w:val="22"/>
        </w:rPr>
        <w:t xml:space="preserve">Only after Objectives 1–4 are far enough along to know what is actually being measured: scale the co-failure result and the minimal classifier to N ≥ 1,000 per generator, tightening the OR confidence intervals (currently [5.38, 29.66] at N=300) and giving the held-out classifier evaluation (currently N=600 total, 70/30 split) enough data for a genuine train/validation/test split rather than repeated 5-seed resampling of the same pool.</w:t>
      </w:r>
    </w:p>
    <w:p>
      <w:pPr>
        <w:pStyle w:val="Heading2"/>
        <w:spacing w:after="120" w:before="260"/>
      </w:pPr>
      <w:r>
        <w:t xml:space="preserve">Objective 6 (Stretch) — NTIRE 2026 Benchmark Submission</w:t>
      </w:r>
    </w:p>
    <w:p>
      <w:pPr>
        <w:spacing w:after="200" w:line="300"/>
        <w:jc w:val="both"/>
      </w:pPr>
      <w:r>
        <w:rPr>
          <w:rFonts w:ascii="Calibri" w:cs="Calibri" w:eastAsia="Calibri" w:hAnsi="Calibri"/>
          <w:b w:val="false"/>
          <w:bCs w:val="false"/>
          <w:i w:val="false"/>
          <w:iCs w:val="false"/>
          <w:sz w:val="22"/>
          <w:szCs w:val="22"/>
        </w:rPr>
        <w:t xml:space="preserve">Named as a stretch goal in the original proposal, conditional on timeline. Only pursue this once Objective 5 is complete and the write-up from Objectives 1–4 is drafted — submitting to a shared benchmark before the mechanism story is settled risks locking in a framing that later analysis contradicts.</w:t>
      </w:r>
    </w:p>
    <w:p>
      <w:pPr>
        <w:pStyle w:val="Heading1"/>
        <w:spacing w:after="160" w:before="360"/>
      </w:pPr>
      <w:r>
        <w:t xml:space="preserve">5. Execution Plan</w:t>
      </w:r>
    </w:p>
    <w:p>
      <w:pPr>
        <w:pStyle w:val="Heading2"/>
        <w:spacing w:after="120" w:before="260"/>
      </w:pPr>
      <w:r>
        <w:t xml:space="preserve">Month 1 — Mechanism and Trajectory Infrastructure</w:t>
      </w:r>
    </w:p>
    <w:p>
      <w:pPr>
        <w:pStyle w:val="ListParagraph"/>
        <w:numPr>
          <w:ilvl w:val="0"/>
          <w:numId w:val="3"/>
        </w:numPr>
        <w:spacing w:after="100" w:line="280"/>
      </w:pPr>
      <w:r>
        <w:rPr>
          <w:rFonts w:ascii="Calibri" w:cs="Calibri" w:eastAsia="Calibri" w:hAnsi="Calibri"/>
          <w:sz w:val="22"/>
          <w:szCs w:val="22"/>
        </w:rPr>
        <w:t xml:space="preserve">Weeks 1–2: Objective 1 gradient-alignment analysis on the existing N=300 VQDM pipeline. This requires no new data collection, only new analysis on already-generated attack samples plus one new gradient computation — the fastest path to the project's most important open question.</w:t>
      </w:r>
    </w:p>
    <w:p>
      <w:pPr>
        <w:pStyle w:val="ListParagraph"/>
        <w:numPr>
          <w:ilvl w:val="0"/>
          <w:numId w:val="3"/>
        </w:numPr>
        <w:spacing w:after="100" w:line="280"/>
      </w:pPr>
      <w:r>
        <w:rPr>
          <w:rFonts w:ascii="Calibri" w:cs="Calibri" w:eastAsia="Calibri" w:hAnsi="Calibri"/>
          <w:sz w:val="22"/>
          <w:szCs w:val="22"/>
        </w:rPr>
        <w:t xml:space="preserve">Weeks 3–4: Objective 2 trajectory infrastructure — instrument the existing PGD/T2 loop to log CSED at every step (not just the final iterate), and implement the trajectory-aware adaptive attacker.</w:t>
      </w:r>
    </w:p>
    <w:p>
      <w:pPr>
        <w:pStyle w:val="Heading2"/>
        <w:spacing w:after="120" w:before="260"/>
      </w:pPr>
      <w:r>
        <w:t xml:space="preserve">Month 2 — T3 and Cross-Generator Setup</w:t>
      </w:r>
    </w:p>
    <w:p>
      <w:pPr>
        <w:pStyle w:val="ListParagraph"/>
        <w:numPr>
          <w:ilvl w:val="0"/>
          <w:numId w:val="3"/>
        </w:numPr>
        <w:spacing w:after="100" w:line="280"/>
      </w:pPr>
      <w:r>
        <w:rPr>
          <w:rFonts w:ascii="Calibri" w:cs="Calibri" w:eastAsia="Calibri" w:hAnsi="Calibri"/>
          <w:sz w:val="22"/>
          <w:szCs w:val="22"/>
        </w:rPr>
        <w:t xml:space="preserve">Weeks 1–2: Objective 3 (T3 explanation-targeted attacks) implementation and initial N=100 diagnostic run, following the same diagnostic-before-confirmatory discipline established in Phase 0.</w:t>
      </w:r>
    </w:p>
    <w:p>
      <w:pPr>
        <w:pStyle w:val="ListParagraph"/>
        <w:numPr>
          <w:ilvl w:val="0"/>
          <w:numId w:val="3"/>
        </w:numPr>
        <w:spacing w:after="100" w:line="280"/>
      </w:pPr>
      <w:r>
        <w:rPr>
          <w:rFonts w:ascii="Calibri" w:cs="Calibri" w:eastAsia="Calibri" w:hAnsi="Calibri"/>
          <w:sz w:val="22"/>
          <w:szCs w:val="22"/>
        </w:rPr>
        <w:t xml:space="preserve">Weeks 3–4: Objective 4 setup — acquire and positive-control-validate 2–3 additional GenImage generator subsets before running any attack against them.</w:t>
      </w:r>
    </w:p>
    <w:p>
      <w:pPr>
        <w:pStyle w:val="Heading2"/>
        <w:spacing w:after="120" w:before="260"/>
      </w:pPr>
      <w:r>
        <w:t xml:space="preserve">Month 3 — Cross-Generator Confirmatory Runs</w:t>
      </w:r>
    </w:p>
    <w:p>
      <w:pPr>
        <w:pStyle w:val="ListParagraph"/>
        <w:numPr>
          <w:ilvl w:val="0"/>
          <w:numId w:val="3"/>
        </w:numPr>
        <w:spacing w:after="100" w:line="280"/>
      </w:pPr>
      <w:r>
        <w:rPr>
          <w:rFonts w:ascii="Calibri" w:cs="Calibri" w:eastAsia="Calibri" w:hAnsi="Calibri"/>
          <w:sz w:val="22"/>
          <w:szCs w:val="22"/>
        </w:rPr>
        <w:t xml:space="preserve">Re-run Gate 1 (co-failure) and Gate 4 (minimal classifier) at N=300 on each new generator. This is the generalization test that determines how broadly Phase 2's conclusions can be stated.</w:t>
      </w:r>
    </w:p>
    <w:p>
      <w:pPr>
        <w:pStyle w:val="Heading2"/>
        <w:spacing w:after="120" w:before="260"/>
      </w:pPr>
      <w:r>
        <w:t xml:space="preserve">Month 4 — Scale-Up and Write-Up</w:t>
      </w:r>
    </w:p>
    <w:p>
      <w:pPr>
        <w:pStyle w:val="ListParagraph"/>
        <w:numPr>
          <w:ilvl w:val="0"/>
          <w:numId w:val="3"/>
        </w:numPr>
        <w:spacing w:after="100" w:line="280"/>
      </w:pPr>
      <w:r>
        <w:rPr>
          <w:rFonts w:ascii="Calibri" w:cs="Calibri" w:eastAsia="Calibri" w:hAnsi="Calibri"/>
          <w:sz w:val="22"/>
          <w:szCs w:val="22"/>
        </w:rPr>
        <w:t xml:space="preserve">Objective 5 full-scale run (N≥1,000) on whichever generators Month 3 confirms the effect holds on.</w:t>
      </w:r>
    </w:p>
    <w:p>
      <w:pPr>
        <w:pStyle w:val="ListParagraph"/>
        <w:numPr>
          <w:ilvl w:val="0"/>
          <w:numId w:val="3"/>
        </w:numPr>
        <w:spacing w:after="100" w:line="280"/>
      </w:pPr>
      <w:r>
        <w:rPr>
          <w:rFonts w:ascii="Calibri" w:cs="Calibri" w:eastAsia="Calibri" w:hAnsi="Calibri"/>
          <w:sz w:val="22"/>
          <w:szCs w:val="22"/>
        </w:rPr>
        <w:t xml:space="preserve">Draft write-up: mechanism (Objective 1) as the central contribution, trajectory and T3 results as supporting threat-model coverage, cross-generator results as the generality claim, NTIRE submission (Objective 6) only if time remains.</w:t>
      </w:r>
    </w:p>
    <w:p>
      <w:pPr>
        <w:pStyle w:val="Heading1"/>
        <w:spacing w:after="160" w:before="360"/>
      </w:pPr>
      <w:r>
        <w:t xml:space="preserve">6. Verification Protocol (Standing Practice for Phase 2)</w:t>
      </w:r>
    </w:p>
    <w:p>
      <w:pPr>
        <w:spacing w:after="200" w:line="300"/>
        <w:jc w:val="both"/>
      </w:pPr>
      <w:r>
        <w:rPr>
          <w:rFonts w:ascii="Calibri" w:cs="Calibri" w:eastAsia="Calibri" w:hAnsi="Calibri"/>
          <w:b w:val="false"/>
          <w:bCs w:val="false"/>
          <w:i w:val="false"/>
          <w:iCs w:val="false"/>
          <w:sz w:val="22"/>
          <w:szCs w:val="22"/>
        </w:rPr>
        <w:t xml:space="preserve">Every prior phase of this project has been slowed, and ultimately strengthened, by the same pattern: a result looks complete, and one more verification pass finds a real issue underneath it (the dying-ReLU degeneracy bug, the FP16-vs-FP32 gap, the NPR checkpoint substitution, the ED/RED scale question, a CI that didn't match its own t-statistic). Phase 2 should treat this pattern as the expected cost of doing this kind of work, not a series of surprises, and build the checks in up front rather than discovering the need for them after each new result.</w:t>
      </w:r>
    </w:p>
    <w:p>
      <w:pPr>
        <w:pStyle w:val="ListParagraph"/>
        <w:numPr>
          <w:ilvl w:val="0"/>
          <w:numId w:val="3"/>
        </w:numPr>
        <w:spacing w:after="100" w:line="280"/>
      </w:pPr>
      <w:r>
        <w:rPr>
          <w:rFonts w:ascii="Calibri" w:cs="Calibri" w:eastAsia="Calibri" w:hAnsi="Calibri"/>
          <w:sz w:val="22"/>
          <w:szCs w:val="22"/>
        </w:rPr>
        <w:t xml:space="preserve">Any new model, checkpoint, or dataset subset gets a positive-control check against its own published numbers before any attack or divergence measurement is trusted — no exceptions, regardless of time pressure.</w:t>
      </w:r>
    </w:p>
    <w:p>
      <w:pPr>
        <w:pStyle w:val="ListParagraph"/>
        <w:numPr>
          <w:ilvl w:val="0"/>
          <w:numId w:val="3"/>
        </w:numPr>
        <w:spacing w:after="100" w:line="280"/>
      </w:pPr>
      <w:r>
        <w:rPr>
          <w:rFonts w:ascii="Calibri" w:cs="Calibri" w:eastAsia="Calibri" w:hAnsi="Calibri"/>
          <w:sz w:val="22"/>
          <w:szCs w:val="22"/>
        </w:rPr>
        <w:t xml:space="preserve">Any new metric (trajectory features, T3 detection score) gets tested against a case where the expected answer is already known, before being trusted on the actual research question.</w:t>
      </w:r>
    </w:p>
    <w:p>
      <w:pPr>
        <w:pStyle w:val="ListParagraph"/>
        <w:numPr>
          <w:ilvl w:val="0"/>
          <w:numId w:val="3"/>
        </w:numPr>
        <w:spacing w:after="100" w:line="280"/>
      </w:pPr>
      <w:r>
        <w:rPr>
          <w:rFonts w:ascii="Calibri" w:cs="Calibri" w:eastAsia="Calibri" w:hAnsi="Calibri"/>
          <w:sz w:val="22"/>
          <w:szCs w:val="22"/>
        </w:rPr>
        <w:t xml:space="preserve">Any learned classifier gets a stated, fixed train/test protocol and a reported train-test gap, not just a test AUC, from the first run — not added after the fact as it was for Gate 4.</w:t>
      </w:r>
    </w:p>
    <w:p>
      <w:pPr>
        <w:pStyle w:val="ListParagraph"/>
        <w:numPr>
          <w:ilvl w:val="0"/>
          <w:numId w:val="3"/>
        </w:numPr>
        <w:spacing w:after="100" w:line="280"/>
      </w:pPr>
      <w:r>
        <w:rPr>
          <w:rFonts w:ascii="Calibri" w:cs="Calibri" w:eastAsia="Calibri" w:hAnsi="Calibri"/>
          <w:sz w:val="22"/>
          <w:szCs w:val="22"/>
        </w:rPr>
        <w:t xml:space="preserve">Any statistic (CI, p-value, odds ratio) gets hand-verified against its own raw inputs before being reported as final — the CI-vs-t-statistic mismatch caught in Phase 1 should have been caught by this check, not by external review.</w:t>
      </w:r>
    </w:p>
    <w:p>
      <w:pPr>
        <w:pStyle w:val="ListParagraph"/>
        <w:numPr>
          <w:ilvl w:val="0"/>
          <w:numId w:val="3"/>
        </w:numPr>
        <w:spacing w:after="100" w:line="280"/>
      </w:pPr>
      <w:r>
        <w:rPr>
          <w:rFonts w:ascii="Calibri" w:cs="Calibri" w:eastAsia="Calibri" w:hAnsi="Calibri"/>
          <w:sz w:val="22"/>
          <w:szCs w:val="22"/>
        </w:rPr>
        <w:t xml:space="preserve">Maintain the deviations log (started in Phase 0/1) for every substitution, shortcut, or scope change, updated at the time the deviation happens, not reconstructed afterward.</w:t>
      </w:r>
    </w:p>
    <w:p>
      <w:pPr>
        <w:pStyle w:val="Heading1"/>
        <w:spacing w:after="160" w:before="360"/>
      </w:pPr>
      <w:r>
        <w:t xml:space="preserve">7. Datasets, Models, and Tools</w:t>
      </w:r>
    </w:p>
    <w:p>
      <w:pPr>
        <w:pStyle w:val="ListParagraph"/>
        <w:numPr>
          <w:ilvl w:val="0"/>
          <w:numId w:val="3"/>
        </w:numPr>
        <w:spacing w:after="100" w:line="280"/>
      </w:pPr>
      <w:r>
        <w:rPr>
          <w:rFonts w:ascii="Calibri" w:cs="Calibri" w:eastAsia="Calibri" w:hAnsi="Calibri"/>
          <w:sz w:val="22"/>
          <w:szCs w:val="22"/>
        </w:rPr>
        <w:t xml:space="preserve">Generators: GenImage VQDM (existing, validated) plus 2–3 additional subsets for Objective 4 — at minimum one GAN-family and one additional diffusion-family generator, matching the original proposal's stated scope.</w:t>
      </w:r>
    </w:p>
    <w:p>
      <w:pPr>
        <w:pStyle w:val="ListParagraph"/>
        <w:numPr>
          <w:ilvl w:val="0"/>
          <w:numId w:val="3"/>
        </w:numPr>
        <w:spacing w:after="100" w:line="280"/>
      </w:pPr>
      <w:r>
        <w:rPr>
          <w:rFonts w:ascii="Calibri" w:cs="Calibri" w:eastAsia="Calibri" w:hAnsi="Calibri"/>
          <w:sz w:val="22"/>
          <w:szCs w:val="22"/>
        </w:rPr>
        <w:t xml:space="preserve">Detectors: NPR (official CVPR 2024 checkpoint, already validated against ProGAN) and UnivFD (CVPR 2023, already validated) carried forward unchanged. No new detector is introduced in Phase 2 — the open questions are about mechanism and generalization of the existing pair, not about finding better detectors.</w:t>
      </w:r>
    </w:p>
    <w:p>
      <w:pPr>
        <w:pStyle w:val="ListParagraph"/>
        <w:numPr>
          <w:ilvl w:val="0"/>
          <w:numId w:val="3"/>
        </w:numPr>
        <w:spacing w:after="100" w:line="280"/>
      </w:pPr>
      <w:r>
        <w:rPr>
          <w:rFonts w:ascii="Calibri" w:cs="Calibri" w:eastAsia="Calibri" w:hAnsi="Calibri"/>
          <w:sz w:val="22"/>
          <w:szCs w:val="22"/>
        </w:rPr>
        <w:t xml:space="preserve">New infrastructure needed: per-step CSED logging inside the existing PGD/T2 loop (Objective 2); a label-preserving explanation-attack loss (Objective 3); a gradient-alignment computation between ∇L_CE,A and ∇L_CE,B (Objective 1) — all extensions of existing, validated code rather than new pipelines.</w:t>
      </w:r>
    </w:p>
    <w:p>
      <w:pPr>
        <w:pStyle w:val="Heading1"/>
        <w:spacing w:after="160" w:before="360"/>
      </w:pPr>
      <w:r>
        <w:t xml:space="preserve">8. Gate Criteria</w:t>
      </w:r>
    </w:p>
    <w:p>
      <w:pPr>
        <w:pStyle w:val="ListParagraph"/>
        <w:numPr>
          <w:ilvl w:val="0"/>
          <w:numId w:val="3"/>
        </w:numPr>
        <w:spacing w:after="100" w:line="280"/>
      </w:pPr>
      <w:r>
        <w:rPr>
          <w:rFonts w:ascii="Calibri" w:cs="Calibri" w:eastAsia="Calibri" w:hAnsi="Calibri"/>
          <w:sz w:val="22"/>
          <w:szCs w:val="22"/>
        </w:rPr>
        <w:t xml:space="preserve">Objective 1: gradient-alignment analysis produces a statistically significant difference (paired test) between T2 perturbation-direction alignment and PGD-T1 perturbation-direction alignment with the shared classification-gradient component.</w:t>
      </w:r>
    </w:p>
    <w:p>
      <w:pPr>
        <w:pStyle w:val="ListParagraph"/>
        <w:numPr>
          <w:ilvl w:val="0"/>
          <w:numId w:val="3"/>
        </w:numPr>
        <w:spacing w:after="100" w:line="280"/>
      </w:pPr>
      <w:r>
        <w:rPr>
          <w:rFonts w:ascii="Calibri" w:cs="Calibri" w:eastAsia="Calibri" w:hAnsi="Calibri"/>
          <w:sz w:val="22"/>
          <w:szCs w:val="22"/>
        </w:rPr>
        <w:t xml:space="preserve">Objective 2: trajectory features improve held-out AUC over the static 2-feature model specifically against the trajectory-aware adaptive attacker, not just against the original T2 attacker.</w:t>
      </w:r>
    </w:p>
    <w:p>
      <w:pPr>
        <w:pStyle w:val="ListParagraph"/>
        <w:numPr>
          <w:ilvl w:val="0"/>
          <w:numId w:val="3"/>
        </w:numPr>
        <w:spacing w:after="100" w:line="280"/>
      </w:pPr>
      <w:r>
        <w:rPr>
          <w:rFonts w:ascii="Calibri" w:cs="Calibri" w:eastAsia="Calibri" w:hAnsi="Calibri"/>
          <w:sz w:val="22"/>
          <w:szCs w:val="22"/>
        </w:rPr>
        <w:t xml:space="preserve">Objective 3: T3 attack achieves a defined minimum label-preservation rate (e.g., ≥90% of images keep both streams' clean labels) before its explanation-shift results are treated as meaningful — otherwise it has partially degenerated into a label attack and isn't testing what it claims to.</w:t>
      </w:r>
    </w:p>
    <w:p>
      <w:pPr>
        <w:pStyle w:val="ListParagraph"/>
        <w:numPr>
          <w:ilvl w:val="0"/>
          <w:numId w:val="3"/>
        </w:numPr>
        <w:spacing w:after="100" w:line="280"/>
      </w:pPr>
      <w:r>
        <w:rPr>
          <w:rFonts w:ascii="Calibri" w:cs="Calibri" w:eastAsia="Calibri" w:hAnsi="Calibri"/>
          <w:sz w:val="22"/>
          <w:szCs w:val="22"/>
        </w:rPr>
        <w:t xml:space="preserve">Objective 4: co-failure OR confidence interval excludes 1 (i.e., replicates significantly) on at least one additional generator before any cross-generator generality claim is written.</w:t>
      </w:r>
    </w:p>
    <w:p>
      <w:pPr>
        <w:pStyle w:val="ListParagraph"/>
        <w:numPr>
          <w:ilvl w:val="0"/>
          <w:numId w:val="3"/>
        </w:numPr>
        <w:spacing w:after="100" w:line="280"/>
      </w:pPr>
      <w:r>
        <w:rPr>
          <w:rFonts w:ascii="Calibri" w:cs="Calibri" w:eastAsia="Calibri" w:hAnsi="Calibri"/>
          <w:sz w:val="22"/>
          <w:szCs w:val="22"/>
        </w:rPr>
        <w:t xml:space="preserve">Objective 5: full-scale run's OR point estimate and CI are consistent with (overlapping) the N=300 result — a large shift at N=1,000+ would indicate the N=300 estimate was still underpowered despite passing Bonferroni at the smaller scale.</w:t>
      </w:r>
    </w:p>
    <w:p>
      <w:pPr>
        <w:pStyle w:val="Heading1"/>
        <w:spacing w:after="160" w:before="360"/>
      </w:pPr>
      <w:r>
        <w:t xml:space="preserve">9. Risks and Mitigations</w:t>
      </w:r>
    </w:p>
    <w:p>
      <w:pPr>
        <w:pStyle w:val="ListParagraph"/>
        <w:numPr>
          <w:ilvl w:val="0"/>
          <w:numId w:val="3"/>
        </w:numPr>
        <w:spacing w:after="100" w:line="280"/>
      </w:pPr>
      <w:r>
        <w:rPr>
          <w:rFonts w:ascii="Calibri" w:cs="Calibri" w:eastAsia="Calibri" w:hAnsi="Calibri"/>
          <w:sz w:val="22"/>
          <w:szCs w:val="22"/>
        </w:rPr>
        <w:t xml:space="preserve">Mechanism analysis (Objective 1) finds no significant gradient-alignment difference: this would mean the co-failure effect has a different cause than hypothesized. Not a failure of the phase — report it as a ruled-out hypothesis and treat co-failure as an open mechanistic question, rather than forcing a fit.</w:t>
      </w:r>
    </w:p>
    <w:p>
      <w:pPr>
        <w:pStyle w:val="ListParagraph"/>
        <w:numPr>
          <w:ilvl w:val="0"/>
          <w:numId w:val="3"/>
        </w:numPr>
        <w:spacing w:after="100" w:line="280"/>
      </w:pPr>
      <w:r>
        <w:rPr>
          <w:rFonts w:ascii="Calibri" w:cs="Calibri" w:eastAsia="Calibri" w:hAnsi="Calibri"/>
          <w:sz w:val="22"/>
          <w:szCs w:val="22"/>
        </w:rPr>
        <w:t xml:space="preserve">Cross-generator results (Objective 4) show the effect is VQDM-specific: scope every claim in the write-up to the tested generator(s) explicitly rather than implying general applicability — a precisely-scoped finding is more credible than an overclaimed general one, and reviewers in this space have seen the difference before.</w:t>
      </w:r>
    </w:p>
    <w:p>
      <w:pPr>
        <w:pStyle w:val="ListParagraph"/>
        <w:numPr>
          <w:ilvl w:val="0"/>
          <w:numId w:val="3"/>
        </w:numPr>
        <w:spacing w:after="100" w:line="280"/>
      </w:pPr>
      <w:r>
        <w:rPr>
          <w:rFonts w:ascii="Calibri" w:cs="Calibri" w:eastAsia="Calibri" w:hAnsi="Calibri"/>
          <w:sz w:val="22"/>
          <w:szCs w:val="22"/>
        </w:rPr>
        <w:t xml:space="preserve">Timeline pressure toward the NTIRE submission (Objective 6): explicitly deprioritized below Objectives 1–5 in this plan for exactly this reason — resist moving it earlier even under deadline pressure, since a submission built before the mechanism is understood risks presenting a framing that later work contradicts.</w:t>
      </w:r>
    </w:p>
    <w:p>
      <w:pPr>
        <w:pStyle w:val="Heading1"/>
        <w:spacing w:after="160" w:before="360"/>
      </w:pPr>
      <w:r>
        <w:t xml:space="preserve">10. Deliverables</w:t>
      </w:r>
    </w:p>
    <w:p>
      <w:pPr>
        <w:pStyle w:val="ListParagraph"/>
        <w:numPr>
          <w:ilvl w:val="0"/>
          <w:numId w:val="3"/>
        </w:numPr>
        <w:spacing w:after="100" w:line="280"/>
      </w:pPr>
      <w:r>
        <w:rPr>
          <w:rFonts w:ascii="Calibri" w:cs="Calibri" w:eastAsia="Calibri" w:hAnsi="Calibri"/>
          <w:sz w:val="22"/>
          <w:szCs w:val="22"/>
        </w:rPr>
        <w:t xml:space="preserve">A gradient-alignment analysis and figure set answering Objective 1, forming the paper's mechanistic core.</w:t>
      </w:r>
    </w:p>
    <w:p>
      <w:pPr>
        <w:pStyle w:val="ListParagraph"/>
        <w:numPr>
          <w:ilvl w:val="0"/>
          <w:numId w:val="3"/>
        </w:numPr>
        <w:spacing w:after="100" w:line="280"/>
      </w:pPr>
      <w:r>
        <w:rPr>
          <w:rFonts w:ascii="Calibri" w:cs="Calibri" w:eastAsia="Calibri" w:hAnsi="Calibri"/>
          <w:sz w:val="22"/>
          <w:szCs w:val="22"/>
        </w:rPr>
        <w:t xml:space="preserve">Trajectory-based CSED results, including the trajectory-aware adaptive attack evaluation (Objective 2).</w:t>
      </w:r>
    </w:p>
    <w:p>
      <w:pPr>
        <w:pStyle w:val="ListParagraph"/>
        <w:numPr>
          <w:ilvl w:val="0"/>
          <w:numId w:val="3"/>
        </w:numPr>
        <w:spacing w:after="100" w:line="280"/>
      </w:pPr>
      <w:r>
        <w:rPr>
          <w:rFonts w:ascii="Calibri" w:cs="Calibri" w:eastAsia="Calibri" w:hAnsi="Calibri"/>
          <w:sz w:val="22"/>
          <w:szCs w:val="22"/>
        </w:rPr>
        <w:t xml:space="preserve">T3 explanation-targeted attack results (Objective 3), completing the three-threat-model evaluation named in the original proposal.</w:t>
      </w:r>
    </w:p>
    <w:p>
      <w:pPr>
        <w:pStyle w:val="ListParagraph"/>
        <w:numPr>
          <w:ilvl w:val="0"/>
          <w:numId w:val="3"/>
        </w:numPr>
        <w:spacing w:after="100" w:line="280"/>
      </w:pPr>
      <w:r>
        <w:rPr>
          <w:rFonts w:ascii="Calibri" w:cs="Calibri" w:eastAsia="Calibri" w:hAnsi="Calibri"/>
          <w:sz w:val="22"/>
          <w:szCs w:val="22"/>
        </w:rPr>
        <w:t xml:space="preserve">Cross-generator replication results with explicitly scoped generality claims (Objective 4).</w:t>
      </w:r>
    </w:p>
    <w:p>
      <w:pPr>
        <w:pStyle w:val="ListParagraph"/>
        <w:numPr>
          <w:ilvl w:val="0"/>
          <w:numId w:val="3"/>
        </w:numPr>
        <w:spacing w:after="100" w:line="280"/>
      </w:pPr>
      <w:r>
        <w:rPr>
          <w:rFonts w:ascii="Calibri" w:cs="Calibri" w:eastAsia="Calibri" w:hAnsi="Calibri"/>
          <w:sz w:val="22"/>
          <w:szCs w:val="22"/>
        </w:rPr>
        <w:t xml:space="preserve">A full-scale (N≥1,000) confirmatory table for the co-failure effect and the minimal classifier (Objective 5).</w:t>
      </w:r>
    </w:p>
    <w:p>
      <w:pPr>
        <w:pStyle w:val="ListParagraph"/>
        <w:numPr>
          <w:ilvl w:val="0"/>
          <w:numId w:val="3"/>
        </w:numPr>
        <w:spacing w:after="100" w:line="280"/>
      </w:pPr>
      <w:r>
        <w:rPr>
          <w:rFonts w:ascii="Calibri" w:cs="Calibri" w:eastAsia="Calibri" w:hAnsi="Calibri"/>
          <w:sz w:val="22"/>
          <w:szCs w:val="22"/>
        </w:rPr>
        <w:t xml:space="preserve">An updated deviations log and verification checklist, maintained throughout rather than reconstructed at the end.</w:t>
      </w:r>
    </w:p>
    <w:p>
      <w:pPr>
        <w:pStyle w:val="ListParagraph"/>
        <w:numPr>
          <w:ilvl w:val="0"/>
          <w:numId w:val="3"/>
        </w:numPr>
        <w:spacing w:after="100" w:line="280"/>
      </w:pPr>
      <w:r>
        <w:rPr>
          <w:rFonts w:ascii="Calibri" w:cs="Calibri" w:eastAsia="Calibri" w:hAnsi="Calibri"/>
          <w:sz w:val="22"/>
          <w:szCs w:val="22"/>
        </w:rPr>
        <w:t xml:space="preserve">A draft write-up structured around the mechanism finding as the primary contribution, with the original phenomenon-detection framing retained as supporting, not headline, material.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2026-08-18T07:01:49.237Z</dcterms:created>
  <dcterms:modified xsi:type="dcterms:W3CDTF">2026-08-18T07:01:49.258Z</dcterms:modified>
</cp:coreProperties>
</file>

<file path=docProps/custom.xml><?xml version="1.0" encoding="utf-8"?>
<Properties xmlns="http://schemas.openxmlformats.org/officeDocument/2006/custom-properties" xmlns:vt="http://schemas.openxmlformats.org/officeDocument/2006/docPropsVTypes"/>
</file>