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0"/>
          <w:szCs w:val="30"/>
        </w:rPr>
        <w:t xml:space="preserve">Cross-Paradigm Explanation Divergence: A Measurement Framework for Detecting Adversarial Manipulation in AI-Generated Art Detectors</w:t>
      </w:r>
    </w:p>
    <w:p>
      <w:pPr>
        <w:spacing w:after="200"/>
        <w:jc w:val="center"/>
      </w:pPr>
      <w:r>
        <w:rPr>
          <w:rFonts w:ascii="Calibri" w:cs="Calibri" w:eastAsia="Calibri" w:hAnsi="Calibri"/>
          <w:i/>
          <w:iCs/>
          <w:sz w:val="24"/>
          <w:szCs w:val="24"/>
        </w:rPr>
        <w:t xml:space="preserve">Revised Research Proposal (v2) — Phenomenon-First Framing</w:t>
      </w:r>
    </w:p>
    <w:p>
      <w:pPr>
        <w:spacing w:after="40"/>
        <w:jc w:val="center"/>
      </w:pPr>
      <w:r>
        <w:rPr>
          <w:rFonts w:ascii="Calibri" w:cs="Calibri" w:eastAsia="Calibri" w:hAnsi="Calibri"/>
          <w:sz w:val="22"/>
          <w:szCs w:val="22"/>
        </w:rPr>
        <w:t xml:space="preserve">Abhinav Shukla</w:t>
      </w:r>
    </w:p>
    <w:p>
      <w:pPr>
        <w:spacing w:after="40"/>
        <w:jc w:val="center"/>
      </w:pPr>
      <w:r>
        <w:rPr>
          <w:rFonts w:ascii="Calibri" w:cs="Calibri" w:eastAsia="Calibri" w:hAnsi="Calibri"/>
          <w:sz w:val="22"/>
          <w:szCs w:val="22"/>
        </w:rPr>
        <w:t xml:space="preserve">CSVTU Bhilai  ·  ISI Kolkata  ·  IIIT Hyderabad</w:t>
      </w:r>
    </w:p>
    <w:p>
      <w:pPr>
        <w:spacing w:after="360"/>
        <w:jc w:val="center"/>
      </w:pPr>
      <w:r>
        <w:rPr>
          <w:rFonts w:ascii="Calibri" w:cs="Calibri" w:eastAsia="Calibri" w:hAnsi="Calibri"/>
          <w:sz w:val="22"/>
          <w:szCs w:val="22"/>
        </w:rPr>
        <w:t xml:space="preserve">August 2026</w:t>
      </w:r>
    </w:p>
    <w:p>
      <w:pPr>
        <w:pStyle w:val="Heading1"/>
        <w:spacing w:after="160" w:before="360"/>
      </w:pPr>
      <w:r>
        <w:t xml:space="preserve">Abstract</w:t>
      </w:r>
    </w:p>
    <w:p>
      <w:pPr>
        <w:spacing w:after="200" w:line="300"/>
        <w:jc w:val="both"/>
      </w:pPr>
      <w:r>
        <w:rPr>
          <w:rFonts w:ascii="Calibri" w:cs="Calibri" w:eastAsia="Calibri" w:hAnsi="Calibri"/>
          <w:b w:val="false"/>
          <w:bCs w:val="false"/>
          <w:i w:val="false"/>
          <w:iCs w:val="false"/>
          <w:sz w:val="22"/>
          <w:szCs w:val="22"/>
        </w:rPr>
        <w:t xml:space="preserve">Prior proposals for defending AI-art detectors with Explainable AI (XAI) implicitly assume that steering a detector toward semantically meaningful features, or checking agreement between independent explanation channels, straightforwardly improves adversarial robustness. This version deliberately does not make that claim. Instead, it asks a narrower, testable question first: does Cross-Paradigm Explanation Divergence (CSED) — the disagreement between explanation maps produced by an artifact-level detector and a semantic-level detector on the same image — behave as a characteristic, measurable phenomenon on clean data, and does that behavior shift in predictable ways under adversarial manipulation? We adopt an Observation → Hypothesis → Method → Evaluation → Outcome structure. The method is evaluated against three explicit threat models: ordinary label-flipping attacks, attacks that are adaptively aware of CSED and attempt to suppress it, and attacks that target explanations directly while preserving the predicted label. Only if the phenomenon survives the adaptive threat model do we treat CSED as a candidate defense signal rather than a diagnostic curiosity. This framing is grounded in an existing, validated line of work on ensemble disagreement and multi-view inconsistency for adversarial detection; our contribution is extending that pattern to interpretable, paradigm-orthogonal explanation maps in the AI-art forensics setting, together with a trajectory-based variant that tracks divergence across iterative attack steps rather than at a single point.</w:t>
      </w:r>
    </w:p>
    <w:p>
      <w:pPr>
        <w:pStyle w:val="Heading1"/>
        <w:spacing w:after="160" w:before="360"/>
      </w:pPr>
      <w:r>
        <w:t xml:space="preserve">1. Background and Motivation</w:t>
      </w:r>
    </w:p>
    <w:p>
      <w:pPr>
        <w:spacing w:after="200" w:line="300"/>
        <w:jc w:val="both"/>
      </w:pPr>
      <w:r>
        <w:rPr>
          <w:rFonts w:ascii="Calibri" w:cs="Calibri" w:eastAsia="Calibri" w:hAnsi="Calibri"/>
          <w:b w:val="false"/>
          <w:bCs w:val="false"/>
          <w:i w:val="false"/>
          <w:iCs w:val="false"/>
          <w:sz w:val="22"/>
          <w:szCs w:val="22"/>
        </w:rPr>
        <w:t xml:space="preserve">Modern diffusion models (Stable Diffusion 3, Midjourney v6, Flux, and successors) now produce images difficult to distinguish from human art by eye. Ha et al. showed that commercial and academic AI-art detectors alike, including Hive Moderation, are substantially weaker under adversarial perturbation than under clean evaluation, testing real art against generated images from five text-to-image models across eight detectors [1]. This motivates the present work: existing detectors, whatever their clean-data accuracy, are largely evaluated without an adversarial threat model.</w:t>
      </w:r>
    </w:p>
    <w:p>
      <w:pPr>
        <w:spacing w:after="200" w:line="300"/>
        <w:jc w:val="both"/>
      </w:pPr>
      <w:r>
        <w:rPr>
          <w:rFonts w:ascii="Calibri" w:cs="Calibri" w:eastAsia="Calibri" w:hAnsi="Calibri"/>
          <w:b w:val="false"/>
          <w:bCs w:val="false"/>
          <w:i w:val="false"/>
          <w:iCs w:val="false"/>
          <w:sz w:val="22"/>
          <w:szCs w:val="22"/>
        </w:rPr>
        <w:t xml:space="preserve">A first response to this gap is to steer detectors toward semantically meaningful, human-interpretable features using XAI. But the literature is genuinely divided on whether that helps (Section 3.2), and a separate line of work shows explanation maps themselves can be manipulated independently of a model's prediction (Section 3.3). Rather than resolve this by picking a side, this proposal treats the disagreement in the literature as the object of study: if different feature paradigms are each independently fragile in different ways, their explanations may disagree characteristically when one paradigm is attacked and not the other — and that disagreement, rather than either paradigm's verdict alone, may carry information no single-paradigm detector has access to. Whether that is true, and whether it survives an attacker who knows about it, is an empirical question we treat as the paper's actual contribution to answer, positively or negatively.</w:t>
      </w:r>
    </w:p>
    <w:p>
      <w:pPr>
        <w:pStyle w:val="Heading1"/>
        <w:spacing w:after="160" w:before="360"/>
      </w:pPr>
      <w:r>
        <w:t xml:space="preserve">2. Problem Statement</w:t>
      </w:r>
    </w:p>
    <w:p>
      <w:pPr>
        <w:spacing w:after="200" w:line="300"/>
        <w:jc w:val="both"/>
      </w:pPr>
      <w:r>
        <w:rPr>
          <w:rFonts w:ascii="Calibri" w:cs="Calibri" w:eastAsia="Calibri" w:hAnsi="Calibri"/>
          <w:b w:val="false"/>
          <w:bCs w:val="false"/>
          <w:i w:val="false"/>
          <w:iCs w:val="false"/>
          <w:sz w:val="22"/>
          <w:szCs w:val="22"/>
        </w:rPr>
        <w:t xml:space="preserve">Let x ∈ X be an image and f_A, f_B: X → {0,1} two independently trained AI-art detectors built on orthogonal feature paradigms (Section 5). Let E_A(x), E_B(x) denote explanation maps (e.g., Grad-CAM) extracted from each. We define CSED(x) = D(E_A(x), E_B(x)) for a distance D over normalized saliency maps, and study its behavior under three distinct, explicitly separated threat models:</w:t>
      </w:r>
    </w:p>
    <w:p>
      <w:pPr>
        <w:pStyle w:val="ListParagraph"/>
        <w:numPr>
          <w:ilvl w:val="0"/>
          <w:numId w:val="2"/>
        </w:numPr>
        <w:spacing w:after="100" w:line="280"/>
      </w:pPr>
      <w:r>
        <w:rPr>
          <w:rFonts w:ascii="Calibri" w:cs="Calibri" w:eastAsia="Calibri" w:hAnsi="Calibri"/>
          <w:sz w:val="22"/>
          <w:szCs w:val="22"/>
        </w:rPr>
        <w:t xml:space="preserve">T1 — Label attack: the standard setting. x′ = x + δ, ‖δ‖p ≤ ε, constructed to flip f_A(x) and/or f_B(x), with no awareness of CSED.</w:t>
      </w:r>
    </w:p>
    <w:p>
      <w:pPr>
        <w:pStyle w:val="ListParagraph"/>
        <w:numPr>
          <w:ilvl w:val="0"/>
          <w:numId w:val="2"/>
        </w:numPr>
        <w:spacing w:after="100" w:line="280"/>
      </w:pPr>
      <w:r>
        <w:rPr>
          <w:rFonts w:ascii="Calibri" w:cs="Calibri" w:eastAsia="Calibri" w:hAnsi="Calibri"/>
          <w:sz w:val="22"/>
          <w:szCs w:val="22"/>
        </w:rPr>
        <w:t xml:space="preserve">T2 — Adaptive, CSED-aware attack: x′ constructed to flip the label(s) while explicitly minimizing CSED(x′), i.e. the attacker's objective includes a term penalizing explanation divergence, following standard adaptive-attack methodology for evaluating detection-based defenses [20][22].</w:t>
      </w:r>
    </w:p>
    <w:p>
      <w:pPr>
        <w:pStyle w:val="ListParagraph"/>
        <w:numPr>
          <w:ilvl w:val="0"/>
          <w:numId w:val="2"/>
        </w:numPr>
        <w:spacing w:after="100" w:line="280"/>
      </w:pPr>
      <w:r>
        <w:rPr>
          <w:rFonts w:ascii="Calibri" w:cs="Calibri" w:eastAsia="Calibri" w:hAnsi="Calibri"/>
          <w:sz w:val="22"/>
          <w:szCs w:val="22"/>
        </w:rPr>
        <w:t xml:space="preserve">T3 — Explanation-targeted attack: x′ constructed so that f_A(x′) = f_A(x) and f_B(x′) = f_B(x) (labels unchanged) while E_A(x′) and/or E_B(x′) diverge sharply from the clean explanations, following the eXIAA attack pattern [5].</w:t>
      </w:r>
    </w:p>
    <w:p>
      <w:pPr>
        <w:spacing w:after="200" w:line="300"/>
        <w:jc w:val="both"/>
      </w:pPr>
      <w:r>
        <w:rPr>
          <w:rFonts w:ascii="Calibri" w:cs="Calibri" w:eastAsia="Calibri" w:hAnsi="Calibri"/>
          <w:b w:val="false"/>
          <w:bCs w:val="false"/>
          <w:i w:val="false"/>
          <w:iCs w:val="false"/>
          <w:sz w:val="22"/>
          <w:szCs w:val="22"/>
        </w:rPr>
        <w:t xml:space="preserve">The research question this proposal answers is deliberately narrower than “CSED improves robustness”: does CSED(x) have a stable, characterizable distribution on clean data, and does that distribution shift detectably under T1, T2, and T3 respectively? A positive result under T1 alone would be a weak claim (most naive signals separate non-adaptive attacks); a positive result that survives T2 is what would justify treating CSED as a genuine defense signal rather than an artifact of insufficiently adaptive evaluation, a distinction the adversarial-defense literature has repeatedly shown is easy to get wrong [20][21][24].</w:t>
      </w:r>
    </w:p>
    <w:p>
      <w:pPr>
        <w:pStyle w:val="Heading1"/>
        <w:spacing w:after="160" w:before="360"/>
      </w:pPr>
      <w:r>
        <w:t xml:space="preserve">3. Related Work</w:t>
      </w:r>
    </w:p>
    <w:p>
      <w:pPr>
        <w:pStyle w:val="Heading2"/>
        <w:spacing w:after="120" w:before="260"/>
      </w:pPr>
      <w:r>
        <w:t xml:space="preserve">3.1 Adversarial Vulnerability of AI-Generated Content Detectors</w:t>
      </w:r>
    </w:p>
    <w:p>
      <w:pPr>
        <w:spacing w:after="200" w:line="300"/>
        <w:jc w:val="both"/>
      </w:pPr>
      <w:r>
        <w:rPr>
          <w:rFonts w:ascii="Calibri" w:cs="Calibri" w:eastAsia="Calibri" w:hAnsi="Calibri"/>
          <w:b w:val="false"/>
          <w:bCs w:val="false"/>
          <w:i w:val="false"/>
          <w:iCs w:val="false"/>
          <w:sz w:val="22"/>
          <w:szCs w:val="22"/>
        </w:rPr>
        <w:t xml:space="preserve">Ha et al. established that AI-art detectors, commercial and academic, fail under adversarial perturbation [1]. AI-image detectors more broadly have been shown to overrely on global, low-level statistics rather than local generative artifacts [9]. The NTIRE 2026 Challenge on Robust AI-Generated Image Detection in the Wild formalizes this with a shared evaluation protocol spanning 36 degradation and transformation types [6], and is used here as an external benchmark where feasible.</w:t>
      </w:r>
    </w:p>
    <w:p>
      <w:pPr>
        <w:pStyle w:val="Heading2"/>
        <w:spacing w:after="120" w:before="260"/>
      </w:pPr>
      <w:r>
        <w:t xml:space="preserve">3.2 XAI-Guided Robustness: A Contested Relationship</w:t>
      </w:r>
    </w:p>
    <w:p>
      <w:pPr>
        <w:spacing w:after="200" w:line="300"/>
        <w:jc w:val="both"/>
      </w:pPr>
      <w:r>
        <w:rPr>
          <w:rFonts w:ascii="Calibri" w:cs="Calibri" w:eastAsia="Calibri" w:hAnsi="Calibri"/>
          <w:b w:val="false"/>
          <w:bCs w:val="false"/>
          <w:i w:val="false"/>
          <w:iCs w:val="false"/>
          <w:sz w:val="22"/>
          <w:szCs w:val="22"/>
        </w:rPr>
        <w:t xml:space="preserve">Whether steering a detector toward salient, semantic features improves robustness is unsettled. A 2025 study found saliency-guided training can increase adversarial vulnerability rather than reduce it, identifying a real tension between interpretability and robustness objectives [3]. Conversely, a 2026 paper argues semantic reliance is itself a shortcut that harms cross-generator generalization, and proposes removing semantic information rather than emphasizing it [4]. Kotov, Nakov and Nakov's RED framework is the closest prior system to combine Grad-CAM explanations with adversarial training and a combined robustness/fidelity metric (ARI, EF) for AI-generated face detection, but treats explanation as a post-hoc diagnostic on a single model rather than a cross-model disagreement signal [2]. This proposal does not resolve the semantic-vs-artifact disagreement; it reframes it as a source of usable signal rather than a design choice to be settled in advance.</w:t>
      </w:r>
    </w:p>
    <w:p>
      <w:pPr>
        <w:pStyle w:val="Heading2"/>
        <w:spacing w:after="120" w:before="260"/>
      </w:pPr>
      <w:r>
        <w:t xml:space="preserve">3.3 Attacks on Explanations Themselves</w:t>
      </w:r>
    </w:p>
    <w:p>
      <w:pPr>
        <w:spacing w:after="200" w:line="300"/>
        <w:jc w:val="both"/>
      </w:pPr>
      <w:r>
        <w:rPr>
          <w:rFonts w:ascii="Calibri" w:cs="Calibri" w:eastAsia="Calibri" w:hAnsi="Calibri"/>
          <w:b w:val="false"/>
          <w:bCs w:val="false"/>
          <w:i w:val="false"/>
          <w:iCs w:val="false"/>
          <w:sz w:val="22"/>
          <w:szCs w:val="22"/>
        </w:rPr>
        <w:t xml:space="preserve">eXIAA demonstrates a black-box, single-step attack that alters an image so its saliency, Grad-CAM, or SHAP explanation changes substantially while the predicted class and perceptual quality remain unchanged, requiring no access to model weights [5]. This directly motivates threat model T3 and is a standing risk for any defense that trusts a single explanation channel as ground truth.</w:t>
      </w:r>
    </w:p>
    <w:p>
      <w:pPr>
        <w:pStyle w:val="Heading2"/>
        <w:spacing w:after="120" w:before="260"/>
      </w:pPr>
      <w:r>
        <w:t xml:space="preserve">3.4 Reconstruction-Based Detection and Purification Defenses</w:t>
      </w:r>
    </w:p>
    <w:p>
      <w:pPr>
        <w:spacing w:after="200" w:line="300"/>
        <w:jc w:val="both"/>
      </w:pPr>
      <w:r>
        <w:rPr>
          <w:rFonts w:ascii="Calibri" w:cs="Calibri" w:eastAsia="Calibri" w:hAnsi="Calibri"/>
          <w:b w:val="false"/>
          <w:bCs w:val="false"/>
          <w:i w:val="false"/>
          <w:iCs w:val="false"/>
          <w:sz w:val="22"/>
          <w:szCs w:val="22"/>
        </w:rPr>
        <w:t xml:space="preserve">Reconstruction-based detectors (DIRE-style) are themselves adversarially fragile, and standard remedies such as diffusion-based purification hit fundamental bottlenecks rather than resolving that fragility [8]. Adapting robust feature extractors such as RobustCLIP measurably improves resistance to attack relative to undefended baselines [7]. These inform baseline selection in Section 6.</w:t>
      </w:r>
    </w:p>
    <w:p>
      <w:pPr>
        <w:pStyle w:val="Heading2"/>
        <w:spacing w:after="120" w:before="260"/>
      </w:pPr>
      <w:r>
        <w:t xml:space="preserve">3.5 Hybrid Artifact–Semantic Approaches</w:t>
      </w:r>
    </w:p>
    <w:p>
      <w:pPr>
        <w:spacing w:after="200" w:line="300"/>
        <w:jc w:val="both"/>
      </w:pPr>
      <w:r>
        <w:rPr>
          <w:rFonts w:ascii="Calibri" w:cs="Calibri" w:eastAsia="Calibri" w:hAnsi="Calibri"/>
          <w:b w:val="false"/>
          <w:bCs w:val="false"/>
          <w:i w:val="false"/>
          <w:iCs w:val="false"/>
          <w:sz w:val="22"/>
          <w:szCs w:val="22"/>
        </w:rPr>
        <w:t xml:space="preserve">TranX-Adapter bridges low-level artifacts and high-level semantics within multimodal large language models for AI-image detection, indicating the field is independently converging on the idea that neither paradigm alone suffices [10]. TranX-Adapter fuses paradigms internally within one model; CPED instead keeps paradigms externally separable so their disagreement remains measurable and interpretable as a standalone signal.</w:t>
      </w:r>
    </w:p>
    <w:p>
      <w:pPr>
        <w:pStyle w:val="Heading2"/>
        <w:spacing w:after="120" w:before="260"/>
      </w:pPr>
      <w:r>
        <w:t xml:space="preserve">3.6 Disagreement and Multi-View Signals for Adversarial Detection</w:t>
      </w:r>
    </w:p>
    <w:p>
      <w:pPr>
        <w:spacing w:after="200" w:line="300"/>
        <w:jc w:val="both"/>
      </w:pPr>
      <w:r>
        <w:rPr>
          <w:rFonts w:ascii="Calibri" w:cs="Calibri" w:eastAsia="Calibri" w:hAnsi="Calibri"/>
          <w:b w:val="false"/>
          <w:bCs w:val="false"/>
          <w:i w:val="false"/>
          <w:iCs w:val="false"/>
          <w:sz w:val="22"/>
          <w:szCs w:val="22"/>
        </w:rPr>
        <w:t xml:space="preserve">The core mechanism this proposal relies on — using disagreement between independent views or models, rather than any single view's output, as an adversarial signal — is an established pattern, not a new one, and it is important to be precise about what is and is not novel here. Bagnall et al. trained ensembles to agree on clean data and disagree on perturbed inputs, using low agreement at inference as the detection signal [17]. Pang et al. extended this with explicit ensemble-diversity training and reported disagreement as a competitive detection metric across multiple attack types [18]. Closer still, “Two Souls in an Adversarial Image” builds a detector explicitly around multi-view inconsistency, and explicitly frames white-box, defense-aware attackers as the setting that breaks naive versions of this approach, i.e. exactly the T2 concern in Section 2 [19]. The theoretical root of this family is classical co-training theory, where agreement between sufficiently independent views of the same data carries information about label correctness under a conditional-independence assumption [16]. CPED's contribution relative to this lineage is specific: it applies the disagreement principle to interpretable, spatial explanation maps rather than scalar softmax outputs, requires the two views to be paradigm-orthogonal by construction (artifact vs. semantic) rather than merely differently initialized, and adds a trajectory-based variant (Section 5) that has not, to our knowledge, been evaluated for this family of detectors. The adaptive-attack lesson from this literature — that disagreement-based detectors evaluated only against non-adaptive attacks routinely overstate their robustness — is taken directly into the evaluation plan in Section 6 [20][21][22].</w:t>
      </w:r>
    </w:p>
    <w:p>
      <w:pPr>
        <w:pStyle w:val="Heading1"/>
        <w:spacing w:after="160" w:before="360"/>
      </w:pPr>
      <w:r>
        <w:t xml:space="preserve">4. Research Objectives</w:t>
      </w:r>
    </w:p>
    <w:p>
      <w:pPr>
        <w:spacing w:after="200" w:line="300"/>
        <w:jc w:val="both"/>
      </w:pPr>
      <w:r>
        <w:rPr>
          <w:rFonts w:ascii="Calibri" w:cs="Calibri" w:eastAsia="Calibri" w:hAnsi="Calibri"/>
          <w:b w:val="false"/>
          <w:bCs w:val="false"/>
          <w:i w:val="false"/>
          <w:iCs w:val="false"/>
          <w:sz w:val="22"/>
          <w:szCs w:val="22"/>
        </w:rPr>
        <w:t xml:space="preserve">Objectives follow an Observation → Hypothesis → Method → Evaluation → Outcome progression rather than assuming the defense works:</w:t>
      </w:r>
    </w:p>
    <w:p>
      <w:pPr>
        <w:pStyle w:val="ListParagraph"/>
        <w:numPr>
          <w:ilvl w:val="0"/>
          <w:numId w:val="2"/>
        </w:numPr>
        <w:spacing w:after="100" w:line="280"/>
      </w:pPr>
      <w:r>
        <w:rPr>
          <w:rFonts w:ascii="Calibri" w:cs="Calibri" w:eastAsia="Calibri" w:hAnsi="Calibri"/>
          <w:sz w:val="22"/>
          <w:szCs w:val="22"/>
        </w:rPr>
        <w:t xml:space="preserve">Observation: characterize the distribution of CSED(x) on clean art-style diffusion images across artist styles and generators, establishing whether it is a stable, low-variance quantity or too noisy to be informative before any attack is introduced.</w:t>
      </w:r>
    </w:p>
    <w:p>
      <w:pPr>
        <w:pStyle w:val="ListParagraph"/>
        <w:numPr>
          <w:ilvl w:val="0"/>
          <w:numId w:val="2"/>
        </w:numPr>
        <w:spacing w:after="100" w:line="280"/>
      </w:pPr>
      <w:r>
        <w:rPr>
          <w:rFonts w:ascii="Calibri" w:cs="Calibri" w:eastAsia="Calibri" w:hAnsi="Calibri"/>
          <w:sz w:val="22"/>
          <w:szCs w:val="22"/>
        </w:rPr>
        <w:t xml:space="preserve">Hypothesis: adversarial manipulation under T1 perturbs this distribution in a detectable way; test this first, since a negative result here ends the investigation cheaply.</w:t>
      </w:r>
    </w:p>
    <w:p>
      <w:pPr>
        <w:pStyle w:val="ListParagraph"/>
        <w:numPr>
          <w:ilvl w:val="0"/>
          <w:numId w:val="2"/>
        </w:numPr>
        <w:spacing w:after="100" w:line="280"/>
      </w:pPr>
      <w:r>
        <w:rPr>
          <w:rFonts w:ascii="Calibri" w:cs="Calibri" w:eastAsia="Calibri" w:hAnsi="Calibri"/>
          <w:sz w:val="22"/>
          <w:szCs w:val="22"/>
        </w:rPr>
        <w:t xml:space="preserve">Method: implement the two-stream measurement framework (Section 5), the calibrated (not forced-equality) CSED formulation, and the trajectory-based extension.</w:t>
      </w:r>
    </w:p>
    <w:p>
      <w:pPr>
        <w:pStyle w:val="ListParagraph"/>
        <w:numPr>
          <w:ilvl w:val="0"/>
          <w:numId w:val="2"/>
        </w:numPr>
        <w:spacing w:after="100" w:line="280"/>
      </w:pPr>
      <w:r>
        <w:rPr>
          <w:rFonts w:ascii="Calibri" w:cs="Calibri" w:eastAsia="Calibri" w:hAnsi="Calibri"/>
          <w:sz w:val="22"/>
          <w:szCs w:val="22"/>
        </w:rPr>
        <w:t xml:space="preserve">Evaluation: test survival of the T1 result under T2 (CSED-aware adaptive attack) and characterize behavior under T3 (explanation-targeted, label-preserving attack), per Section 6.</w:t>
      </w:r>
    </w:p>
    <w:p>
      <w:pPr>
        <w:pStyle w:val="ListParagraph"/>
        <w:numPr>
          <w:ilvl w:val="0"/>
          <w:numId w:val="2"/>
        </w:numPr>
        <w:spacing w:after="100" w:line="280"/>
      </w:pPr>
      <w:r>
        <w:rPr>
          <w:rFonts w:ascii="Calibri" w:cs="Calibri" w:eastAsia="Calibri" w:hAnsi="Calibri"/>
          <w:sz w:val="22"/>
          <w:szCs w:val="22"/>
        </w:rPr>
        <w:t xml:space="preserve">Outcome: report where CSED succeeds, where it fails, and why — including a negative or partial result if that is what the evidence shows — and only then assess whether a training-time or inference-time defense built on it is warranted.</w:t>
      </w:r>
    </w:p>
    <w:p>
      <w:pPr>
        <w:pStyle w:val="Heading1"/>
        <w:spacing w:after="160" w:before="360"/>
      </w:pPr>
      <w:r>
        <w:t xml:space="preserve">5. Proposed Method: Cross-Paradigm Explanation Divergence (CPED)</w:t>
      </w:r>
    </w:p>
    <w:p>
      <w:pPr>
        <w:spacing w:after="200" w:line="300"/>
        <w:jc w:val="both"/>
      </w:pPr>
      <w:r>
        <w:rPr>
          <w:rFonts w:ascii="Calibri" w:cs="Calibri" w:eastAsia="Calibri" w:hAnsi="Calibri"/>
          <w:b w:val="false"/>
          <w:bCs w:val="false"/>
          <w:i w:val="false"/>
          <w:iCs w:val="false"/>
          <w:sz w:val="22"/>
          <w:szCs w:val="22"/>
        </w:rPr>
        <w:t xml:space="preserve">CPED uses two independently and normally trained detectors on orthogonal feature paradigms — named this way deliberately so the framework generalizes: paradigm 1 (artifact/frequency) and paradigm 2 (semantic) are the paradigms studied here, but either could later be replaced with a reconstruction-error or multimodal paradigm without changing the measurement framework.</w:t>
      </w:r>
    </w:p>
    <w:p>
      <w:pPr>
        <w:spacing w:after="200" w:line="300"/>
        <w:jc w:val="both"/>
      </w:pPr>
      <w:r>
        <w:rPr>
          <w:rFonts w:ascii="Calibri" w:cs="Calibri" w:eastAsia="Calibri" w:hAnsi="Calibri"/>
          <w:b/>
          <w:bCs/>
          <w:sz w:val="22"/>
          <w:szCs w:val="22"/>
        </w:rPr>
        <w:t xml:space="preserve">Paradigm 1 — artifact/frequency detector: </w:t>
      </w:r>
      <w:r>
        <w:rPr>
          <w:rFonts w:ascii="Calibri" w:cs="Calibri" w:eastAsia="Calibri" w:hAnsi="Calibri"/>
          <w:sz w:val="22"/>
          <w:szCs w:val="22"/>
        </w:rPr>
        <w:t xml:space="preserve">a CNN or spectral classifier trained to detect low-level generative fingerprints (upsampling artifacts, spectral periodicity).</w:t>
      </w:r>
    </w:p>
    <w:p>
      <w:pPr>
        <w:spacing w:after="200" w:line="300"/>
        <w:jc w:val="both"/>
      </w:pPr>
      <w:r>
        <w:rPr>
          <w:rFonts w:ascii="Calibri" w:cs="Calibri" w:eastAsia="Calibri" w:hAnsi="Calibri"/>
          <w:b/>
          <w:bCs/>
          <w:sz w:val="22"/>
          <w:szCs w:val="22"/>
        </w:rPr>
        <w:t xml:space="preserve">Paradigm 2 — semantic detector: </w:t>
      </w:r>
      <w:r>
        <w:rPr>
          <w:rFonts w:ascii="Calibri" w:cs="Calibri" w:eastAsia="Calibri" w:hAnsi="Calibri"/>
          <w:sz w:val="22"/>
          <w:szCs w:val="22"/>
        </w:rPr>
        <w:t xml:space="preserve">a CLIP/ViT-backed classifier (UnivFD-style) trained to detect higher-level cues (anatomical coherence, lighting consistency, compositional plausibility).</w:t>
      </w:r>
    </w:p>
    <w:p>
      <w:pPr>
        <w:spacing w:after="200" w:line="300"/>
        <w:jc w:val="both"/>
      </w:pPr>
      <w:r>
        <w:rPr>
          <w:rFonts w:ascii="Calibri" w:cs="Calibri" w:eastAsia="Calibri" w:hAnsi="Calibri"/>
          <w:b w:val="false"/>
          <w:bCs w:val="false"/>
          <w:i w:val="false"/>
          <w:iCs w:val="false"/>
          <w:sz w:val="22"/>
          <w:szCs w:val="22"/>
        </w:rPr>
        <w:t xml:space="preserve">Critically, neither detector's training objective is modified to accommodate the other in the core method — both are trained normally and independently, avoiding the theoretical objection that forcing agreement between paradigms that should legitimately look at different evidence destroys the very diversity the signal depends on.</w:t>
      </w:r>
    </w:p>
    <w:p>
      <w:pPr>
        <w:spacing w:after="200" w:line="300"/>
        <w:jc w:val="both"/>
      </w:pPr>
      <w:r>
        <w:rPr>
          <w:rFonts w:ascii="Calibri" w:cs="Calibri" w:eastAsia="Calibri" w:hAnsi="Calibri"/>
          <w:b/>
          <w:bCs/>
          <w:sz w:val="22"/>
          <w:szCs w:val="22"/>
        </w:rPr>
        <w:t xml:space="preserve">Calibrated divergence, not forced equality: </w:t>
      </w:r>
      <w:r>
        <w:rPr>
          <w:rFonts w:ascii="Calibri" w:cs="Calibri" w:eastAsia="Calibri" w:hAnsi="Calibri"/>
          <w:sz w:val="22"/>
          <w:szCs w:val="22"/>
        </w:rPr>
        <w:t xml:space="preserve">for each image, extract E_A(x) and E_B(x) via Grad-CAM and compute CSED(x) = D(E_A(x), E_B(x)). Rather than training either stream to minimize this quantity, we fit a calibration model of p(CSED | clean) on held-out clean data — per generator and per artist-style where relevant — and treat significant deviation from this calibrated expectation, not the raw magnitude of CSED, as the anomaly signal. This directly addresses the objection that two paradigms which naturally attend to different regions should not be pushed toward identical explanations.</w:t>
      </w:r>
    </w:p>
    <w:p>
      <w:pPr>
        <w:spacing w:after="200" w:line="300"/>
        <w:jc w:val="both"/>
      </w:pPr>
      <w:r>
        <w:rPr>
          <w:rFonts w:ascii="Calibri" w:cs="Calibri" w:eastAsia="Calibri" w:hAnsi="Calibri"/>
          <w:b/>
          <w:bCs/>
          <w:sz w:val="22"/>
          <w:szCs w:val="22"/>
        </w:rPr>
        <w:t xml:space="preserve">Trajectory-based extension: </w:t>
      </w:r>
      <w:r>
        <w:rPr>
          <w:rFonts w:ascii="Calibri" w:cs="Calibri" w:eastAsia="Calibri" w:hAnsi="Calibri"/>
          <w:sz w:val="22"/>
          <w:szCs w:val="22"/>
        </w:rPr>
        <w:t xml:space="preserve">for iterative attacks (PGD, C&amp;W, AutoAttack), compute CSED_t at every optimization step, producing a trajectory rather than a single scalar. A clean or weakly-perturbed input is expected to show a flat, low-variance trajectory; a successful T1 attack is hypothesized to produce a trajectory with detectable drift. This is evaluated under its own adaptive variant (T2-trajectory): an attacker who regularizes CSED at every step of their own attack loop, not only at the final iterate, since a trajectory-based signal that is only tested against attackers optimizing the endpoint has not actually been adaptively evaluated.</w:t>
      </w:r>
    </w:p>
    <w:p>
      <w:pPr>
        <w:spacing w:after="200" w:line="300"/>
        <w:jc w:val="both"/>
      </w:pPr>
      <w:r>
        <w:rPr>
          <w:rFonts w:ascii="Calibri" w:cs="Calibri" w:eastAsia="Calibri" w:hAnsi="Calibri"/>
          <w:b/>
          <w:bCs/>
          <w:sz w:val="22"/>
          <w:szCs w:val="22"/>
        </w:rPr>
        <w:t xml:space="preserve">Inference-time decision: </w:t>
      </w:r>
      <w:r>
        <w:rPr>
          <w:rFonts w:ascii="Calibri" w:cs="Calibri" w:eastAsia="Calibri" w:hAnsi="Calibri"/>
          <w:sz w:val="22"/>
          <w:szCs w:val="22"/>
        </w:rPr>
        <w:t xml:space="preserve">rather than a hand-set threshold on CSED, a small learned classifier (logistic regression or shallow MLP) is trained on a feature vector — CSED, per-stream prediction entropy, stream agreement, per-stream confidence, Grad-CAM spatial overlap, saliency variance, and trajectory-derived features (slope, variance) where available — to separate clean from attacked calibration examples. This is presented as a candidate detector to be evaluated, not assumed to generalize.</w:t>
      </w:r>
    </w:p>
    <w:p>
      <w:pPr>
        <w:spacing w:after="200" w:line="300"/>
        <w:jc w:val="both"/>
      </w:pPr>
      <w:r>
        <w:rPr>
          <w:rFonts w:ascii="Calibri" w:cs="Calibri" w:eastAsia="Calibri" w:hAnsi="Calibri"/>
          <w:b/>
          <w:bCs/>
          <w:sz w:val="22"/>
          <w:szCs w:val="22"/>
        </w:rPr>
        <w:t xml:space="preserve">Conditional future step (not a core claim of this proposal): </w:t>
      </w:r>
      <w:r>
        <w:rPr>
          <w:rFonts w:ascii="Calibri" w:cs="Calibri" w:eastAsia="Calibri" w:hAnsi="Calibri"/>
          <w:sz w:val="22"/>
          <w:szCs w:val="22"/>
        </w:rPr>
        <w:t xml:space="preserve">only if the phenomenon is observed under T1 and survives T2, a follow-up study may explore whether calibrated divergence can also serve as a training-time regularizer to shape more robust base detectors. This is explicitly deferred pending the outcome of Objective 4–5, to avoid conflating an untested training claim with the measurement claim this proposal is actually equipped to support.</w:t>
      </w:r>
    </w:p>
    <w:p>
      <w:pPr>
        <w:pStyle w:val="Heading1"/>
        <w:spacing w:after="160" w:before="360"/>
      </w:pPr>
      <w:r>
        <w:t xml:space="preserve">6. Evaluation Plan</w:t>
      </w:r>
    </w:p>
    <w:p>
      <w:pPr>
        <w:pStyle w:val="Heading2"/>
        <w:spacing w:after="120" w:before="260"/>
      </w:pPr>
      <w:r>
        <w:t xml:space="preserve">6.1 Datasets</w:t>
      </w:r>
    </w:p>
    <w:p>
      <w:pPr>
        <w:pStyle w:val="ListParagraph"/>
        <w:numPr>
          <w:ilvl w:val="0"/>
          <w:numId w:val="3"/>
        </w:numPr>
        <w:spacing w:after="100" w:line="280"/>
      </w:pPr>
      <w:r>
        <w:rPr>
          <w:rFonts w:ascii="Calibri" w:cs="Calibri" w:eastAsia="Calibri" w:hAnsi="Calibri"/>
          <w:sz w:val="22"/>
          <w:szCs w:val="22"/>
        </w:rPr>
        <w:t xml:space="preserve">GenImage and/or DRCT image pairs for broad generator coverage (Stable Diffusion 3, Midjourney v6, Flux, and older generators for cross-generator generalization).</w:t>
      </w:r>
    </w:p>
    <w:p>
      <w:pPr>
        <w:pStyle w:val="ListParagraph"/>
        <w:numPr>
          <w:ilvl w:val="0"/>
          <w:numId w:val="3"/>
        </w:numPr>
        <w:spacing w:after="100" w:line="280"/>
      </w:pPr>
      <w:r>
        <w:rPr>
          <w:rFonts w:ascii="Calibri" w:cs="Calibri" w:eastAsia="Calibri" w:hAnsi="Calibri"/>
          <w:sz w:val="22"/>
          <w:szCs w:val="22"/>
        </w:rPr>
        <w:t xml:space="preserve">NTIRE 2026 Robust AI-Generated Image Detection challenge data where accessible, for comparability with a shared benchmark [6].</w:t>
      </w:r>
    </w:p>
    <w:p>
      <w:pPr>
        <w:pStyle w:val="Heading2"/>
        <w:spacing w:after="120" w:before="260"/>
      </w:pPr>
      <w:r>
        <w:t xml:space="preserve">6.2 Baselines</w:t>
      </w:r>
    </w:p>
    <w:p>
      <w:pPr>
        <w:pStyle w:val="ListParagraph"/>
        <w:numPr>
          <w:ilvl w:val="0"/>
          <w:numId w:val="3"/>
        </w:numPr>
        <w:spacing w:after="100" w:line="280"/>
      </w:pPr>
      <w:r>
        <w:rPr>
          <w:rFonts w:ascii="Calibri" w:cs="Calibri" w:eastAsia="Calibri" w:hAnsi="Calibri"/>
          <w:sz w:val="22"/>
          <w:szCs w:val="22"/>
        </w:rPr>
        <w:t xml:space="preserve">Single-paradigm artifact/frequency detector (no divergence signal).</w:t>
      </w:r>
    </w:p>
    <w:p>
      <w:pPr>
        <w:pStyle w:val="ListParagraph"/>
        <w:numPr>
          <w:ilvl w:val="0"/>
          <w:numId w:val="3"/>
        </w:numPr>
        <w:spacing w:after="100" w:line="280"/>
      </w:pPr>
      <w:r>
        <w:rPr>
          <w:rFonts w:ascii="Calibri" w:cs="Calibri" w:eastAsia="Calibri" w:hAnsi="Calibri"/>
          <w:sz w:val="22"/>
          <w:szCs w:val="22"/>
        </w:rPr>
        <w:t xml:space="preserve">Single-paradigm CLIP/semantic detector (no divergence signal).</w:t>
      </w:r>
    </w:p>
    <w:p>
      <w:pPr>
        <w:pStyle w:val="ListParagraph"/>
        <w:numPr>
          <w:ilvl w:val="0"/>
          <w:numId w:val="3"/>
        </w:numPr>
        <w:spacing w:after="100" w:line="280"/>
      </w:pPr>
      <w:r>
        <w:rPr>
          <w:rFonts w:ascii="Calibri" w:cs="Calibri" w:eastAsia="Calibri" w:hAnsi="Calibri"/>
          <w:sz w:val="22"/>
          <w:szCs w:val="22"/>
        </w:rPr>
        <w:t xml:space="preserve">RED-style Grad-CAM-guided adversarial training on a single stream [2].</w:t>
      </w:r>
    </w:p>
    <w:p>
      <w:pPr>
        <w:pStyle w:val="ListParagraph"/>
        <w:numPr>
          <w:ilvl w:val="0"/>
          <w:numId w:val="3"/>
        </w:numPr>
        <w:spacing w:after="100" w:line="280"/>
      </w:pPr>
      <w:r>
        <w:rPr>
          <w:rFonts w:ascii="Calibri" w:cs="Calibri" w:eastAsia="Calibri" w:hAnsi="Calibri"/>
          <w:sz w:val="22"/>
          <w:szCs w:val="22"/>
        </w:rPr>
        <w:t xml:space="preserve">Ensemble-disagreement detector in the style of Bagnall et al. / Pang et al., using raw softmax disagreement instead of explanation-map divergence, as the direct ablation isolating what explanation-based divergence adds over label-based disagreement [17][18].</w:t>
      </w:r>
    </w:p>
    <w:p>
      <w:pPr>
        <w:pStyle w:val="Heading2"/>
        <w:spacing w:after="120" w:before="260"/>
      </w:pPr>
      <w:r>
        <w:t xml:space="preserve">6.3 Threat-Model-Structured Attack Suite</w:t>
      </w:r>
    </w:p>
    <w:p>
      <w:pPr>
        <w:pStyle w:val="ListParagraph"/>
        <w:numPr>
          <w:ilvl w:val="0"/>
          <w:numId w:val="3"/>
        </w:numPr>
        <w:spacing w:after="100" w:line="280"/>
      </w:pPr>
      <w:r>
        <w:rPr>
          <w:rFonts w:ascii="Calibri" w:cs="Calibri" w:eastAsia="Calibri" w:hAnsi="Calibri"/>
          <w:sz w:val="22"/>
          <w:szCs w:val="22"/>
        </w:rPr>
        <w:t xml:space="preserve">T1 — FGSM, PGD, C&amp;W under bounded ℓ∞ / ℓ₂ budgets, and the adversarial pipeline from Ha et al. replicated on art-style generations [1].</w:t>
      </w:r>
    </w:p>
    <w:p>
      <w:pPr>
        <w:pStyle w:val="ListParagraph"/>
        <w:numPr>
          <w:ilvl w:val="0"/>
          <w:numId w:val="3"/>
        </w:numPr>
        <w:spacing w:after="100" w:line="280"/>
      </w:pPr>
      <w:r>
        <w:rPr>
          <w:rFonts w:ascii="Calibri" w:cs="Calibri" w:eastAsia="Calibri" w:hAnsi="Calibri"/>
          <w:sz w:val="22"/>
          <w:szCs w:val="22"/>
        </w:rPr>
        <w:t xml:space="preserve">T2 — the same attacks augmented with an explicit CSED-suppression term in the attacker's objective, both for the static and trajectory formulations.</w:t>
      </w:r>
    </w:p>
    <w:p>
      <w:pPr>
        <w:pStyle w:val="ListParagraph"/>
        <w:numPr>
          <w:ilvl w:val="0"/>
          <w:numId w:val="3"/>
        </w:numPr>
        <w:spacing w:after="100" w:line="280"/>
      </w:pPr>
      <w:r>
        <w:rPr>
          <w:rFonts w:ascii="Calibri" w:cs="Calibri" w:eastAsia="Calibri" w:hAnsi="Calibri"/>
          <w:sz w:val="22"/>
          <w:szCs w:val="22"/>
        </w:rPr>
        <w:t xml:space="preserve">T3 — eXIAA-style explanation-targeted attacks that preserve the predicted label [5].</w:t>
      </w:r>
    </w:p>
    <w:p>
      <w:pPr>
        <w:pStyle w:val="Heading2"/>
        <w:spacing w:after="120" w:before="260"/>
      </w:pPr>
      <w:r>
        <w:t xml:space="preserve">6.4 Metrics</w:t>
      </w:r>
    </w:p>
    <w:p>
      <w:pPr>
        <w:pStyle w:val="ListParagraph"/>
        <w:numPr>
          <w:ilvl w:val="0"/>
          <w:numId w:val="3"/>
        </w:numPr>
        <w:spacing w:after="100" w:line="280"/>
      </w:pPr>
      <w:r>
        <w:rPr>
          <w:rFonts w:ascii="Calibri" w:cs="Calibri" w:eastAsia="Calibri" w:hAnsi="Calibri"/>
          <w:sz w:val="22"/>
          <w:szCs w:val="22"/>
        </w:rPr>
        <w:t xml:space="preserve">Phenomenon validation (primary, reported first): AUC of CSED (and the calibrated-deviation score) as a standalone classifier of clean vs. T1 / T2 / T3 inputs, with statistical tests (e.g., KS-test) on the CSED distributions rather than a single accuracy number.</w:t>
      </w:r>
    </w:p>
    <w:p>
      <w:pPr>
        <w:pStyle w:val="ListParagraph"/>
        <w:numPr>
          <w:ilvl w:val="0"/>
          <w:numId w:val="3"/>
        </w:numPr>
        <w:spacing w:after="100" w:line="280"/>
      </w:pPr>
      <w:r>
        <w:rPr>
          <w:rFonts w:ascii="Calibri" w:cs="Calibri" w:eastAsia="Calibri" w:hAnsi="Calibri"/>
          <w:sz w:val="22"/>
          <w:szCs w:val="22"/>
        </w:rPr>
        <w:t xml:space="preserve">Adversarial Robustness Index (ARI) and Explainability Fidelity (EF), adopted from Kotov et al. for cross-study comparability [2].</w:t>
      </w:r>
    </w:p>
    <w:p>
      <w:pPr>
        <w:pStyle w:val="ListParagraph"/>
        <w:numPr>
          <w:ilvl w:val="0"/>
          <w:numId w:val="3"/>
        </w:numPr>
        <w:spacing w:after="100" w:line="280"/>
      </w:pPr>
      <w:r>
        <w:rPr>
          <w:rFonts w:ascii="Calibri" w:cs="Calibri" w:eastAsia="Calibri" w:hAnsi="Calibri"/>
          <w:sz w:val="22"/>
          <w:szCs w:val="22"/>
        </w:rPr>
        <w:t xml:space="preserve">Trajectory separability: AUC of trajectory-derived features (slope, variance) under T1 vs. T2-trajectory.</w:t>
      </w:r>
    </w:p>
    <w:p>
      <w:pPr>
        <w:pStyle w:val="Heading2"/>
        <w:spacing w:after="120" w:before="260"/>
      </w:pPr>
      <w:r>
        <w:t xml:space="preserve">6.5 Ablations</w:t>
      </w:r>
    </w:p>
    <w:p>
      <w:pPr>
        <w:pStyle w:val="ListParagraph"/>
        <w:numPr>
          <w:ilvl w:val="0"/>
          <w:numId w:val="3"/>
        </w:numPr>
        <w:spacing w:after="100" w:line="280"/>
      </w:pPr>
      <w:r>
        <w:rPr>
          <w:rFonts w:ascii="Calibri" w:cs="Calibri" w:eastAsia="Calibri" w:hAnsi="Calibri"/>
          <w:sz w:val="22"/>
          <w:szCs w:val="22"/>
        </w:rPr>
        <w:t xml:space="preserve">Calibrated-deviation CSED vs. raw CSED magnitude, to test whether calibration actually matters.</w:t>
      </w:r>
    </w:p>
    <w:p>
      <w:pPr>
        <w:pStyle w:val="ListParagraph"/>
        <w:numPr>
          <w:ilvl w:val="0"/>
          <w:numId w:val="3"/>
        </w:numPr>
        <w:spacing w:after="100" w:line="280"/>
      </w:pPr>
      <w:r>
        <w:rPr>
          <w:rFonts w:ascii="Calibri" w:cs="Calibri" w:eastAsia="Calibri" w:hAnsi="Calibri"/>
          <w:sz w:val="22"/>
          <w:szCs w:val="22"/>
        </w:rPr>
        <w:t xml:space="preserve">Distance function D: cosine, Jensen–Shannon, Wasserstein — reported as a comparison, not assumed.</w:t>
      </w:r>
    </w:p>
    <w:p>
      <w:pPr>
        <w:pStyle w:val="ListParagraph"/>
        <w:numPr>
          <w:ilvl w:val="0"/>
          <w:numId w:val="3"/>
        </w:numPr>
        <w:spacing w:after="100" w:line="280"/>
      </w:pPr>
      <w:r>
        <w:rPr>
          <w:rFonts w:ascii="Calibri" w:cs="Calibri" w:eastAsia="Calibri" w:hAnsi="Calibri"/>
          <w:sz w:val="22"/>
          <w:szCs w:val="22"/>
        </w:rPr>
        <w:t xml:space="preserve">Explanation-map divergence vs. raw softmax disagreement (isolating the contribution of Section 3.6's baseline).</w:t>
      </w:r>
    </w:p>
    <w:p>
      <w:pPr>
        <w:pStyle w:val="ListParagraph"/>
        <w:numPr>
          <w:ilvl w:val="0"/>
          <w:numId w:val="3"/>
        </w:numPr>
        <w:spacing w:after="100" w:line="280"/>
      </w:pPr>
      <w:r>
        <w:rPr>
          <w:rFonts w:ascii="Calibri" w:cs="Calibri" w:eastAsia="Calibri" w:hAnsi="Calibri"/>
          <w:sz w:val="22"/>
          <w:szCs w:val="22"/>
        </w:rPr>
        <w:t xml:space="preserve">Cross-generator transfer of the calibration model and the learned inference-time classifier.</w:t>
      </w:r>
    </w:p>
    <w:p>
      <w:pPr>
        <w:pStyle w:val="Heading1"/>
        <w:spacing w:after="160" w:before="360"/>
      </w:pPr>
      <w:r>
        <w:t xml:space="preserve">7. Expected Contributions</w:t>
      </w:r>
    </w:p>
    <w:p>
      <w:pPr>
        <w:pStyle w:val="ListParagraph"/>
        <w:numPr>
          <w:ilvl w:val="0"/>
          <w:numId w:val="3"/>
        </w:numPr>
        <w:spacing w:after="100" w:line="280"/>
      </w:pPr>
      <w:r>
        <w:rPr>
          <w:rFonts w:ascii="Calibri" w:cs="Calibri" w:eastAsia="Calibri" w:hAnsi="Calibri"/>
          <w:sz w:val="22"/>
          <w:szCs w:val="22"/>
        </w:rPr>
        <w:t xml:space="preserve">An empirical answer, specific to art-style diffusion output, to whether cross-paradigm explanation divergence is a stable, characterizable phenomenon on clean data and under three explicitly separated adversarial threat models — reported honestly even if the answer is partial or negative.</w:t>
      </w:r>
    </w:p>
    <w:p>
      <w:pPr>
        <w:pStyle w:val="ListParagraph"/>
        <w:numPr>
          <w:ilvl w:val="0"/>
          <w:numId w:val="3"/>
        </w:numPr>
        <w:spacing w:after="100" w:line="280"/>
      </w:pPr>
      <w:r>
        <w:rPr>
          <w:rFonts w:ascii="Calibri" w:cs="Calibri" w:eastAsia="Calibri" w:hAnsi="Calibri"/>
          <w:sz w:val="22"/>
          <w:szCs w:val="22"/>
        </w:rPr>
        <w:t xml:space="preserve">A precise positioning of this phenomenon relative to the existing ensemble-disagreement and multi-view-inconsistency literature, isolating what explanation-map-based, paradigm-orthogonal divergence adds over prior softmax-disagreement detectors.</w:t>
      </w:r>
    </w:p>
    <w:p>
      <w:pPr>
        <w:pStyle w:val="ListParagraph"/>
        <w:numPr>
          <w:ilvl w:val="0"/>
          <w:numId w:val="3"/>
        </w:numPr>
        <w:spacing w:after="100" w:line="280"/>
      </w:pPr>
      <w:r>
        <w:rPr>
          <w:rFonts w:ascii="Calibri" w:cs="Calibri" w:eastAsia="Calibri" w:hAnsi="Calibri"/>
          <w:sz w:val="22"/>
          <w:szCs w:val="22"/>
        </w:rPr>
        <w:t xml:space="preserve">A trajectory-based divergence signal and, to our knowledge, its first evaluation against an attacker adaptive to the trajectory formulation itself, not only to the static endpoint.</w:t>
      </w:r>
    </w:p>
    <w:p>
      <w:pPr>
        <w:pStyle w:val="ListParagraph"/>
        <w:numPr>
          <w:ilvl w:val="0"/>
          <w:numId w:val="3"/>
        </w:numPr>
        <w:spacing w:after="100" w:line="280"/>
      </w:pPr>
      <w:r>
        <w:rPr>
          <w:rFonts w:ascii="Calibri" w:cs="Calibri" w:eastAsia="Calibri" w:hAnsi="Calibri"/>
          <w:sz w:val="22"/>
          <w:szCs w:val="22"/>
        </w:rPr>
        <w:t xml:space="preserve">If the phenomenon survives adaptive evaluation, a learned inference-time detector as a practical byproduct; broader applicability to deepfake, medical-imaging, or multimodal-LLM forensics is discussed as motivation for future work, not claimed as an empirical result of this study.</w:t>
      </w:r>
    </w:p>
    <w:p>
      <w:pPr>
        <w:pStyle w:val="Heading1"/>
        <w:spacing w:after="160" w:before="360"/>
      </w:pPr>
      <w:r>
        <w:t xml:space="preserve">8. Phased Plan</w:t>
      </w:r>
    </w:p>
    <w:p>
      <w:pPr>
        <w:pStyle w:val="Heading2"/>
        <w:spacing w:after="120" w:before="260"/>
      </w:pPr>
      <w:r>
        <w:t xml:space="preserve">8.1 Phase 0 — Pilot / Go-No-Go (2–3 weeks, single GPU)</w:t>
      </w:r>
    </w:p>
    <w:p>
      <w:pPr>
        <w:spacing w:after="200" w:line="300"/>
        <w:jc w:val="both"/>
      </w:pPr>
      <w:r>
        <w:rPr>
          <w:rFonts w:ascii="Calibri" w:cs="Calibri" w:eastAsia="Calibri" w:hAnsi="Calibri"/>
          <w:b w:val="false"/>
          <w:bCs w:val="false"/>
          <w:i w:val="false"/>
          <w:iCs w:val="false"/>
          <w:sz w:val="22"/>
          <w:szCs w:val="22"/>
        </w:rPr>
        <w:t xml:space="preserve">Combine an existing public artifact/frequency detector with an existing public CLIP-based semantic detector, extract Grad-CAM explanations, and test the Observation and Hypothesis steps only: is CSED stable on clean data, and does it shift under T1? If not, stop here — this is the cheapest possible falsification test. If it does, immediately run the T2 adaptive variant on the same small setup before any further investment, since this is the result the entire proposal depends on.</w:t>
      </w:r>
    </w:p>
    <w:p>
      <w:pPr>
        <w:pStyle w:val="Heading2"/>
        <w:spacing w:after="120" w:before="260"/>
      </w:pPr>
      <w:r>
        <w:t xml:space="preserve">8.2 Phase 1 (Months 1–2)</w:t>
      </w:r>
    </w:p>
    <w:p>
      <w:pPr>
        <w:spacing w:after="200" w:line="300"/>
        <w:jc w:val="both"/>
      </w:pPr>
      <w:r>
        <w:rPr>
          <w:rFonts w:ascii="Calibri" w:cs="Calibri" w:eastAsia="Calibri" w:hAnsi="Calibri"/>
          <w:b w:val="false"/>
          <w:bCs w:val="false"/>
          <w:i w:val="false"/>
          <w:iCs w:val="false"/>
          <w:sz w:val="22"/>
          <w:szCs w:val="22"/>
        </w:rPr>
        <w:t xml:space="preserve">If Phase 0 is positive under both T1 and T2: implement the full calibration model, the learned inference-time classifier, and reproduce baseline numbers (RED, ensemble-disagreement) on the same data split.</w:t>
      </w:r>
    </w:p>
    <w:p>
      <w:pPr>
        <w:pStyle w:val="Heading2"/>
        <w:spacing w:after="120" w:before="260"/>
      </w:pPr>
      <w:r>
        <w:t xml:space="preserve">8.3 Phase 2 (Months 2–4)</w:t>
      </w:r>
    </w:p>
    <w:p>
      <w:pPr>
        <w:spacing w:after="200" w:line="300"/>
        <w:jc w:val="both"/>
      </w:pPr>
      <w:r>
        <w:rPr>
          <w:rFonts w:ascii="Calibri" w:cs="Calibri" w:eastAsia="Calibri" w:hAnsi="Calibri"/>
          <w:b w:val="false"/>
          <w:bCs w:val="false"/>
          <w:i w:val="false"/>
          <w:iCs w:val="false"/>
          <w:sz w:val="22"/>
          <w:szCs w:val="22"/>
        </w:rPr>
        <w:t xml:space="preserve">Full evaluation across T1/T2/T3, trajectory analysis and its adaptive variant, ablations, and NTIRE 2026 benchmark submission if data and timeline permit.</w:t>
      </w:r>
    </w:p>
    <w:p>
      <w:pPr>
        <w:pStyle w:val="Heading2"/>
        <w:spacing w:after="120" w:before="260"/>
      </w:pPr>
      <w:r>
        <w:t xml:space="preserve">8.4 Phase 3 (Months 4–5)</w:t>
      </w:r>
    </w:p>
    <w:p>
      <w:pPr>
        <w:spacing w:after="200" w:line="300"/>
        <w:jc w:val="both"/>
      </w:pPr>
      <w:r>
        <w:rPr>
          <w:rFonts w:ascii="Calibri" w:cs="Calibri" w:eastAsia="Calibri" w:hAnsi="Calibri"/>
          <w:b w:val="false"/>
          <w:bCs w:val="false"/>
          <w:i w:val="false"/>
          <w:iCs w:val="false"/>
          <w:sz w:val="22"/>
          <w:szCs w:val="22"/>
        </w:rPr>
        <w:t xml:space="preserve">Write-up and error analysis. Only if results remain positive through Phase 2 do we scope the conditional training-time regularizer described in Section 5 as future work rather than as a result of this study.</w:t>
      </w:r>
    </w:p>
    <w:p>
      <w:pPr>
        <w:pStyle w:val="Heading1"/>
        <w:spacing w:after="160" w:before="360"/>
      </w:pPr>
      <w:r>
        <w:t xml:space="preserve">References</w:t>
      </w:r>
    </w:p>
    <w:p>
      <w:pPr>
        <w:spacing w:after="160" w:line="260"/>
        <w:ind w:left="431" w:hanging="431"/>
      </w:pPr>
      <w:r>
        <w:rPr>
          <w:rFonts w:ascii="Calibri" w:cs="Calibri" w:eastAsia="Calibri" w:hAnsi="Calibri"/>
          <w:sz w:val="21"/>
          <w:szCs w:val="21"/>
        </w:rPr>
        <w:t xml:space="preserve">[1]  Ha, A. Y. J., Passananti, J., Bhaskar, R., Shan, S., Southen, R., Zheng, H., &amp; Zhao, B. Y. (2024). Organic or Diffused: Can We Distinguish Human Art from AI-generated Images? Proceedings of ACM CCS 2024. arXiv:2402.03214.</w:t>
      </w:r>
    </w:p>
    <w:p>
      <w:pPr>
        <w:spacing w:after="160" w:line="260"/>
        <w:ind w:left="431" w:hanging="431"/>
      </w:pPr>
      <w:r>
        <w:rPr>
          <w:rFonts w:ascii="Calibri" w:cs="Calibri" w:eastAsia="Calibri" w:hAnsi="Calibri"/>
          <w:sz w:val="21"/>
          <w:szCs w:val="21"/>
        </w:rPr>
        <w:t xml:space="preserve">[2]  Kotov, G., Nakov, P., &amp; Nakov, O. (2026). Adversarial Robustness and Explainability in AI-Generated Face Detection. Engineering Proceedings, 150(1), 52. https://doi.org/10.3390/engproc2026150052</w:t>
      </w:r>
    </w:p>
    <w:p>
      <w:pPr>
        <w:spacing w:after="160" w:line="260"/>
        <w:ind w:left="431" w:hanging="431"/>
      </w:pPr>
      <w:r>
        <w:rPr>
          <w:rFonts w:ascii="Calibri" w:cs="Calibri" w:eastAsia="Calibri" w:hAnsi="Calibri"/>
          <w:sz w:val="21"/>
          <w:szCs w:val="21"/>
        </w:rPr>
        <w:t xml:space="preserve">[3]  On the Connection between Saliency Guided Training and Robustness in Image Classification. IEEE Xplore Conference Publication (2024–2025). https://ieeexplore.ieee.org/document/10477811</w:t>
      </w:r>
    </w:p>
    <w:p>
      <w:pPr>
        <w:spacing w:after="160" w:line="260"/>
        <w:ind w:left="431" w:hanging="431"/>
      </w:pPr>
      <w:r>
        <w:rPr>
          <w:rFonts w:ascii="Calibri" w:cs="Calibri" w:eastAsia="Calibri" w:hAnsi="Calibri"/>
          <w:sz w:val="21"/>
          <w:szCs w:val="21"/>
        </w:rPr>
        <w:t xml:space="preserve">[4]  Shuai, C. et al. (2026). When Detectors Forget Forensics: Blocking Semantic Shortcuts for Generalizable AI-Generated Image Detection. arXiv:2603.09242.</w:t>
      </w:r>
    </w:p>
    <w:p>
      <w:pPr>
        <w:spacing w:after="160" w:line="260"/>
        <w:ind w:left="431" w:hanging="431"/>
      </w:pPr>
      <w:r>
        <w:rPr>
          <w:rFonts w:ascii="Calibri" w:cs="Calibri" w:eastAsia="Calibri" w:hAnsi="Calibri"/>
          <w:sz w:val="21"/>
          <w:szCs w:val="21"/>
        </w:rPr>
        <w:t xml:space="preserve">[5]  Pesce, L., Wei, J., &amp; Mengaldo, G. (2025). eXIAA: eXplainable Injections for Adversarial Attack. arXiv:2511.10088.</w:t>
      </w:r>
    </w:p>
    <w:p>
      <w:pPr>
        <w:spacing w:after="160" w:line="260"/>
        <w:ind w:left="431" w:hanging="431"/>
      </w:pPr>
      <w:r>
        <w:rPr>
          <w:rFonts w:ascii="Calibri" w:cs="Calibri" w:eastAsia="Calibri" w:hAnsi="Calibri"/>
          <w:sz w:val="21"/>
          <w:szCs w:val="21"/>
        </w:rPr>
        <w:t xml:space="preserve">[6]  NTIRE 2026 Challenge on Robust AI-Generated Image Detection in the Wild. arXiv:2604.11487 (2026).</w:t>
      </w:r>
    </w:p>
    <w:p>
      <w:pPr>
        <w:spacing w:after="160" w:line="260"/>
        <w:ind w:left="431" w:hanging="431"/>
      </w:pPr>
      <w:r>
        <w:rPr>
          <w:rFonts w:ascii="Calibri" w:cs="Calibri" w:eastAsia="Calibri" w:hAnsi="Calibri"/>
          <w:sz w:val="21"/>
          <w:szCs w:val="21"/>
        </w:rPr>
        <w:t xml:space="preserve">[7]  Fake It Until You Break It: On the Adversarial Robustness of AI-generated Image Detectors. arXiv:2410.01574.</w:t>
      </w:r>
    </w:p>
    <w:p>
      <w:pPr>
        <w:spacing w:after="160" w:line="260"/>
        <w:ind w:left="431" w:hanging="431"/>
      </w:pPr>
      <w:r>
        <w:rPr>
          <w:rFonts w:ascii="Calibri" w:cs="Calibri" w:eastAsia="Calibri" w:hAnsi="Calibri"/>
          <w:sz w:val="21"/>
          <w:szCs w:val="21"/>
        </w:rPr>
        <w:t xml:space="preserve">[8]  Fragile Reconstruction: Adversarial Vulnerability of Reconstruction-Based Detectors for Diffusion-Generated Images. arXiv:2604.12781 (2026).</w:t>
      </w:r>
    </w:p>
    <w:p>
      <w:pPr>
        <w:spacing w:after="160" w:line="260"/>
        <w:ind w:left="431" w:hanging="431"/>
      </w:pPr>
      <w:r>
        <w:rPr>
          <w:rFonts w:ascii="Calibri" w:cs="Calibri" w:eastAsia="Calibri" w:hAnsi="Calibri"/>
          <w:sz w:val="21"/>
          <w:szCs w:val="21"/>
        </w:rPr>
        <w:t xml:space="preserve">[9]  AI-Generated Image Detectors Overrely on Global Artifacts: Evidence from Inpainting Exchange. arXiv:2602.00192 (2026).</w:t>
      </w:r>
    </w:p>
    <w:p>
      <w:pPr>
        <w:spacing w:after="160" w:line="260"/>
        <w:ind w:left="431" w:hanging="431"/>
      </w:pPr>
      <w:r>
        <w:rPr>
          <w:rFonts w:ascii="Calibri" w:cs="Calibri" w:eastAsia="Calibri" w:hAnsi="Calibri"/>
          <w:sz w:val="21"/>
          <w:szCs w:val="21"/>
        </w:rPr>
        <w:t xml:space="preserve">[10] TranX-Adapter: Bridging Artifacts and Semantics within MLLMs for Robust AI-generated Image Detection. arXiv:2602.21716 (2026).</w:t>
      </w:r>
    </w:p>
    <w:p>
      <w:pPr>
        <w:spacing w:after="160" w:line="260"/>
        <w:ind w:left="431" w:hanging="431"/>
      </w:pPr>
      <w:r>
        <w:rPr>
          <w:rFonts w:ascii="Calibri" w:cs="Calibri" w:eastAsia="Calibri" w:hAnsi="Calibri"/>
          <w:sz w:val="21"/>
          <w:szCs w:val="21"/>
        </w:rPr>
        <w:t xml:space="preserve">[11] Selvaraju, R. R., Cogswell, M., Das, A., Vedantam, R., Parikh, D., &amp; Batra, D. (2017). Grad-CAM: Visual Explanations from Deep Networks via Gradient-Based Localization. Proceedings of ICCV 2017.</w:t>
      </w:r>
    </w:p>
    <w:p>
      <w:pPr>
        <w:spacing w:after="160" w:line="260"/>
        <w:ind w:left="431" w:hanging="431"/>
      </w:pPr>
      <w:r>
        <w:rPr>
          <w:rFonts w:ascii="Calibri" w:cs="Calibri" w:eastAsia="Calibri" w:hAnsi="Calibri"/>
          <w:sz w:val="21"/>
          <w:szCs w:val="21"/>
        </w:rPr>
        <w:t xml:space="preserve">[12] Goodfellow, I. J., Shlens, J., &amp; Szegedy, C. (2015). Explaining and Harnessing Adversarial Examples. arXiv:1412.6572.</w:t>
      </w:r>
    </w:p>
    <w:p>
      <w:pPr>
        <w:spacing w:after="160" w:line="260"/>
        <w:ind w:left="431" w:hanging="431"/>
      </w:pPr>
      <w:r>
        <w:rPr>
          <w:rFonts w:ascii="Calibri" w:cs="Calibri" w:eastAsia="Calibri" w:hAnsi="Calibri"/>
          <w:sz w:val="21"/>
          <w:szCs w:val="21"/>
        </w:rPr>
        <w:t xml:space="preserve">[13] Madry, A., Makelov, A., Schmidt, L., Tsipras, D., &amp; Vladu, A. (2018). Towards Deep Learning Models Resistant to Adversarial Attacks. arXiv:1706.06083.</w:t>
      </w:r>
    </w:p>
    <w:p>
      <w:pPr>
        <w:spacing w:after="160" w:line="260"/>
        <w:ind w:left="431" w:hanging="431"/>
      </w:pPr>
      <w:r>
        <w:rPr>
          <w:rFonts w:ascii="Calibri" w:cs="Calibri" w:eastAsia="Calibri" w:hAnsi="Calibri"/>
          <w:sz w:val="21"/>
          <w:szCs w:val="21"/>
        </w:rPr>
        <w:t xml:space="preserve">[14] Ojha, U., Li, Y., &amp; Lee, Y. J. (2023). Towards Universal Fake Image Detectors that Generalize Across Generative Models. Proceedings of CVPR 2023.</w:t>
      </w:r>
    </w:p>
    <w:p>
      <w:pPr>
        <w:spacing w:after="160" w:line="260"/>
        <w:ind w:left="431" w:hanging="431"/>
      </w:pPr>
      <w:r>
        <w:rPr>
          <w:rFonts w:ascii="Calibri" w:cs="Calibri" w:eastAsia="Calibri" w:hAnsi="Calibri"/>
          <w:sz w:val="21"/>
          <w:szCs w:val="21"/>
        </w:rPr>
        <w:t xml:space="preserve">[15] Nie, W., Guo, B., Huang, Y., Xiao, C., Vahdat, A., &amp; Anandkumar, A. (2022). Diffusion Models for Adversarial Purification. arXiv:2205.07460.</w:t>
      </w:r>
    </w:p>
    <w:p>
      <w:pPr>
        <w:spacing w:after="160" w:line="260"/>
        <w:ind w:left="431" w:hanging="431"/>
      </w:pPr>
      <w:r>
        <w:rPr>
          <w:rFonts w:ascii="Calibri" w:cs="Calibri" w:eastAsia="Calibri" w:hAnsi="Calibri"/>
          <w:sz w:val="21"/>
          <w:szCs w:val="21"/>
        </w:rPr>
        <w:t xml:space="preserve">[16] Blum, A., &amp; Mitchell, T. (1998). Combining Labeled and Unlabeled Data with Co-Training. Proceedings of COLT 1998.</w:t>
      </w:r>
    </w:p>
    <w:p>
      <w:pPr>
        <w:spacing w:after="160" w:line="260"/>
        <w:ind w:left="431" w:hanging="431"/>
      </w:pPr>
      <w:r>
        <w:rPr>
          <w:rFonts w:ascii="Calibri" w:cs="Calibri" w:eastAsia="Calibri" w:hAnsi="Calibri"/>
          <w:sz w:val="21"/>
          <w:szCs w:val="21"/>
        </w:rPr>
        <w:t xml:space="preserve">[17] Bagnall, A., Bunescu, R., &amp; Stewart, G. (2017). Training Ensembles to Detect Adversarial Examples. arXiv:1712.04006.</w:t>
      </w:r>
    </w:p>
    <w:p>
      <w:pPr>
        <w:spacing w:after="160" w:line="260"/>
        <w:ind w:left="431" w:hanging="431"/>
      </w:pPr>
      <w:r>
        <w:rPr>
          <w:rFonts w:ascii="Calibri" w:cs="Calibri" w:eastAsia="Calibri" w:hAnsi="Calibri"/>
          <w:sz w:val="21"/>
          <w:szCs w:val="21"/>
        </w:rPr>
        <w:t xml:space="preserve">[18] Pang, T., Xu, K., Du, C., Chen, N., &amp; Zhu, J. (2019). Improving Adversarial Robustness via Promoting Ensemble Diversity. arXiv:1901.08846.</w:t>
      </w:r>
    </w:p>
    <w:p>
      <w:pPr>
        <w:spacing w:after="160" w:line="260"/>
        <w:ind w:left="431" w:hanging="431"/>
      </w:pPr>
      <w:r>
        <w:rPr>
          <w:rFonts w:ascii="Calibri" w:cs="Calibri" w:eastAsia="Calibri" w:hAnsi="Calibri"/>
          <w:sz w:val="21"/>
          <w:szCs w:val="21"/>
        </w:rPr>
        <w:t xml:space="preserve">[19] Two Souls in an Adversarial Image: Towards Universal Adversarial Example Detection using Multi-view Inconsistency. arXiv:2109.12459.</w:t>
      </w:r>
    </w:p>
    <w:p>
      <w:pPr>
        <w:spacing w:after="160" w:line="260"/>
        <w:ind w:left="431" w:hanging="431"/>
      </w:pPr>
      <w:r>
        <w:rPr>
          <w:rFonts w:ascii="Calibri" w:cs="Calibri" w:eastAsia="Calibri" w:hAnsi="Calibri"/>
          <w:sz w:val="21"/>
          <w:szCs w:val="21"/>
        </w:rPr>
        <w:t xml:space="preserve">[20] Athalye, A., Carlini, N., &amp; Wagner, D. (2018). Obfuscated Gradients Give a False Sense of Security: Circumventing Defenses to Adversarial Examples. Proceedings of ICML 2018.</w:t>
      </w:r>
    </w:p>
    <w:p>
      <w:pPr>
        <w:spacing w:after="160" w:line="260"/>
        <w:ind w:left="431" w:hanging="431"/>
      </w:pPr>
      <w:r>
        <w:rPr>
          <w:rFonts w:ascii="Calibri" w:cs="Calibri" w:eastAsia="Calibri" w:hAnsi="Calibri"/>
          <w:sz w:val="21"/>
          <w:szCs w:val="21"/>
        </w:rPr>
        <w:t xml:space="preserve">[21] Carlini, N., &amp; Wagner, D. (2017). Adversarial Examples Are Not Easily Detected: Bypassing Ten Detection Methods. Proceedings of ACM AISec 2017.</w:t>
      </w:r>
    </w:p>
    <w:p>
      <w:pPr>
        <w:spacing w:after="160" w:line="260"/>
        <w:ind w:left="431" w:hanging="431"/>
      </w:pPr>
      <w:r>
        <w:rPr>
          <w:rFonts w:ascii="Calibri" w:cs="Calibri" w:eastAsia="Calibri" w:hAnsi="Calibri"/>
          <w:sz w:val="21"/>
          <w:szCs w:val="21"/>
        </w:rPr>
        <w:t xml:space="preserve">[22] Tramèr, F., Carlini, N., Brendel, W., &amp; Madry, A. (2020). On Adaptive Attacks to Adversarial Example Defenses. Advances in Neural Information Processing Systems (NeurIPS)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lvl w:ilvl="1" w15:tentative="1">
      <w:start w:val="1"/>
      <w:numFmt w:val="bullet"/>
      <w:lvlText w:val="–"/>
      <w:lvlJc w:val="left"/>
      <w:pPr>
        <w:ind w:left="1152" w:hanging="288"/>
      </w:pPr>
    </w:lvl>
  </w:abstractNum>
  <w:abstractNum w:abstractNumId="3"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2026-08-01T16:41:20.558Z</dcterms:created>
  <dcterms:modified xsi:type="dcterms:W3CDTF">2026-08-01T16:41:20.576Z</dcterms:modified>
</cp:coreProperties>
</file>

<file path=docProps/custom.xml><?xml version="1.0" encoding="utf-8"?>
<Properties xmlns="http://schemas.openxmlformats.org/officeDocument/2006/custom-properties" xmlns:vt="http://schemas.openxmlformats.org/officeDocument/2006/docPropsVTypes"/>
</file>