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E68EC" w14:textId="77777777" w:rsidR="005446D2" w:rsidRPr="005446D2" w:rsidRDefault="005446D2" w:rsidP="005446D2">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de-DE"/>
          <w14:ligatures w14:val="none"/>
        </w:rPr>
      </w:pPr>
      <w:r w:rsidRPr="005446D2">
        <w:rPr>
          <w:rFonts w:ascii="Times New Roman" w:eastAsia="Times New Roman" w:hAnsi="Times New Roman" w:cs="Times New Roman"/>
          <w:b/>
          <w:bCs/>
          <w:kern w:val="36"/>
          <w:sz w:val="48"/>
          <w:szCs w:val="48"/>
          <w:lang w:val="en-GB" w:eastAsia="de-DE"/>
          <w14:ligatures w14:val="none"/>
        </w:rPr>
        <w:t>Possible Titles</w:t>
      </w:r>
    </w:p>
    <w:p w14:paraId="4FCBEC64"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de-DE"/>
          <w14:ligatures w14:val="none"/>
        </w:rPr>
      </w:pPr>
      <w:r w:rsidRPr="005446D2">
        <w:rPr>
          <w:rFonts w:ascii="Times New Roman" w:eastAsia="Times New Roman" w:hAnsi="Times New Roman" w:cs="Times New Roman"/>
          <w:b/>
          <w:bCs/>
          <w:kern w:val="0"/>
          <w:sz w:val="36"/>
          <w:szCs w:val="36"/>
          <w:lang w:val="en-GB" w:eastAsia="de-DE"/>
          <w14:ligatures w14:val="none"/>
        </w:rPr>
        <w:t>Formal</w:t>
      </w:r>
    </w:p>
    <w:p w14:paraId="5D389D2E"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val="en-GB" w:eastAsia="de-DE"/>
          <w14:ligatures w14:val="none"/>
        </w:rPr>
      </w:pPr>
      <w:r w:rsidRPr="005446D2">
        <w:rPr>
          <w:rFonts w:ascii="Times New Roman" w:eastAsia="Times New Roman" w:hAnsi="Times New Roman" w:cs="Times New Roman"/>
          <w:kern w:val="0"/>
          <w:lang w:val="en-GB" w:eastAsia="de-DE"/>
          <w14:ligatures w14:val="none"/>
        </w:rPr>
        <w:t>Trophic Bias in BRUVS: Macroalgal vs. Fish-Based Bait Effects on Herbivore Detection on Coral Reefs of Mafia Island, Tanzania</w:t>
      </w:r>
    </w:p>
    <w:p w14:paraId="5FF2DA48"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de-DE"/>
          <w14:ligatures w14:val="none"/>
        </w:rPr>
      </w:pPr>
      <w:r w:rsidRPr="005446D2">
        <w:rPr>
          <w:rFonts w:ascii="Times New Roman" w:eastAsia="Times New Roman" w:hAnsi="Times New Roman" w:cs="Times New Roman"/>
          <w:b/>
          <w:bCs/>
          <w:kern w:val="0"/>
          <w:sz w:val="36"/>
          <w:szCs w:val="36"/>
          <w:lang w:val="en-GB" w:eastAsia="de-DE"/>
          <w14:ligatures w14:val="none"/>
        </w:rPr>
        <w:t>Provocative</w:t>
      </w:r>
    </w:p>
    <w:p w14:paraId="02ACDD91"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val="en-GB" w:eastAsia="de-DE"/>
          <w14:ligatures w14:val="none"/>
        </w:rPr>
      </w:pPr>
      <w:r w:rsidRPr="005446D2">
        <w:rPr>
          <w:rFonts w:ascii="Times New Roman" w:eastAsia="Times New Roman" w:hAnsi="Times New Roman" w:cs="Times New Roman"/>
          <w:kern w:val="0"/>
          <w:lang w:val="en-GB" w:eastAsia="de-DE"/>
          <w14:ligatures w14:val="none"/>
        </w:rPr>
        <w:t>Can Seaweed Beat Fish Bait? Testing Site-Specific Macroalgal Bait Effects on Herbivore Detection in BRUVS around Mafia Island, Tanzania</w:t>
      </w:r>
    </w:p>
    <w:p w14:paraId="3CBCBC3F"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val="en-GB" w:eastAsia="de-DE"/>
          <w14:ligatures w14:val="none"/>
        </w:rPr>
      </w:pPr>
      <w:r w:rsidRPr="005446D2">
        <w:rPr>
          <w:rFonts w:ascii="Times New Roman" w:eastAsia="Times New Roman" w:hAnsi="Times New Roman" w:cs="Times New Roman"/>
          <w:b/>
          <w:bCs/>
          <w:kern w:val="0"/>
          <w:sz w:val="36"/>
          <w:szCs w:val="36"/>
          <w:lang w:val="en-GB" w:eastAsia="de-DE"/>
          <w14:ligatures w14:val="none"/>
        </w:rPr>
        <w:t>Narrative</w:t>
      </w:r>
    </w:p>
    <w:p w14:paraId="2F8E9C0D"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val="en-GB" w:eastAsia="de-DE"/>
          <w14:ligatures w14:val="none"/>
        </w:rPr>
      </w:pPr>
      <w:r w:rsidRPr="005446D2">
        <w:rPr>
          <w:rFonts w:ascii="Times New Roman" w:eastAsia="Times New Roman" w:hAnsi="Times New Roman" w:cs="Times New Roman"/>
          <w:kern w:val="0"/>
          <w:lang w:val="en-GB" w:eastAsia="de-DE"/>
          <w14:ligatures w14:val="none"/>
        </w:rPr>
        <w:t>Baiting the Reef Differently: Site-Specific Macroalgal Bait Responses of Herbivorous Fishes in BRUVS around Tanzania's Mafia Island</w:t>
      </w:r>
    </w:p>
    <w:p w14:paraId="0D055D11" w14:textId="77777777" w:rsidR="005446D2" w:rsidRPr="005446D2" w:rsidRDefault="005446D2" w:rsidP="005446D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5446D2">
        <w:rPr>
          <w:rFonts w:ascii="Times New Roman" w:eastAsia="Times New Roman" w:hAnsi="Times New Roman" w:cs="Times New Roman"/>
          <w:b/>
          <w:bCs/>
          <w:kern w:val="36"/>
          <w:sz w:val="48"/>
          <w:szCs w:val="48"/>
          <w:lang w:eastAsia="de-DE"/>
          <w14:ligatures w14:val="none"/>
        </w:rPr>
        <w:t>Abbreviations</w:t>
      </w:r>
    </w:p>
    <w:p w14:paraId="21D00D73" w14:textId="77777777" w:rsidR="005446D2" w:rsidRPr="005446D2" w:rsidRDefault="005446D2" w:rsidP="005446D2">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ANOVA: Analysis of Variance</w:t>
      </w:r>
    </w:p>
    <w:p w14:paraId="45A0B810" w14:textId="77777777" w:rsidR="005446D2" w:rsidRPr="005446D2" w:rsidRDefault="005446D2" w:rsidP="005446D2">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BH: Benjamini-Hochberg</w:t>
      </w:r>
    </w:p>
    <w:p w14:paraId="41C21BFF" w14:textId="77777777" w:rsidR="005446D2" w:rsidRPr="005446D2" w:rsidRDefault="005446D2" w:rsidP="005446D2">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BRUV: Baited Remote Underwater Video</w:t>
      </w:r>
    </w:p>
    <w:p w14:paraId="4EB8EBD7" w14:textId="77777777" w:rsidR="005446D2" w:rsidRPr="005446D2" w:rsidRDefault="005446D2" w:rsidP="005446D2">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BRUVS: Baited Remote Underwater Video Systems</w:t>
      </w:r>
    </w:p>
    <w:p w14:paraId="273C67A8" w14:textId="77777777" w:rsidR="005446D2" w:rsidRPr="005446D2" w:rsidRDefault="005446D2" w:rsidP="005446D2">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FDR: False Discovery Rate</w:t>
      </w:r>
    </w:p>
    <w:p w14:paraId="5361559F" w14:textId="77777777" w:rsidR="005446D2" w:rsidRPr="005446D2" w:rsidRDefault="005446D2" w:rsidP="005446D2">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GLM: Generalized Linear Model</w:t>
      </w:r>
    </w:p>
    <w:p w14:paraId="581E9A70" w14:textId="77777777" w:rsidR="005446D2" w:rsidRPr="005446D2" w:rsidRDefault="005446D2" w:rsidP="005446D2">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GLMM: Generalized Linear Mixed Model</w:t>
      </w:r>
    </w:p>
    <w:p w14:paraId="2917A72F" w14:textId="77777777" w:rsidR="005446D2" w:rsidRPr="005446D2" w:rsidRDefault="005446D2" w:rsidP="005446D2">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HC3: Heteroskedasticity-Consistent Covariance Estimator 3</w:t>
      </w:r>
    </w:p>
    <w:p w14:paraId="0B759084" w14:textId="77777777" w:rsidR="005446D2" w:rsidRPr="005446D2" w:rsidRDefault="005446D2" w:rsidP="005446D2">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LOO: Leave-One-Video-Out</w:t>
      </w:r>
    </w:p>
    <w:p w14:paraId="3835D4A5" w14:textId="77777777" w:rsidR="005446D2" w:rsidRPr="005446D2" w:rsidRDefault="005446D2" w:rsidP="005446D2">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MIMP: Mafia Island Marine Park</w:t>
      </w:r>
    </w:p>
    <w:p w14:paraId="042B9CBB" w14:textId="77777777" w:rsidR="005446D2" w:rsidRPr="005446D2" w:rsidRDefault="005446D2" w:rsidP="005446D2">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MaxN: Maximum Number of Individuals</w:t>
      </w:r>
    </w:p>
    <w:p w14:paraId="18285CCC" w14:textId="77777777" w:rsidR="005446D2" w:rsidRPr="005446D2" w:rsidRDefault="005446D2" w:rsidP="005446D2">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nMDS: Non-Metric Multidimensional Scaling</w:t>
      </w:r>
    </w:p>
    <w:p w14:paraId="5F7CADB0" w14:textId="77777777" w:rsidR="005446D2" w:rsidRPr="005446D2" w:rsidRDefault="005446D2" w:rsidP="005446D2">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PERMANOVA: Permutational Multivariate Analysis of Variance</w:t>
      </w:r>
    </w:p>
    <w:p w14:paraId="4D201FE3" w14:textId="77777777" w:rsidR="005446D2" w:rsidRPr="005446D2" w:rsidRDefault="005446D2" w:rsidP="005446D2">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UVC: Underwater Visual Census</w:t>
      </w:r>
    </w:p>
    <w:p w14:paraId="64743755" w14:textId="77777777" w:rsidR="005446D2" w:rsidRPr="005446D2" w:rsidRDefault="005446D2" w:rsidP="005446D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5446D2">
        <w:rPr>
          <w:rFonts w:ascii="Times New Roman" w:eastAsia="Times New Roman" w:hAnsi="Times New Roman" w:cs="Times New Roman"/>
          <w:b/>
          <w:bCs/>
          <w:kern w:val="36"/>
          <w:sz w:val="48"/>
          <w:szCs w:val="48"/>
          <w:lang w:eastAsia="de-DE"/>
          <w14:ligatures w14:val="none"/>
        </w:rPr>
        <w:t>1. Introduction</w:t>
      </w:r>
    </w:p>
    <w:p w14:paraId="597B98FC"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Coral reefs are shaped by strong interactions between corals, algae, herbivorous fishes, predators, and physical disturbance. Herbivory can limit macroalgal accumulation and influence whether reefs remain coral-dominated or shift toward macroalgal states, but the strength of this process depends on herbivore identity, feeding mode, and local environmental context (Bellwood et al., 2004; Burkepile &amp; Hay, 2010; Lefèvre &amp; Bellwood, 2011; Hoey &amp; Bellwood, 2011). ​</w:t>
      </w:r>
    </w:p>
    <w:p w14:paraId="75A8E4F8"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Herbivorous fishes are not an ecologically uniform group. Browsers can remove established, erect macroalgae, whereas grazers and scrapers often target turf or epilithic algal matrices. Across coral reefs, a small subset of species may account for a disproportionate share of macroalgal consumption, and the identity of the dominant consumers can vary among </w:t>
      </w:r>
      <w:r w:rsidRPr="005446D2">
        <w:rPr>
          <w:rFonts w:ascii="Times New Roman" w:eastAsia="Times New Roman" w:hAnsi="Times New Roman" w:cs="Times New Roman"/>
          <w:kern w:val="0"/>
          <w:lang w:eastAsia="de-DE"/>
          <w14:ligatures w14:val="none"/>
        </w:rPr>
        <w:lastRenderedPageBreak/>
        <w:t>locations (Bennett &amp; Bellwood, 2011; Lefèvre &amp; Bellwood, 2011; Hoey &amp; Bellwood, 2011). This makes functional-group-specific monitoring important for understanding reef resilience.</w:t>
      </w:r>
    </w:p>
    <w:p w14:paraId="6B64EDBC"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Baited Remote Underwater Video Systems (BRUVS) provide a non-extractive method for recording fish assemblages, but they do not sample the community neutrally. The bait plume, visual structure of the station, fish behaviour, current regime, and field of view jointly determine which individuals are detected. BRUVS therefore produce relative, bait-conditioned observations rather than absolute estimates of density (Whitmarsh et al., 2017; Langlois et al., 2020; Bond et al., 2022). ​</w:t>
      </w:r>
    </w:p>
    <w:p w14:paraId="1A013804"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Fish-based baits are effective for many predators, scavengers, and generalist carnivores, while plant-based treatments can alter the representation of herbivorous or omnivorous groups. Comparative experiments have shown that bait type may change assemblage structure and trophic composition even when broad species richness or total abundance changes little (Ghazilou et al., 2016; Wraith et al., 2013; Dorman et al., 2012). The choice of bait is therefore not only a technical detail; it defines an ecological filter that can influence the conclusions drawn from a monitoring programme.</w:t>
      </w:r>
    </w:p>
    <w:p w14:paraId="3BCEA887"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This thesis tests whether macroalgal treatments complement conventional fish bait for recording herbivorous fishes and their feeding behaviour, while explicitly examining whether any response is site-dependent. It compares fish-based and macroalgal treatments in mono-BRUVS deployments around Mafia Island, Tanzania, and evaluates effects on assemblage composition, relative abundance measured as MaxN, herbivore representation, and observed feeding activity. Because no fish lengths were measured, the study does not estimate size structure, biomass, or absolute population density.</w:t>
      </w:r>
    </w:p>
    <w:p w14:paraId="022409EE"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1.1 Study Region: Mafia Island Marine Park, Tanzania</w:t>
      </w:r>
    </w:p>
    <w:p w14:paraId="3B9D9C7E"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Mafia Island Marine Park is a managed coastal seascape in Tanzania in which ecological conditions and human use are closely linked. The park includes multiple management zones, reefs, villages, and adjacent islands, including Juani Island and the Chole Bay area (McClanahan et al., 2009). Its social and management context is relevant because fishing pressure, compliance, local resource dependence, and protection status can influence the baseline abundance and behaviour of reef fishes (McClanahan et al., 2009; McClanahan, 2019). ​</w:t>
      </w:r>
    </w:p>
    <w:p w14:paraId="28896DFC"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study used three locations but two analytically distinct sampling components: the primary coral reef comparison at Milimani and Utumbi, and a separate lagoonal nursery experiment at Chole Nursery. Chole Nursery differed in habitat context, tidal accessibility, treatment availability, and replication structure. It is therefore treated as a second, site-specific experiment rather than as an interchangeable third reef replicate. This distinction is central to the interpretation of the Chole Nursery Acanthuridae and feeding results.</w:t>
      </w:r>
    </w:p>
    <w:p w14:paraId="3B4D2FB8"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research question is particularly relevant in the Western Indian Ocean, where reef fish communities and their functional composition vary with environmental conditions and fishing pressure. Regional assessments show that surgeonfishes, parrotfishes, snappers, and wrasses are important components of East African reef fish communities, while vulnerable taxa can decline in areas exposed to human pressure (McClanahan, 2019). The experiment consequently focuses on the methodological problem of how bait choice changes the representation of these functional groups in BRUVS data.</w:t>
      </w:r>
    </w:p>
    <w:p w14:paraId="1B2C7126"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lastRenderedPageBreak/>
        <w:t>[FIGURE TO INSERT: Map of Mafia Island, Mafia Island Marine Park, Juani Island, and the three study sites Milimani, Utumbi, and Chole Nursery.]</w:t>
      </w:r>
    </w:p>
    <w:p w14:paraId="12FD8757"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1.2 From Extractive Methods to Remote Video Monitoring</w:t>
      </w:r>
    </w:p>
    <w:p w14:paraId="233DC17D"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Historically, reef fish assemblages have been assessed using extractive techniques such as trawl nets, longlines, and traps. These methods can introduce selective sampling, whereas BRUVS provide a non-extractive alternative; UVC can nevertheless differ from BRUVS because diver presence and the sampling unit affect which taxa are recorded (Bond et al., 2022; Lindfield et al., 2014; Cheal et al., 2021). Underwater Visual Census (UVC) is therefore valuable but does not provide a bias-free census of all reef fishes.</w:t>
      </w:r>
    </w:p>
    <w:p w14:paraId="1334AAAF"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These limitations have driven the adoption of remote underwater video over the past three decades. BRUVS are non-extractive, provide permanent records, can be replicated across habitats, and can be used beyond routine diving depths. Stereo systems additionally permit fish-length measurements through photogrammetry, although the mono-BRUVS used in this study did not provide that capability (Mallet et al., 2014; Langlois et al., 2010; Langlois et al., 2020; Jessop et al., 2022). Large-scale surveys have demonstrated the capacity of BRUVS for ecosystem-level monitoring. However, BRUVS introduce their own attraction and behavioural biases, so their data should be interpreted as method-specific observations rather than unbiased density estimates (Whitmarsh et al., 2017; Bond et al., 2022). ​</w:t>
      </w:r>
    </w:p>
    <w:p w14:paraId="6684BFFB"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[FIGURE TO INSERT: Conceptual comparison of extractive sampling, UVC, and BRUVS, including their main strengths and limitations.]</w:t>
      </w:r>
    </w:p>
    <w:p w14:paraId="0DC5FA2C"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1.3 Key Methodological Parameters</w:t>
      </w:r>
    </w:p>
    <w:p w14:paraId="7F1B125E"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reliability of BRUVS data depends on a range of operational variables that are often incompletely reported. A global review of 161 studies identified 24 core parameters, including soak time, camera configuration, bait type and quantity, deployment depth, replicate spacing, and analysis software, that can fundamentally alter survey outcomes (Whitmarsh et al., 2017). The most critical parameters and their effects on data quality are synthesised in Section 1.6 below.</w:t>
      </w:r>
    </w:p>
    <w:p w14:paraId="4C9C9CAE"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[FIGURE TO INSERT: Overview diagram of the main BRUVS operational parameters and their potential effects on fish detection.]</w:t>
      </w:r>
    </w:p>
    <w:p w14:paraId="2F3394DB"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1.4 Bait Type as a Determinant of Assemblage Representation</w:t>
      </w:r>
    </w:p>
    <w:p w14:paraId="68E260A2"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Bait acts as the primary ecological filter in BRUVS surveys. Oily fish baits such as pilchards and mackerel can generate strong chemical plumes that attract piscivores and scavengers, but this selectivity can underrepresent species that respond primarily to visual cues or that feed on macroalgae, detritus, or invertebrates (Ghazilou et al., 2016; Wraith et al., 2013; Dorman et al., 2012). ​</w:t>
      </w:r>
    </w:p>
    <w:p w14:paraId="4FA22734"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Comparative experiments on temperate and tropical reefs demonstrate that bait identity can shift the relative contribution of feeding guilds even when total species richness changes little. Fish-based baits tend to perform strongly for carnivorous and scavenging groups, whereas </w:t>
      </w:r>
      <w:r w:rsidRPr="005446D2">
        <w:rPr>
          <w:rFonts w:ascii="Times New Roman" w:eastAsia="Times New Roman" w:hAnsi="Times New Roman" w:cs="Times New Roman"/>
          <w:kern w:val="0"/>
          <w:lang w:eastAsia="de-DE"/>
          <w14:ligatures w14:val="none"/>
        </w:rPr>
        <w:lastRenderedPageBreak/>
        <w:t>plant-based treatments can increase the representation of herbivores under particular environmental conditions (Wraith et al., 2013; Ghazilou et al., 2016). ​</w:t>
      </w:r>
    </w:p>
    <w:p w14:paraId="1AC6D580"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These findings are important for coral reef monitoring because browsers and grazers do not contribute the same ecological functions. Standard fish bait should therefore not be assumed to provide a complete measure of herbivore communities, while macroalgal bait should not be treated as universally superior. A complementary design that matches bait type to the functional group of interest may be useful, but its performance must be evaluated across balanced site and treatment combinations (Bellwood et al., 2004; Burkepile &amp; Hay, 2010; Wraith et al., 2013; Ghazilou et al., 2016). ​</w:t>
      </w:r>
    </w:p>
    <w:p w14:paraId="58F960A5"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[FIGURE TO INSERT: Conceptual diagram of bait-plume dispersal and the expected trophic bias of fish-based versus macroalgal baits.]</w:t>
      </w:r>
    </w:p>
    <w:p w14:paraId="71FD8F47"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1.5 Combining Methods for Comprehensive Assessment</w:t>
      </w:r>
    </w:p>
    <w:p w14:paraId="276E81DE"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No single survey technique captures the full spectrum of reef fish diversity. Comparative studies consistently show that BRUVS and diver-based methods detect partly different assemblages, with BRUVS often recording more mobile predators and other bait-responsive taxa, whereas UVC or diver-operated video can detect more small, cryptic, and site-attached fishes. These complementary strengths reflect the fundamentally different sampling mechanisms: BRUVS attract mobile taxa via chemical cues, while UVC surveys the visually accessible community along a transect (Cheal et al., 2021; Schramm et al., 2020; Jessop et al., 2022). ​</w:t>
      </w:r>
    </w:p>
    <w:p w14:paraId="5578EADA"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Integrated monitoring frameworks that combine BRUVS with UVC or diver-operated video yield more complete assemblage descriptions and stronger inference about habitat associations, protection effects, and functional diversity than either method alone. Where resources constrain multi-method designs, BRUVS remain a practical primary tool, particularly in depth-limited or safety-constrained settings, but only when the known trophic and behavioural biases of the bait are explicitly acknowledged in the study design and interpretation (Cheal et al., 2021; Langlois et al., 2020). ​</w:t>
      </w:r>
    </w:p>
    <w:p w14:paraId="1AD698CC"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1.6 BRUVS Operational Parameters: A Synthesis</w:t>
      </w:r>
    </w:p>
    <w:p w14:paraId="35B0774B"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detailed BRUVS deployment settings, including soak time, bait quantity, camera configuration, spatial spacing, and abundance metrics, are reported in the Methods section. In this introduction, it is sufficient to note that these operational variables can strongly affect detection rates and should therefore be standardised and reported transparently (Whitmarsh et al., 2017). ​</w:t>
      </w:r>
    </w:p>
    <w:p w14:paraId="4DDD4007"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1.7 Research Aims and Hypotheses</w:t>
      </w:r>
    </w:p>
    <w:p w14:paraId="3BEE26D5"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Building on the ecological and methodological context outlined above, this thesis pursues two interconnected aims:</w:t>
      </w:r>
    </w:p>
    <w:p w14:paraId="3A548E80"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b/>
          <w:bCs/>
          <w:kern w:val="0"/>
          <w:lang w:eastAsia="de-DE"/>
          <w14:ligatures w14:val="none"/>
        </w:rPr>
        <w:t>Aim 1.</w:t>
      </w:r>
      <w:r w:rsidRPr="005446D2">
        <w:rPr>
          <w:rFonts w:ascii="Times New Roman" w:eastAsia="Times New Roman" w:hAnsi="Times New Roman" w:cs="Times New Roman"/>
          <w:kern w:val="0"/>
          <w:lang w:eastAsia="de-DE"/>
          <w14:ligatures w14:val="none"/>
        </w:rPr>
        <w:t xml:space="preserve"> To quantify how bait treatment affects the species composition and abundance structure of BRUVS-recorded fish assemblages around Mafia Island, while distinguishing the primary coral-reef comparison between Milimani and Utumbi from the separate Chole Nursery experiment.</w:t>
      </w:r>
    </w:p>
    <w:p w14:paraId="58EB8529"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b/>
          <w:bCs/>
          <w:kern w:val="0"/>
          <w:lang w:eastAsia="de-DE"/>
          <w14:ligatures w14:val="none"/>
        </w:rPr>
        <w:lastRenderedPageBreak/>
        <w:t>Aim 2.</w:t>
      </w:r>
      <w:r w:rsidRPr="005446D2">
        <w:rPr>
          <w:rFonts w:ascii="Times New Roman" w:eastAsia="Times New Roman" w:hAnsi="Times New Roman" w:cs="Times New Roman"/>
          <w:kern w:val="0"/>
          <w:lang w:eastAsia="de-DE"/>
          <w14:ligatures w14:val="none"/>
        </w:rPr>
        <w:t xml:space="preserve"> To assess whether macroalgal treatments increase the recorded MaxN and video-level feeding response of selected herbivorous fish families compared with fish-based bait, while testing whether these responses are site-dependent and whether the focal MaxN effect reflects occurrence or intensity among detected fish.</w:t>
      </w:r>
    </w:p>
    <w:p w14:paraId="5E606CBB"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These aims translate into the following testable hypotheses:</w:t>
      </w:r>
    </w:p>
    <w:p w14:paraId="34381EEC"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b/>
          <w:bCs/>
          <w:kern w:val="0"/>
          <w:lang w:eastAsia="de-DE"/>
          <w14:ligatures w14:val="none"/>
        </w:rPr>
        <w:t>H1.</w:t>
      </w:r>
      <w:r w:rsidRPr="005446D2">
        <w:rPr>
          <w:rFonts w:ascii="Times New Roman" w:eastAsia="Times New Roman" w:hAnsi="Times New Roman" w:cs="Times New Roman"/>
          <w:kern w:val="0"/>
          <w:lang w:eastAsia="de-DE"/>
          <w14:ligatures w14:val="none"/>
        </w:rPr>
        <w:t xml:space="preserve"> Bait treatment influences the overall species composition of BRUVS-recorded fish assemblages. This hypothesis is evaluated with site-specific PERMANOVA analyses on Jaccard distances and with a grouped fish-versus-algae contrast for the primary reef comparison. Milimani and Utumbi represent the primary reef comparison, while Chole Nursery is treated as a separate lagoonal experiment. Pairwise bait comparisons are reported as supplementary detail in Appendix D and are not assumed to show the same pattern as the global assemblage test.</w:t>
      </w:r>
    </w:p>
    <w:p w14:paraId="6807072B"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b/>
          <w:bCs/>
          <w:kern w:val="0"/>
          <w:lang w:eastAsia="de-DE"/>
          <w14:ligatures w14:val="none"/>
        </w:rPr>
        <w:t>H2.</w:t>
      </w:r>
      <w:r w:rsidRPr="005446D2">
        <w:rPr>
          <w:rFonts w:ascii="Times New Roman" w:eastAsia="Times New Roman" w:hAnsi="Times New Roman" w:cs="Times New Roman"/>
          <w:kern w:val="0"/>
          <w:lang w:eastAsia="de-DE"/>
          <w14:ligatures w14:val="none"/>
        </w:rPr>
        <w:t xml:space="preserve"> Macroalgal treatments are expected to yield higher MaxN values for selected herbivorous fish families, namely Siganidae, Acanthuridae, Scaridae, and Blenniidae, than fish-based treatments. The primary prediction concerns the distinct Chole Nursery lagoonal experiment, whereas Milimani and Utumbi provide secondary reef contexts in which the generalisation of the pattern is examined rather than assumed. These families were selected to represent different herbivorous functional groups, because herbivore identity and feeding mode can vary among locations. Acanthuridae are treated as the focal family for assessing whether an algae-associated response is expressed primarily through presence or through intensity among detected fish. The expected effect is therefore site-dependent and is not assumed to be uniform across all locations. Functional-group definitions are documented in Appendix C, and additional focal analyses distinguish presence from intensity of recorded abundance. ​</w:t>
      </w:r>
    </w:p>
    <w:p w14:paraId="70AAE8BD"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b/>
          <w:bCs/>
          <w:kern w:val="0"/>
          <w:lang w:eastAsia="de-DE"/>
          <w14:ligatures w14:val="none"/>
        </w:rPr>
        <w:t>H3.</w:t>
      </w:r>
      <w:r w:rsidRPr="005446D2">
        <w:rPr>
          <w:rFonts w:ascii="Times New Roman" w:eastAsia="Times New Roman" w:hAnsi="Times New Roman" w:cs="Times New Roman"/>
          <w:kern w:val="0"/>
          <w:lang w:eastAsia="de-DE"/>
          <w14:ligatures w14:val="none"/>
        </w:rPr>
        <w:t xml:space="preserve"> Macroalgal treatments are expected to produce a higher video-level feeding response by herbivorous fishes than fish-based treatments, with the primary prediction focused on the Chole Nursery lagoon. Feeding response is quantified from annotated feeding observations per deployment; feeding-event duration was not measured. Because herbivore behaviour, abundance, and detectability can vary with fish community structure, habitat type, and local ecological conditions, the hypothesis is formulated separately by site. Chole Nursery is treated as the primary test environment, while Milimani and Utumbi provide secondary exploratory tests of whether a comparable feeding response occurs in the primary reef context. Feeding may be absent or infrequently observable in some BRUVS contexts, so the reef comparisons are not treated as equivalent replications of the nursery prediction. Detailed feeding-response tables, distributions, and intermediate statistics are provided in Appendix D. ​</w:t>
      </w:r>
    </w:p>
    <w:p w14:paraId="67AF9EFB" w14:textId="77777777" w:rsidR="005446D2" w:rsidRPr="005446D2" w:rsidRDefault="005446D2" w:rsidP="005446D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5446D2">
        <w:rPr>
          <w:rFonts w:ascii="Times New Roman" w:eastAsia="Times New Roman" w:hAnsi="Times New Roman" w:cs="Times New Roman"/>
          <w:b/>
          <w:bCs/>
          <w:kern w:val="36"/>
          <w:sz w:val="48"/>
          <w:szCs w:val="48"/>
          <w:lang w:eastAsia="de-DE"/>
          <w14:ligatures w14:val="none"/>
        </w:rPr>
        <w:t>2. Methods</w:t>
      </w:r>
    </w:p>
    <w:p w14:paraId="5772FAFE"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2.1 Study Sites and Experimental Components</w:t>
      </w:r>
    </w:p>
    <w:p w14:paraId="7113CD1E"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Three study locations were used around Mafia Island, but they represent two analytically distinct experimental components. The primary reef component comprised </w:t>
      </w:r>
      <w:r w:rsidRPr="005446D2">
        <w:rPr>
          <w:rFonts w:ascii="Times New Roman" w:eastAsia="Times New Roman" w:hAnsi="Times New Roman" w:cs="Times New Roman"/>
          <w:b/>
          <w:bCs/>
          <w:kern w:val="0"/>
          <w:lang w:eastAsia="de-DE"/>
          <w14:ligatures w14:val="none"/>
        </w:rPr>
        <w:t>Milimani</w:t>
      </w:r>
      <w:r w:rsidRPr="005446D2">
        <w:rPr>
          <w:rFonts w:ascii="Times New Roman" w:eastAsia="Times New Roman" w:hAnsi="Times New Roman" w:cs="Times New Roman"/>
          <w:kern w:val="0"/>
          <w:lang w:eastAsia="de-DE"/>
          <w14:ligatures w14:val="none"/>
        </w:rPr>
        <w:t xml:space="preserve"> and </w:t>
      </w:r>
      <w:r w:rsidRPr="005446D2">
        <w:rPr>
          <w:rFonts w:ascii="Times New Roman" w:eastAsia="Times New Roman" w:hAnsi="Times New Roman" w:cs="Times New Roman"/>
          <w:b/>
          <w:bCs/>
          <w:kern w:val="0"/>
          <w:lang w:eastAsia="de-DE"/>
          <w14:ligatures w14:val="none"/>
        </w:rPr>
        <w:t>Utumbi</w:t>
      </w:r>
      <w:r w:rsidRPr="005446D2">
        <w:rPr>
          <w:rFonts w:ascii="Times New Roman" w:eastAsia="Times New Roman" w:hAnsi="Times New Roman" w:cs="Times New Roman"/>
          <w:kern w:val="0"/>
          <w:lang w:eastAsia="de-DE"/>
          <w14:ligatures w14:val="none"/>
        </w:rPr>
        <w:t xml:space="preserve">, which are coral reef monitoring sites sampled under broadly comparable high-tide conditions. The second component comprised </w:t>
      </w:r>
      <w:r w:rsidRPr="005446D2">
        <w:rPr>
          <w:rFonts w:ascii="Times New Roman" w:eastAsia="Times New Roman" w:hAnsi="Times New Roman" w:cs="Times New Roman"/>
          <w:b/>
          <w:bCs/>
          <w:kern w:val="0"/>
          <w:lang w:eastAsia="de-DE"/>
          <w14:ligatures w14:val="none"/>
        </w:rPr>
        <w:t>Chole Nursery</w:t>
      </w:r>
      <w:r w:rsidRPr="005446D2">
        <w:rPr>
          <w:rFonts w:ascii="Times New Roman" w:eastAsia="Times New Roman" w:hAnsi="Times New Roman" w:cs="Times New Roman"/>
          <w:kern w:val="0"/>
          <w:lang w:eastAsia="de-DE"/>
          <w14:ligatures w14:val="none"/>
        </w:rPr>
        <w:t>, a lagoonal site close to an active coral nursery. Chole Nursery was treated as a separate, site-specific experiment rather than as a fully interchangeable third reef replicate.</w:t>
      </w:r>
    </w:p>
    <w:p w14:paraId="1FB0F8DA"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lastRenderedPageBreak/>
        <w:t>The Chole Nursery component differed from the reef component in habitat context, tidal accessibility, treatment availability, and sampling structure. It therefore provides an ecologically informative case study of bait response in a lagoonal nursery setting, but it should not be interpreted as a direct replication of the Milimani and Utumbi comparison. Results involving Chole Nursery are consequently presented and discussed separately wherever the analysis permits. Cross-site analyses are used to describe overall assemblage structure, while the primary bait comparisons are interpreted within the relevant experimental component.</w:t>
      </w:r>
    </w:p>
    <w:p w14:paraId="63478DE6"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main fieldwork period ran from 25 October 2024 to 10 December 2024. Additional BRUVS videos recorded by Nicole Schröter during her doctoral research were collected outside this main period, including both earlier and later dates. Their original dates are retained in Appendix A: Deployment Schedule. ​</w:t>
      </w:r>
    </w:p>
    <w:p w14:paraId="4B1B8E11"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At all sites, BRUVS units were deployed at fixed positions with a consistent orientation to standardise sampling effort. At Utumbi and Milimani, deployments were conducted at high tide to ensure comparable water depths and current conditions. At Chole Nursery, deployments were conducted at both high and low tide depending on the treatment, reflecting the site's tidal accessibility.</w:t>
      </w:r>
    </w:p>
    <w:p w14:paraId="7B25F006"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Water depths ranged from 4.5 to 6.5 m at Utumbi, 3.5 to 6.0 m at Milimani, and 3.0 to 5.3 m at Chole Nursery.</w:t>
      </w:r>
    </w:p>
    <w:p w14:paraId="79760BD0"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geographic coordinates of the study sites are shown in degrees and decimal minutes in Table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6"/>
        <w:gridCol w:w="1182"/>
        <w:gridCol w:w="1331"/>
      </w:tblGrid>
      <w:tr w:rsidR="005446D2" w:rsidRPr="005446D2" w14:paraId="48466DF9" w14:textId="77777777">
        <w:trPr>
          <w:tblHeader/>
          <w:tblCellSpacing w:w="15" w:type="dxa"/>
        </w:trPr>
        <w:tc>
          <w:tcPr>
            <w:tcW w:w="0" w:type="auto"/>
            <w:vAlign w:val="center"/>
            <w:hideMark/>
          </w:tcPr>
          <w:p w14:paraId="40B031A9"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Study site</w:t>
            </w:r>
          </w:p>
        </w:tc>
        <w:tc>
          <w:tcPr>
            <w:tcW w:w="0" w:type="auto"/>
            <w:vAlign w:val="center"/>
            <w:hideMark/>
          </w:tcPr>
          <w:p w14:paraId="426DE70D"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Latitude</w:t>
            </w:r>
          </w:p>
        </w:tc>
        <w:tc>
          <w:tcPr>
            <w:tcW w:w="0" w:type="auto"/>
            <w:vAlign w:val="center"/>
            <w:hideMark/>
          </w:tcPr>
          <w:p w14:paraId="0D45C294"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Longitude</w:t>
            </w:r>
          </w:p>
        </w:tc>
      </w:tr>
      <w:tr w:rsidR="005446D2" w:rsidRPr="005446D2" w14:paraId="404D1091" w14:textId="77777777">
        <w:trPr>
          <w:tblCellSpacing w:w="15" w:type="dxa"/>
        </w:trPr>
        <w:tc>
          <w:tcPr>
            <w:tcW w:w="0" w:type="auto"/>
            <w:vAlign w:val="center"/>
            <w:hideMark/>
          </w:tcPr>
          <w:p w14:paraId="50F5CAD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Milimani Monitoring Site</w:t>
            </w:r>
          </w:p>
        </w:tc>
        <w:tc>
          <w:tcPr>
            <w:tcW w:w="0" w:type="auto"/>
            <w:vAlign w:val="center"/>
            <w:hideMark/>
          </w:tcPr>
          <w:p w14:paraId="00745F3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7°56.931′ S</w:t>
            </w:r>
          </w:p>
        </w:tc>
        <w:tc>
          <w:tcPr>
            <w:tcW w:w="0" w:type="auto"/>
            <w:vAlign w:val="center"/>
            <w:hideMark/>
          </w:tcPr>
          <w:p w14:paraId="0B75C68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39°47.096′ E</w:t>
            </w:r>
          </w:p>
        </w:tc>
      </w:tr>
      <w:tr w:rsidR="005446D2" w:rsidRPr="005446D2" w14:paraId="47ABC20E" w14:textId="77777777">
        <w:trPr>
          <w:tblCellSpacing w:w="15" w:type="dxa"/>
        </w:trPr>
        <w:tc>
          <w:tcPr>
            <w:tcW w:w="0" w:type="auto"/>
            <w:vAlign w:val="center"/>
            <w:hideMark/>
          </w:tcPr>
          <w:p w14:paraId="6781578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Utumbi Monitoring Site</w:t>
            </w:r>
          </w:p>
        </w:tc>
        <w:tc>
          <w:tcPr>
            <w:tcW w:w="0" w:type="auto"/>
            <w:vAlign w:val="center"/>
            <w:hideMark/>
          </w:tcPr>
          <w:p w14:paraId="6807340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7°56.955′ S</w:t>
            </w:r>
          </w:p>
        </w:tc>
        <w:tc>
          <w:tcPr>
            <w:tcW w:w="0" w:type="auto"/>
            <w:vAlign w:val="center"/>
            <w:hideMark/>
          </w:tcPr>
          <w:p w14:paraId="7763B88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39°47.292′ E</w:t>
            </w:r>
          </w:p>
        </w:tc>
      </w:tr>
      <w:tr w:rsidR="005446D2" w:rsidRPr="005446D2" w14:paraId="4EE81613" w14:textId="77777777">
        <w:trPr>
          <w:tblCellSpacing w:w="15" w:type="dxa"/>
        </w:trPr>
        <w:tc>
          <w:tcPr>
            <w:tcW w:w="0" w:type="auto"/>
            <w:vAlign w:val="center"/>
            <w:hideMark/>
          </w:tcPr>
          <w:p w14:paraId="23405BD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Chole Nursery</w:t>
            </w:r>
          </w:p>
        </w:tc>
        <w:tc>
          <w:tcPr>
            <w:tcW w:w="0" w:type="auto"/>
            <w:vAlign w:val="center"/>
            <w:hideMark/>
          </w:tcPr>
          <w:p w14:paraId="77102F4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7°58.137′ S</w:t>
            </w:r>
          </w:p>
        </w:tc>
        <w:tc>
          <w:tcPr>
            <w:tcW w:w="0" w:type="auto"/>
            <w:vAlign w:val="center"/>
            <w:hideMark/>
          </w:tcPr>
          <w:p w14:paraId="42F1BCE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39°45.582′ E</w:t>
            </w:r>
          </w:p>
        </w:tc>
      </w:tr>
    </w:tbl>
    <w:p w14:paraId="38A3A6ED"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approximate straight-line distances between the three BRUVS study sites were calculated from the supplied coordinates using the Haversine formula. Milimani and Utumbi were approximately 0.36 km apart. Milimani and Chole Nursery were approximately 3.57 km apart, while Utumbi and Chole Nursery were approximately 3.83 km apart.</w:t>
      </w:r>
    </w:p>
    <w:p w14:paraId="7947ABA2"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[FIGURE TO INSERT: Study-site map with the three sampling locations and their geographic coordinates.]</w:t>
      </w:r>
    </w:p>
    <w:p w14:paraId="4D906860"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2.2 BRUVS Design</w:t>
      </w:r>
    </w:p>
    <w:p w14:paraId="380114E6"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BRUVS units were custom-built mono-BRUVS, with one camera per unit. A 4-litre jerrycan served as both camera housing and ballast weight, connected to a metal frame to which the bait basket was attached. The camera was oriented horizontally relative to the seabed. This configuration positioned the bait basket consistently 40 cm above the seabed and 100 cm in front of the camera lens.</w:t>
      </w:r>
    </w:p>
    <w:p w14:paraId="1C8B9638"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The bait basket was made of metal mesh with a mesh size of 1 cm × 1 cm. It had a cylindrical shape with a diameter of 12 cm and a height of 30 cm. Its internal volume was approximately </w:t>
      </w:r>
      <w:r w:rsidRPr="005446D2">
        <w:rPr>
          <w:rFonts w:ascii="Times New Roman" w:eastAsia="Times New Roman" w:hAnsi="Times New Roman" w:cs="Times New Roman"/>
          <w:kern w:val="0"/>
          <w:lang w:eastAsia="de-DE"/>
          <w14:ligatures w14:val="none"/>
        </w:rPr>
        <w:lastRenderedPageBreak/>
        <w:t>3.39 L. The basket was filled to approximately half of its volume during deployments, corresponding to approximately 1.70 L of bait volume.</w:t>
      </w:r>
    </w:p>
    <w:p w14:paraId="320EB3F1"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[FIGURE TO INSERT: Photograph and dimensioned schematic of the mono-BRUVS unit, including the single camera, horizontal camera orientation, metal frame, cylindrical bait basket, mesh size, seabed distance, and bait-to-camera distance.]</w:t>
      </w:r>
    </w:p>
    <w:p w14:paraId="7919F6F8"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2.3 Camera Configuration and Deployment</w:t>
      </w:r>
    </w:p>
    <w:p w14:paraId="742480CD"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Videos were recorded using GoPro HERO 8, 9, and 10 cameras. Each mono-BRUVS unit carried one camera, oriented horizontally relative to the substrate. Each deployment targeted a continuous recording duration of 60 minutes. Because some recordings ended early, videos retained for analysis were trimmed to a target 43-minute analysis window; any retained video shorter than this window is identified as a special case in Appendix A and in the statistical data documentation. The following camera settings were used consistently across the camera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2"/>
        <w:gridCol w:w="5287"/>
      </w:tblGrid>
      <w:tr w:rsidR="005446D2" w:rsidRPr="005446D2" w14:paraId="307D3A92" w14:textId="77777777">
        <w:trPr>
          <w:tblHeader/>
          <w:tblCellSpacing w:w="15" w:type="dxa"/>
        </w:trPr>
        <w:tc>
          <w:tcPr>
            <w:tcW w:w="0" w:type="auto"/>
            <w:vAlign w:val="center"/>
            <w:hideMark/>
          </w:tcPr>
          <w:p w14:paraId="376E2A4A"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Parameter</w:t>
            </w:r>
          </w:p>
        </w:tc>
        <w:tc>
          <w:tcPr>
            <w:tcW w:w="0" w:type="auto"/>
            <w:vAlign w:val="center"/>
            <w:hideMark/>
          </w:tcPr>
          <w:p w14:paraId="18592F6E"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Setting</w:t>
            </w:r>
          </w:p>
        </w:tc>
      </w:tr>
      <w:tr w:rsidR="005446D2" w:rsidRPr="005446D2" w14:paraId="4C8A227F" w14:textId="77777777">
        <w:trPr>
          <w:tblCellSpacing w:w="15" w:type="dxa"/>
        </w:trPr>
        <w:tc>
          <w:tcPr>
            <w:tcW w:w="0" w:type="auto"/>
            <w:vAlign w:val="center"/>
            <w:hideMark/>
          </w:tcPr>
          <w:p w14:paraId="4F3CC1F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BRUVS configuration</w:t>
            </w:r>
          </w:p>
        </w:tc>
        <w:tc>
          <w:tcPr>
            <w:tcW w:w="0" w:type="auto"/>
            <w:vAlign w:val="center"/>
            <w:hideMark/>
          </w:tcPr>
          <w:p w14:paraId="68E8F84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Mono-BRUVS, one camera per unit</w:t>
            </w:r>
          </w:p>
        </w:tc>
      </w:tr>
      <w:tr w:rsidR="005446D2" w:rsidRPr="005446D2" w14:paraId="76B6B4F6" w14:textId="77777777">
        <w:trPr>
          <w:tblCellSpacing w:w="15" w:type="dxa"/>
        </w:trPr>
        <w:tc>
          <w:tcPr>
            <w:tcW w:w="0" w:type="auto"/>
            <w:vAlign w:val="center"/>
            <w:hideMark/>
          </w:tcPr>
          <w:p w14:paraId="6A5A466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Camera orientation</w:t>
            </w:r>
          </w:p>
        </w:tc>
        <w:tc>
          <w:tcPr>
            <w:tcW w:w="0" w:type="auto"/>
            <w:vAlign w:val="center"/>
            <w:hideMark/>
          </w:tcPr>
          <w:p w14:paraId="244B458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Horizontal relative to the substrate</w:t>
            </w:r>
          </w:p>
        </w:tc>
      </w:tr>
      <w:tr w:rsidR="005446D2" w:rsidRPr="005446D2" w14:paraId="24664751" w14:textId="77777777">
        <w:trPr>
          <w:tblCellSpacing w:w="15" w:type="dxa"/>
        </w:trPr>
        <w:tc>
          <w:tcPr>
            <w:tcW w:w="0" w:type="auto"/>
            <w:vAlign w:val="center"/>
            <w:hideMark/>
          </w:tcPr>
          <w:p w14:paraId="5A4943A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Resolution</w:t>
            </w:r>
          </w:p>
        </w:tc>
        <w:tc>
          <w:tcPr>
            <w:tcW w:w="0" w:type="auto"/>
            <w:vAlign w:val="center"/>
            <w:hideMark/>
          </w:tcPr>
          <w:p w14:paraId="47B5CC2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1920 x 1080 pixel</w:t>
            </w:r>
          </w:p>
        </w:tc>
      </w:tr>
      <w:tr w:rsidR="005446D2" w:rsidRPr="005446D2" w14:paraId="546109EB" w14:textId="77777777">
        <w:trPr>
          <w:tblCellSpacing w:w="15" w:type="dxa"/>
        </w:trPr>
        <w:tc>
          <w:tcPr>
            <w:tcW w:w="0" w:type="auto"/>
            <w:vAlign w:val="center"/>
            <w:hideMark/>
          </w:tcPr>
          <w:p w14:paraId="02CAC30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Format</w:t>
            </w:r>
          </w:p>
        </w:tc>
        <w:tc>
          <w:tcPr>
            <w:tcW w:w="0" w:type="auto"/>
            <w:vAlign w:val="center"/>
            <w:hideMark/>
          </w:tcPr>
          <w:p w14:paraId="37A8736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16:9</w:t>
            </w:r>
          </w:p>
        </w:tc>
      </w:tr>
      <w:tr w:rsidR="005446D2" w:rsidRPr="005446D2" w14:paraId="32DBFCF1" w14:textId="77777777">
        <w:trPr>
          <w:tblCellSpacing w:w="15" w:type="dxa"/>
        </w:trPr>
        <w:tc>
          <w:tcPr>
            <w:tcW w:w="0" w:type="auto"/>
            <w:vAlign w:val="center"/>
            <w:hideMark/>
          </w:tcPr>
          <w:p w14:paraId="29C66DB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Frames per second</w:t>
            </w:r>
          </w:p>
        </w:tc>
        <w:tc>
          <w:tcPr>
            <w:tcW w:w="0" w:type="auto"/>
            <w:vAlign w:val="center"/>
            <w:hideMark/>
          </w:tcPr>
          <w:p w14:paraId="3C6CBEA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30</w:t>
            </w:r>
          </w:p>
        </w:tc>
      </w:tr>
      <w:tr w:rsidR="005446D2" w:rsidRPr="005446D2" w14:paraId="4D6B7D9E" w14:textId="77777777">
        <w:trPr>
          <w:tblCellSpacing w:w="15" w:type="dxa"/>
        </w:trPr>
        <w:tc>
          <w:tcPr>
            <w:tcW w:w="0" w:type="auto"/>
            <w:vAlign w:val="center"/>
            <w:hideMark/>
          </w:tcPr>
          <w:p w14:paraId="3C837A5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Stabilization</w:t>
            </w:r>
          </w:p>
        </w:tc>
        <w:tc>
          <w:tcPr>
            <w:tcW w:w="0" w:type="auto"/>
            <w:vAlign w:val="center"/>
            <w:hideMark/>
          </w:tcPr>
          <w:p w14:paraId="1AF894A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off</w:t>
            </w:r>
          </w:p>
        </w:tc>
      </w:tr>
      <w:tr w:rsidR="005446D2" w:rsidRPr="005446D2" w14:paraId="713C68E7" w14:textId="77777777">
        <w:trPr>
          <w:tblCellSpacing w:w="15" w:type="dxa"/>
        </w:trPr>
        <w:tc>
          <w:tcPr>
            <w:tcW w:w="0" w:type="auto"/>
            <w:vAlign w:val="center"/>
            <w:hideMark/>
          </w:tcPr>
          <w:p w14:paraId="2FBF040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Protune</w:t>
            </w:r>
          </w:p>
        </w:tc>
        <w:tc>
          <w:tcPr>
            <w:tcW w:w="0" w:type="auto"/>
            <w:vAlign w:val="center"/>
            <w:hideMark/>
          </w:tcPr>
          <w:p w14:paraId="4E0A03B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off</w:t>
            </w:r>
          </w:p>
        </w:tc>
      </w:tr>
      <w:tr w:rsidR="005446D2" w:rsidRPr="005446D2" w14:paraId="397828C7" w14:textId="77777777">
        <w:trPr>
          <w:tblCellSpacing w:w="15" w:type="dxa"/>
        </w:trPr>
        <w:tc>
          <w:tcPr>
            <w:tcW w:w="0" w:type="auto"/>
            <w:vAlign w:val="center"/>
            <w:hideMark/>
          </w:tcPr>
          <w:p w14:paraId="35914A5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Sound</w:t>
            </w:r>
          </w:p>
        </w:tc>
        <w:tc>
          <w:tcPr>
            <w:tcW w:w="0" w:type="auto"/>
            <w:vAlign w:val="center"/>
            <w:hideMark/>
          </w:tcPr>
          <w:p w14:paraId="21DD14E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on during recording; audio removed before annotation</w:t>
            </w:r>
          </w:p>
        </w:tc>
      </w:tr>
      <w:tr w:rsidR="005446D2" w:rsidRPr="005446D2" w14:paraId="17D54D6B" w14:textId="77777777">
        <w:trPr>
          <w:tblCellSpacing w:w="15" w:type="dxa"/>
        </w:trPr>
        <w:tc>
          <w:tcPr>
            <w:tcW w:w="0" w:type="auto"/>
            <w:vAlign w:val="center"/>
            <w:hideMark/>
          </w:tcPr>
          <w:p w14:paraId="51C136F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Low light settings</w:t>
            </w:r>
          </w:p>
        </w:tc>
        <w:tc>
          <w:tcPr>
            <w:tcW w:w="0" w:type="auto"/>
            <w:vAlign w:val="center"/>
            <w:hideMark/>
          </w:tcPr>
          <w:p w14:paraId="7C67091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N/A</w:t>
            </w:r>
          </w:p>
        </w:tc>
      </w:tr>
      <w:tr w:rsidR="005446D2" w:rsidRPr="005446D2" w14:paraId="2E1288F8" w14:textId="77777777">
        <w:trPr>
          <w:tblCellSpacing w:w="15" w:type="dxa"/>
        </w:trPr>
        <w:tc>
          <w:tcPr>
            <w:tcW w:w="0" w:type="auto"/>
            <w:vAlign w:val="center"/>
            <w:hideMark/>
          </w:tcPr>
          <w:p w14:paraId="6D07B80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Field of view</w:t>
            </w:r>
          </w:p>
        </w:tc>
        <w:tc>
          <w:tcPr>
            <w:tcW w:w="0" w:type="auto"/>
            <w:vAlign w:val="center"/>
            <w:hideMark/>
          </w:tcPr>
          <w:p w14:paraId="5C2C645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wide</w:t>
            </w:r>
          </w:p>
        </w:tc>
      </w:tr>
      <w:tr w:rsidR="005446D2" w:rsidRPr="005446D2" w14:paraId="07243D71" w14:textId="77777777">
        <w:trPr>
          <w:tblCellSpacing w:w="15" w:type="dxa"/>
        </w:trPr>
        <w:tc>
          <w:tcPr>
            <w:tcW w:w="0" w:type="auto"/>
            <w:vAlign w:val="center"/>
            <w:hideMark/>
          </w:tcPr>
          <w:p w14:paraId="181D556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Quick Capture</w:t>
            </w:r>
          </w:p>
        </w:tc>
        <w:tc>
          <w:tcPr>
            <w:tcW w:w="0" w:type="auto"/>
            <w:vAlign w:val="center"/>
            <w:hideMark/>
          </w:tcPr>
          <w:p w14:paraId="3861486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on</w:t>
            </w:r>
          </w:p>
        </w:tc>
      </w:tr>
      <w:tr w:rsidR="005446D2" w:rsidRPr="005446D2" w14:paraId="3711BA6E" w14:textId="77777777">
        <w:trPr>
          <w:tblCellSpacing w:w="15" w:type="dxa"/>
        </w:trPr>
        <w:tc>
          <w:tcPr>
            <w:tcW w:w="0" w:type="auto"/>
            <w:vAlign w:val="center"/>
            <w:hideMark/>
          </w:tcPr>
          <w:p w14:paraId="1455C23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Auto power off</w:t>
            </w:r>
          </w:p>
        </w:tc>
        <w:tc>
          <w:tcPr>
            <w:tcW w:w="0" w:type="auto"/>
            <w:vAlign w:val="center"/>
            <w:hideMark/>
          </w:tcPr>
          <w:p w14:paraId="39095BC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 min</w:t>
            </w:r>
          </w:p>
        </w:tc>
      </w:tr>
      <w:tr w:rsidR="005446D2" w:rsidRPr="005446D2" w14:paraId="3D7A1C96" w14:textId="77777777">
        <w:trPr>
          <w:tblCellSpacing w:w="15" w:type="dxa"/>
        </w:trPr>
        <w:tc>
          <w:tcPr>
            <w:tcW w:w="0" w:type="auto"/>
            <w:vAlign w:val="center"/>
            <w:hideMark/>
          </w:tcPr>
          <w:p w14:paraId="3E29D41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WiFi</w:t>
            </w:r>
          </w:p>
        </w:tc>
        <w:tc>
          <w:tcPr>
            <w:tcW w:w="0" w:type="auto"/>
            <w:vAlign w:val="center"/>
            <w:hideMark/>
          </w:tcPr>
          <w:p w14:paraId="65BA772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off</w:t>
            </w:r>
          </w:p>
        </w:tc>
      </w:tr>
      <w:tr w:rsidR="005446D2" w:rsidRPr="005446D2" w14:paraId="69A95D65" w14:textId="77777777">
        <w:trPr>
          <w:tblCellSpacing w:w="15" w:type="dxa"/>
        </w:trPr>
        <w:tc>
          <w:tcPr>
            <w:tcW w:w="0" w:type="auto"/>
            <w:vAlign w:val="center"/>
            <w:hideMark/>
          </w:tcPr>
          <w:p w14:paraId="10A7854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GPS</w:t>
            </w:r>
          </w:p>
        </w:tc>
        <w:tc>
          <w:tcPr>
            <w:tcW w:w="0" w:type="auto"/>
            <w:vAlign w:val="center"/>
            <w:hideMark/>
          </w:tcPr>
          <w:p w14:paraId="05B0C60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off</w:t>
            </w:r>
          </w:p>
        </w:tc>
      </w:tr>
      <w:tr w:rsidR="005446D2" w:rsidRPr="005446D2" w14:paraId="43CF6F85" w14:textId="77777777">
        <w:trPr>
          <w:tblCellSpacing w:w="15" w:type="dxa"/>
        </w:trPr>
        <w:tc>
          <w:tcPr>
            <w:tcW w:w="0" w:type="auto"/>
            <w:vAlign w:val="center"/>
            <w:hideMark/>
          </w:tcPr>
          <w:p w14:paraId="2170D2A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Landscape lock</w:t>
            </w:r>
          </w:p>
        </w:tc>
        <w:tc>
          <w:tcPr>
            <w:tcW w:w="0" w:type="auto"/>
            <w:vAlign w:val="center"/>
            <w:hideMark/>
          </w:tcPr>
          <w:p w14:paraId="004DCD7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up</w:t>
            </w:r>
          </w:p>
        </w:tc>
      </w:tr>
      <w:tr w:rsidR="005446D2" w:rsidRPr="005446D2" w14:paraId="6E5257B4" w14:textId="77777777">
        <w:trPr>
          <w:tblCellSpacing w:w="15" w:type="dxa"/>
        </w:trPr>
        <w:tc>
          <w:tcPr>
            <w:tcW w:w="0" w:type="auto"/>
            <w:vAlign w:val="center"/>
            <w:hideMark/>
          </w:tcPr>
          <w:p w14:paraId="07F62AB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Standardised analysis window</w:t>
            </w:r>
          </w:p>
        </w:tc>
        <w:tc>
          <w:tcPr>
            <w:tcW w:w="0" w:type="auto"/>
            <w:vAlign w:val="center"/>
            <w:hideMark/>
          </w:tcPr>
          <w:p w14:paraId="09D292B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43 min</w:t>
            </w:r>
          </w:p>
        </w:tc>
      </w:tr>
    </w:tbl>
    <w:p w14:paraId="67FB9890"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No fish length measurements were taken in this study. The analyses therefore focused on taxon presence, MaxN, assemblage composition, and behavioural observations rather than fish size or biomass estimates.</w:t>
      </w:r>
    </w:p>
    <w:p w14:paraId="3A18B609"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[FIGURE TO INSERT: Photograph or schematic of the GoPro camera configuration and field deployment orientation.]</w:t>
      </w:r>
    </w:p>
    <w:p w14:paraId="610C5C6C"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2.4 Video Processing</w:t>
      </w:r>
    </w:p>
    <w:p w14:paraId="32427D51"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Raw footage was stored locally on hard drives. Because GoPro cameras automatically split recordings into sequential chapters, video segments for each deployment were merged using </w:t>
      </w:r>
      <w:r w:rsidRPr="005446D2">
        <w:rPr>
          <w:rFonts w:ascii="Times New Roman" w:eastAsia="Times New Roman" w:hAnsi="Times New Roman" w:cs="Times New Roman"/>
          <w:kern w:val="0"/>
          <w:lang w:eastAsia="de-DE"/>
          <w14:ligatures w14:val="none"/>
        </w:rPr>
        <w:lastRenderedPageBreak/>
        <w:t>OpenShot video editor. Files were then re-encoded to a standardised format compatible with the BIIGLE annotation platform. Videos retained for analysis were cropped to the standardised 43-minute analysis window.</w:t>
      </w:r>
    </w:p>
    <w:p w14:paraId="3BCE5D59"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[FIGURE TO INSERT: Workflow diagram from raw GoPro files through merging, re-encoding, 43-minute cropping, quality control, and BIIGLE upload.]</w:t>
      </w:r>
    </w:p>
    <w:p w14:paraId="76DFFFC3"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2.5 Bait Types and Preparation</w:t>
      </w:r>
    </w:p>
    <w:p w14:paraId="0A63D347"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The experimental bait protocol included seven primary macroalgal and fish-based bait variants. </w:t>
      </w:r>
      <w:r w:rsidRPr="005446D2">
        <w:rPr>
          <w:rFonts w:ascii="Times New Roman" w:eastAsia="Times New Roman" w:hAnsi="Times New Roman" w:cs="Times New Roman"/>
          <w:b/>
          <w:bCs/>
          <w:kern w:val="0"/>
          <w:lang w:eastAsia="de-DE"/>
          <w14:ligatures w14:val="none"/>
        </w:rPr>
        <w:t>Gut Weed</w:t>
      </w:r>
      <w:r w:rsidRPr="005446D2">
        <w:rPr>
          <w:rFonts w:ascii="Times New Roman" w:eastAsia="Times New Roman" w:hAnsi="Times New Roman" w:cs="Times New Roman"/>
          <w:kern w:val="0"/>
          <w:lang w:eastAsia="de-DE"/>
          <w14:ligatures w14:val="none"/>
        </w:rPr>
        <w:t xml:space="preserve"> was used as the treatment name throughout the final methods, deployment schedule, results, and discussion. </w:t>
      </w:r>
      <w:r w:rsidRPr="005446D2">
        <w:rPr>
          <w:rFonts w:ascii="Times New Roman" w:eastAsia="Times New Roman" w:hAnsi="Times New Roman" w:cs="Times New Roman"/>
          <w:b/>
          <w:bCs/>
          <w:kern w:val="0"/>
          <w:lang w:eastAsia="de-DE"/>
          <w14:ligatures w14:val="none"/>
        </w:rPr>
        <w:t>Control</w:t>
      </w:r>
      <w:r w:rsidRPr="005446D2">
        <w:rPr>
          <w:rFonts w:ascii="Times New Roman" w:eastAsia="Times New Roman" w:hAnsi="Times New Roman" w:cs="Times New Roman"/>
          <w:kern w:val="0"/>
          <w:lang w:eastAsia="de-DE"/>
          <w14:ligatures w14:val="none"/>
        </w:rPr>
        <w:t xml:space="preserve"> refers to a completely unbaited 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7809"/>
      </w:tblGrid>
      <w:tr w:rsidR="005446D2" w:rsidRPr="005446D2" w14:paraId="49C64BDF" w14:textId="77777777">
        <w:trPr>
          <w:tblHeader/>
          <w:tblCellSpacing w:w="15" w:type="dxa"/>
        </w:trPr>
        <w:tc>
          <w:tcPr>
            <w:tcW w:w="0" w:type="auto"/>
            <w:vAlign w:val="center"/>
            <w:hideMark/>
          </w:tcPr>
          <w:p w14:paraId="32AD12F3"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Bait type</w:t>
            </w:r>
          </w:p>
        </w:tc>
        <w:tc>
          <w:tcPr>
            <w:tcW w:w="0" w:type="auto"/>
            <w:vAlign w:val="center"/>
            <w:hideMark/>
          </w:tcPr>
          <w:p w14:paraId="34BCCB0C"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Description</w:t>
            </w:r>
          </w:p>
        </w:tc>
      </w:tr>
      <w:tr w:rsidR="005446D2" w:rsidRPr="005446D2" w14:paraId="38642910" w14:textId="77777777">
        <w:trPr>
          <w:tblCellSpacing w:w="15" w:type="dxa"/>
        </w:trPr>
        <w:tc>
          <w:tcPr>
            <w:tcW w:w="0" w:type="auto"/>
            <w:vAlign w:val="center"/>
            <w:hideMark/>
          </w:tcPr>
          <w:p w14:paraId="575992E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Mackerel</w:t>
            </w:r>
          </w:p>
        </w:tc>
        <w:tc>
          <w:tcPr>
            <w:tcW w:w="0" w:type="auto"/>
            <w:vAlign w:val="center"/>
            <w:hideMark/>
          </w:tcPr>
          <w:p w14:paraId="2265D9E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i/>
                <w:iCs/>
                <w:kern w:val="0"/>
                <w:lang w:eastAsia="de-DE"/>
                <w14:ligatures w14:val="none"/>
              </w:rPr>
              <w:t>Scomber</w:t>
            </w:r>
            <w:r w:rsidRPr="005446D2">
              <w:rPr>
                <w:rFonts w:ascii="Times New Roman" w:eastAsia="Times New Roman" w:hAnsi="Times New Roman" w:cs="Times New Roman"/>
                <w:kern w:val="0"/>
                <w:lang w:eastAsia="de-DE"/>
                <w14:ligatures w14:val="none"/>
              </w:rPr>
              <w:t xml:space="preserve"> spp., fresh or frozen/thawed fish pieces (3 x 5 cm)</w:t>
            </w:r>
          </w:p>
        </w:tc>
      </w:tr>
      <w:tr w:rsidR="005446D2" w:rsidRPr="005446D2" w14:paraId="4885A605" w14:textId="77777777">
        <w:trPr>
          <w:tblCellSpacing w:w="15" w:type="dxa"/>
        </w:trPr>
        <w:tc>
          <w:tcPr>
            <w:tcW w:w="0" w:type="auto"/>
            <w:vAlign w:val="center"/>
            <w:hideMark/>
          </w:tcPr>
          <w:p w14:paraId="7588179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Sea lettuce</w:t>
            </w:r>
          </w:p>
        </w:tc>
        <w:tc>
          <w:tcPr>
            <w:tcW w:w="0" w:type="auto"/>
            <w:vAlign w:val="center"/>
            <w:hideMark/>
          </w:tcPr>
          <w:p w14:paraId="00FEC2D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i/>
                <w:iCs/>
                <w:kern w:val="0"/>
                <w:lang w:eastAsia="de-DE"/>
                <w14:ligatures w14:val="none"/>
              </w:rPr>
              <w:t>Ulva</w:t>
            </w:r>
            <w:r w:rsidRPr="005446D2">
              <w:rPr>
                <w:rFonts w:ascii="Times New Roman" w:eastAsia="Times New Roman" w:hAnsi="Times New Roman" w:cs="Times New Roman"/>
                <w:kern w:val="0"/>
                <w:lang w:eastAsia="de-DE"/>
                <w14:ligatures w14:val="none"/>
              </w:rPr>
              <w:t xml:space="preserve"> spp., collected from the barrier reef</w:t>
            </w:r>
          </w:p>
        </w:tc>
      </w:tr>
      <w:tr w:rsidR="005446D2" w:rsidRPr="005446D2" w14:paraId="4408DA1A" w14:textId="77777777">
        <w:trPr>
          <w:tblCellSpacing w:w="15" w:type="dxa"/>
        </w:trPr>
        <w:tc>
          <w:tcPr>
            <w:tcW w:w="0" w:type="auto"/>
            <w:vAlign w:val="center"/>
            <w:hideMark/>
          </w:tcPr>
          <w:p w14:paraId="4A3EE79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Gut Weed</w:t>
            </w:r>
          </w:p>
        </w:tc>
        <w:tc>
          <w:tcPr>
            <w:tcW w:w="0" w:type="auto"/>
            <w:vAlign w:val="center"/>
            <w:hideMark/>
          </w:tcPr>
          <w:p w14:paraId="6A47154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i/>
                <w:iCs/>
                <w:kern w:val="0"/>
                <w:lang w:eastAsia="de-DE"/>
                <w14:ligatures w14:val="none"/>
              </w:rPr>
              <w:t>Ulva</w:t>
            </w:r>
            <w:r w:rsidRPr="005446D2">
              <w:rPr>
                <w:rFonts w:ascii="Times New Roman" w:eastAsia="Times New Roman" w:hAnsi="Times New Roman" w:cs="Times New Roman"/>
                <w:kern w:val="0"/>
                <w:lang w:eastAsia="de-DE"/>
                <w14:ligatures w14:val="none"/>
              </w:rPr>
              <w:t xml:space="preserve"> spp., collected from the barrier reef</w:t>
            </w:r>
          </w:p>
        </w:tc>
      </w:tr>
      <w:tr w:rsidR="005446D2" w:rsidRPr="005446D2" w14:paraId="15A24017" w14:textId="77777777">
        <w:trPr>
          <w:tblCellSpacing w:w="15" w:type="dxa"/>
        </w:trPr>
        <w:tc>
          <w:tcPr>
            <w:tcW w:w="0" w:type="auto"/>
            <w:vAlign w:val="center"/>
            <w:hideMark/>
          </w:tcPr>
          <w:p w14:paraId="22A3FAF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i/>
                <w:iCs/>
                <w:kern w:val="0"/>
                <w:lang w:eastAsia="de-DE"/>
                <w14:ligatures w14:val="none"/>
              </w:rPr>
              <w:t>Sargassum</w:t>
            </w:r>
          </w:p>
        </w:tc>
        <w:tc>
          <w:tcPr>
            <w:tcW w:w="0" w:type="auto"/>
            <w:vAlign w:val="center"/>
            <w:hideMark/>
          </w:tcPr>
          <w:p w14:paraId="07DF1E8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i/>
                <w:iCs/>
                <w:kern w:val="0"/>
                <w:lang w:eastAsia="de-DE"/>
                <w14:ligatures w14:val="none"/>
              </w:rPr>
              <w:t>Sargassum</w:t>
            </w:r>
            <w:r w:rsidRPr="005446D2">
              <w:rPr>
                <w:rFonts w:ascii="Times New Roman" w:eastAsia="Times New Roman" w:hAnsi="Times New Roman" w:cs="Times New Roman"/>
                <w:kern w:val="0"/>
                <w:lang w:eastAsia="de-DE"/>
                <w14:ligatures w14:val="none"/>
              </w:rPr>
              <w:t xml:space="preserve"> sp., collected from the barrier reef</w:t>
            </w:r>
          </w:p>
        </w:tc>
      </w:tr>
      <w:tr w:rsidR="005446D2" w:rsidRPr="005446D2" w14:paraId="5879A884" w14:textId="77777777">
        <w:trPr>
          <w:tblCellSpacing w:w="15" w:type="dxa"/>
        </w:trPr>
        <w:tc>
          <w:tcPr>
            <w:tcW w:w="0" w:type="auto"/>
            <w:vAlign w:val="center"/>
            <w:hideMark/>
          </w:tcPr>
          <w:p w14:paraId="0C81643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Algae Strings</w:t>
            </w:r>
          </w:p>
        </w:tc>
        <w:tc>
          <w:tcPr>
            <w:tcW w:w="0" w:type="auto"/>
            <w:vAlign w:val="center"/>
            <w:hideMark/>
          </w:tcPr>
          <w:p w14:paraId="5AED30E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Three 1 m strings positioned vertically in the water column, each fitted with one macroalgae species (Sea lettuce, Gut Weed, or </w:t>
            </w:r>
            <w:r w:rsidRPr="005446D2">
              <w:rPr>
                <w:rFonts w:ascii="Times New Roman" w:eastAsia="Times New Roman" w:hAnsi="Times New Roman" w:cs="Times New Roman"/>
                <w:i/>
                <w:iCs/>
                <w:kern w:val="0"/>
                <w:lang w:eastAsia="de-DE"/>
                <w14:ligatures w14:val="none"/>
              </w:rPr>
              <w:t>Sargassum</w:t>
            </w:r>
            <w:r w:rsidRPr="005446D2">
              <w:rPr>
                <w:rFonts w:ascii="Times New Roman" w:eastAsia="Times New Roman" w:hAnsi="Times New Roman" w:cs="Times New Roman"/>
                <w:kern w:val="0"/>
                <w:lang w:eastAsia="de-DE"/>
                <w14:ligatures w14:val="none"/>
              </w:rPr>
              <w:t xml:space="preserve"> sp.)</w:t>
            </w:r>
          </w:p>
        </w:tc>
      </w:tr>
      <w:tr w:rsidR="005446D2" w:rsidRPr="005446D2" w14:paraId="0AEBE742" w14:textId="77777777">
        <w:trPr>
          <w:tblCellSpacing w:w="15" w:type="dxa"/>
        </w:trPr>
        <w:tc>
          <w:tcPr>
            <w:tcW w:w="0" w:type="auto"/>
            <w:vAlign w:val="center"/>
            <w:hideMark/>
          </w:tcPr>
          <w:p w14:paraId="4E42BC4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Fish Mix</w:t>
            </w:r>
          </w:p>
        </w:tc>
        <w:tc>
          <w:tcPr>
            <w:tcW w:w="0" w:type="auto"/>
            <w:vAlign w:val="center"/>
            <w:hideMark/>
          </w:tcPr>
          <w:p w14:paraId="713EA27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Mackerel combined with all three macroalgae species</w:t>
            </w:r>
          </w:p>
        </w:tc>
      </w:tr>
      <w:tr w:rsidR="005446D2" w:rsidRPr="005446D2" w14:paraId="1368C7D5" w14:textId="77777777">
        <w:trPr>
          <w:tblCellSpacing w:w="15" w:type="dxa"/>
        </w:trPr>
        <w:tc>
          <w:tcPr>
            <w:tcW w:w="0" w:type="auto"/>
            <w:vAlign w:val="center"/>
            <w:hideMark/>
          </w:tcPr>
          <w:p w14:paraId="171386A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Algae Mix</w:t>
            </w:r>
          </w:p>
        </w:tc>
        <w:tc>
          <w:tcPr>
            <w:tcW w:w="0" w:type="auto"/>
            <w:vAlign w:val="center"/>
            <w:hideMark/>
          </w:tcPr>
          <w:p w14:paraId="6321669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Sea lettuce, Gut Weed, and </w:t>
            </w:r>
            <w:r w:rsidRPr="005446D2">
              <w:rPr>
                <w:rFonts w:ascii="Times New Roman" w:eastAsia="Times New Roman" w:hAnsi="Times New Roman" w:cs="Times New Roman"/>
                <w:i/>
                <w:iCs/>
                <w:kern w:val="0"/>
                <w:lang w:eastAsia="de-DE"/>
                <w14:ligatures w14:val="none"/>
              </w:rPr>
              <w:t>Sargassum</w:t>
            </w:r>
            <w:r w:rsidRPr="005446D2">
              <w:rPr>
                <w:rFonts w:ascii="Times New Roman" w:eastAsia="Times New Roman" w:hAnsi="Times New Roman" w:cs="Times New Roman"/>
                <w:kern w:val="0"/>
                <w:lang w:eastAsia="de-DE"/>
                <w14:ligatures w14:val="none"/>
              </w:rPr>
              <w:t xml:space="preserve"> sp. combined</w:t>
            </w:r>
          </w:p>
        </w:tc>
      </w:tr>
    </w:tbl>
    <w:p w14:paraId="35C6F339"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Mackerel was either used immediately after purchase or frozen and thawed prior to deployment. Fish were cut into 3 x 5 cm pieces. All macroalgae were collected from a barrier reef on the eastern side of Juani Island, a neighbouring island to Mafia. Sea lettuce and Gut Weed are both </w:t>
      </w:r>
      <w:r w:rsidRPr="005446D2">
        <w:rPr>
          <w:rFonts w:ascii="Times New Roman" w:eastAsia="Times New Roman" w:hAnsi="Times New Roman" w:cs="Times New Roman"/>
          <w:i/>
          <w:iCs/>
          <w:kern w:val="0"/>
          <w:lang w:eastAsia="de-DE"/>
          <w14:ligatures w14:val="none"/>
        </w:rPr>
        <w:t>Ulva</w:t>
      </w:r>
      <w:r w:rsidRPr="005446D2">
        <w:rPr>
          <w:rFonts w:ascii="Times New Roman" w:eastAsia="Times New Roman" w:hAnsi="Times New Roman" w:cs="Times New Roman"/>
          <w:kern w:val="0"/>
          <w:lang w:eastAsia="de-DE"/>
          <w14:ligatures w14:val="none"/>
        </w:rPr>
        <w:t xml:space="preserve"> spp. that differ morphologically but could not be identified to species level. Algae were stored in seawater and maintained for a maximum of 9 days in submerged storage before use; no qualitative loss in bait integrity was observed during this period.</w:t>
      </w:r>
    </w:p>
    <w:p w14:paraId="2C6D9811"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bait basket was filled to approximately half its volume for all deployments placed in the basket. For mackerel, this corresponded to approximately 500 g. For algae, only volumetric equivalence was applied. For mixed baits, the proportions of all components were reduced accordingly. Algae Strings were the only variant not deployed in the basket: three individual strings, each approximately 1 m in length, were positioned vertically in the water column, and each string had one macroalgae species woven into it.</w:t>
      </w:r>
    </w:p>
    <w:p w14:paraId="036F8D29"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[FIGURE TO INSERT: Photograph or composite plate showing all bait and treatment variants, including Mackerel, Sea lettuce, Gut Weed, </w:t>
      </w:r>
      <w:r w:rsidRPr="005446D2">
        <w:rPr>
          <w:rFonts w:ascii="Times New Roman" w:eastAsia="Times New Roman" w:hAnsi="Times New Roman" w:cs="Times New Roman"/>
          <w:i/>
          <w:iCs/>
          <w:kern w:val="0"/>
          <w:lang w:eastAsia="de-DE"/>
          <w14:ligatures w14:val="none"/>
        </w:rPr>
        <w:t>Sargassum</w:t>
      </w:r>
      <w:r w:rsidRPr="005446D2">
        <w:rPr>
          <w:rFonts w:ascii="Times New Roman" w:eastAsia="Times New Roman" w:hAnsi="Times New Roman" w:cs="Times New Roman"/>
          <w:kern w:val="0"/>
          <w:lang w:eastAsia="de-DE"/>
          <w14:ligatures w14:val="none"/>
        </w:rPr>
        <w:t>, Algae Strings, Fish Mix, Algae Mix, and Control.]</w:t>
      </w:r>
    </w:p>
    <w:p w14:paraId="69870E39"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2.6 Deployment Procedure</w:t>
      </w:r>
    </w:p>
    <w:p w14:paraId="7D39809D"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Bait was removed from storage and transported to the deployment site by boat. The time between removal from storage and BRUVS deployment ranged from approximately 10 to 60 minutes. Once the unit was secured at the target position and orientation, recording was </w:t>
      </w:r>
      <w:r w:rsidRPr="005446D2">
        <w:rPr>
          <w:rFonts w:ascii="Times New Roman" w:eastAsia="Times New Roman" w:hAnsi="Times New Roman" w:cs="Times New Roman"/>
          <w:kern w:val="0"/>
          <w:lang w:eastAsia="de-DE"/>
          <w14:ligatures w14:val="none"/>
        </w:rPr>
        <w:lastRenderedPageBreak/>
        <w:t>initiated and the boat departed the site to minimise disturbance. The start time of each deployment is reported in Appendix A.</w:t>
      </w:r>
    </w:p>
    <w:p w14:paraId="2207F40F"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[FIGURE TO INSERT: Stepwise deployment schematic showing bait preparation, transport, mono-BRUVS placement, recording, retrieval, and the 43-minute analysis-window selection.]</w:t>
      </w:r>
    </w:p>
    <w:p w14:paraId="262AA204"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2.7 Video Analysis</w:t>
      </w:r>
    </w:p>
    <w:p w14:paraId="4C9640A1"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Videos were annotated using the BIIGLE annotation platform. Annotation commenced only after all divers had left the field of view, ensuring that fish behaviour recorded for analysis was not influenced by human presence during the observation period. The full annotation protocol, including definitions of First Seen, MaxN, and behavioural categories (feeding, interested, uninterested), is provided in Appendix B.</w:t>
      </w:r>
    </w:p>
    <w:p w14:paraId="3B3A3DC6"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[FIGURE TO INSERT: BIIGLE annotation screenshot or example annotation frame showing First Seen, MaxN, feeding, and interested annotations.]</w:t>
      </w:r>
    </w:p>
    <w:p w14:paraId="4460B43D"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2.8 Supplementary Data</w:t>
      </w:r>
    </w:p>
    <w:p w14:paraId="4CEF63CC"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To increase statistical power and improve spatial coverage, additional BRUVS deployments conducted by Nicole Schröter during her doctoral research on Mafia Island were incorporated into this study. These supplementary recordings were collected using mono-BRUVS units with one camera per unit and were processed using the same target 43-minute analysis window where sufficient footage was available. Their dates and available deployment information are listed separately in Appendix A: Deployment Schedule. ​</w:t>
      </w:r>
    </w:p>
    <w:p w14:paraId="16D46892"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2.9 Data Overview and Statistical Analysis</w:t>
      </w:r>
    </w:p>
    <w:p w14:paraId="6DBC6C3F"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statistical analyses were based on 46 BRUVS videos from three study sites: Milimani, Utumbi, and Chole Nursery. The response variables comprised taxon-specific abundance measured as MaxN, overall assemblage composition, behavioural observations classified as feeding or interested, and video visibility. ​</w:t>
      </w:r>
    </w:p>
    <w:p w14:paraId="7091AA77"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number of deployments per bait and site was calculated from the deployment schedule. Gut Weed and Control are defined consistently with the final bait table, with Control completely unbaited in all deployments.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1007"/>
        <w:gridCol w:w="847"/>
        <w:gridCol w:w="1560"/>
        <w:gridCol w:w="622"/>
      </w:tblGrid>
      <w:tr w:rsidR="005446D2" w:rsidRPr="005446D2" w14:paraId="7A6D3174" w14:textId="77777777">
        <w:trPr>
          <w:tblHeader/>
          <w:tblCellSpacing w:w="15" w:type="dxa"/>
        </w:trPr>
        <w:tc>
          <w:tcPr>
            <w:tcW w:w="0" w:type="auto"/>
            <w:vAlign w:val="center"/>
            <w:hideMark/>
          </w:tcPr>
          <w:p w14:paraId="1F45818E"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Bait or treatment label</w:t>
            </w:r>
          </w:p>
        </w:tc>
        <w:tc>
          <w:tcPr>
            <w:tcW w:w="0" w:type="auto"/>
            <w:vAlign w:val="center"/>
            <w:hideMark/>
          </w:tcPr>
          <w:p w14:paraId="4887F4D5"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Milimani</w:t>
            </w:r>
          </w:p>
        </w:tc>
        <w:tc>
          <w:tcPr>
            <w:tcW w:w="0" w:type="auto"/>
            <w:vAlign w:val="center"/>
            <w:hideMark/>
          </w:tcPr>
          <w:p w14:paraId="22C87DD3"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Utumbi</w:t>
            </w:r>
          </w:p>
        </w:tc>
        <w:tc>
          <w:tcPr>
            <w:tcW w:w="0" w:type="auto"/>
            <w:vAlign w:val="center"/>
            <w:hideMark/>
          </w:tcPr>
          <w:p w14:paraId="008FD775"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Chole Nursery</w:t>
            </w:r>
          </w:p>
        </w:tc>
        <w:tc>
          <w:tcPr>
            <w:tcW w:w="0" w:type="auto"/>
            <w:vAlign w:val="center"/>
            <w:hideMark/>
          </w:tcPr>
          <w:p w14:paraId="294941C7"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Total</w:t>
            </w:r>
          </w:p>
        </w:tc>
      </w:tr>
      <w:tr w:rsidR="005446D2" w:rsidRPr="005446D2" w14:paraId="01992596" w14:textId="77777777">
        <w:trPr>
          <w:tblCellSpacing w:w="15" w:type="dxa"/>
        </w:trPr>
        <w:tc>
          <w:tcPr>
            <w:tcW w:w="0" w:type="auto"/>
            <w:vAlign w:val="center"/>
            <w:hideMark/>
          </w:tcPr>
          <w:p w14:paraId="4A0F236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Mackerel</w:t>
            </w:r>
          </w:p>
        </w:tc>
        <w:tc>
          <w:tcPr>
            <w:tcW w:w="0" w:type="auto"/>
            <w:vAlign w:val="center"/>
            <w:hideMark/>
          </w:tcPr>
          <w:p w14:paraId="41CD994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w:t>
            </w:r>
          </w:p>
        </w:tc>
        <w:tc>
          <w:tcPr>
            <w:tcW w:w="0" w:type="auto"/>
            <w:vAlign w:val="center"/>
            <w:hideMark/>
          </w:tcPr>
          <w:p w14:paraId="077F275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w:t>
            </w:r>
          </w:p>
        </w:tc>
        <w:tc>
          <w:tcPr>
            <w:tcW w:w="0" w:type="auto"/>
            <w:vAlign w:val="center"/>
            <w:hideMark/>
          </w:tcPr>
          <w:p w14:paraId="341524E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4</w:t>
            </w:r>
          </w:p>
        </w:tc>
        <w:tc>
          <w:tcPr>
            <w:tcW w:w="0" w:type="auto"/>
            <w:vAlign w:val="center"/>
            <w:hideMark/>
          </w:tcPr>
          <w:p w14:paraId="2A36564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r>
      <w:tr w:rsidR="005446D2" w:rsidRPr="005446D2" w14:paraId="532CE4F9" w14:textId="77777777">
        <w:trPr>
          <w:tblCellSpacing w:w="15" w:type="dxa"/>
        </w:trPr>
        <w:tc>
          <w:tcPr>
            <w:tcW w:w="0" w:type="auto"/>
            <w:vAlign w:val="center"/>
            <w:hideMark/>
          </w:tcPr>
          <w:p w14:paraId="6B4390A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Sea lettuce</w:t>
            </w:r>
          </w:p>
        </w:tc>
        <w:tc>
          <w:tcPr>
            <w:tcW w:w="0" w:type="auto"/>
            <w:vAlign w:val="center"/>
            <w:hideMark/>
          </w:tcPr>
          <w:p w14:paraId="1A115A7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4</w:t>
            </w:r>
          </w:p>
        </w:tc>
        <w:tc>
          <w:tcPr>
            <w:tcW w:w="0" w:type="auto"/>
            <w:vAlign w:val="center"/>
            <w:hideMark/>
          </w:tcPr>
          <w:p w14:paraId="26C8801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w:t>
            </w:r>
          </w:p>
        </w:tc>
        <w:tc>
          <w:tcPr>
            <w:tcW w:w="0" w:type="auto"/>
            <w:vAlign w:val="center"/>
            <w:hideMark/>
          </w:tcPr>
          <w:p w14:paraId="74E6CBA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55204CB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7</w:t>
            </w:r>
          </w:p>
        </w:tc>
      </w:tr>
      <w:tr w:rsidR="005446D2" w:rsidRPr="005446D2" w14:paraId="7CFA9188" w14:textId="77777777">
        <w:trPr>
          <w:tblCellSpacing w:w="15" w:type="dxa"/>
        </w:trPr>
        <w:tc>
          <w:tcPr>
            <w:tcW w:w="0" w:type="auto"/>
            <w:vAlign w:val="center"/>
            <w:hideMark/>
          </w:tcPr>
          <w:p w14:paraId="7C58F70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Gut Weed</w:t>
            </w:r>
          </w:p>
        </w:tc>
        <w:tc>
          <w:tcPr>
            <w:tcW w:w="0" w:type="auto"/>
            <w:vAlign w:val="center"/>
            <w:hideMark/>
          </w:tcPr>
          <w:p w14:paraId="7C09A7D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w:t>
            </w:r>
          </w:p>
        </w:tc>
        <w:tc>
          <w:tcPr>
            <w:tcW w:w="0" w:type="auto"/>
            <w:vAlign w:val="center"/>
            <w:hideMark/>
          </w:tcPr>
          <w:p w14:paraId="1978333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w:t>
            </w:r>
          </w:p>
        </w:tc>
        <w:tc>
          <w:tcPr>
            <w:tcW w:w="0" w:type="auto"/>
            <w:vAlign w:val="center"/>
            <w:hideMark/>
          </w:tcPr>
          <w:p w14:paraId="33520F5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6E242DB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6</w:t>
            </w:r>
          </w:p>
        </w:tc>
      </w:tr>
      <w:tr w:rsidR="005446D2" w:rsidRPr="005446D2" w14:paraId="7776351B" w14:textId="77777777">
        <w:trPr>
          <w:tblCellSpacing w:w="15" w:type="dxa"/>
        </w:trPr>
        <w:tc>
          <w:tcPr>
            <w:tcW w:w="0" w:type="auto"/>
            <w:vAlign w:val="center"/>
            <w:hideMark/>
          </w:tcPr>
          <w:p w14:paraId="33ADF65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Control</w:t>
            </w:r>
          </w:p>
        </w:tc>
        <w:tc>
          <w:tcPr>
            <w:tcW w:w="0" w:type="auto"/>
            <w:vAlign w:val="center"/>
            <w:hideMark/>
          </w:tcPr>
          <w:p w14:paraId="33CFF25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w:t>
            </w:r>
          </w:p>
        </w:tc>
        <w:tc>
          <w:tcPr>
            <w:tcW w:w="0" w:type="auto"/>
            <w:vAlign w:val="center"/>
            <w:hideMark/>
          </w:tcPr>
          <w:p w14:paraId="4B900CA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4</w:t>
            </w:r>
          </w:p>
        </w:tc>
        <w:tc>
          <w:tcPr>
            <w:tcW w:w="0" w:type="auto"/>
            <w:vAlign w:val="center"/>
            <w:hideMark/>
          </w:tcPr>
          <w:p w14:paraId="70424CD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w:t>
            </w:r>
          </w:p>
        </w:tc>
        <w:tc>
          <w:tcPr>
            <w:tcW w:w="0" w:type="auto"/>
            <w:vAlign w:val="center"/>
            <w:hideMark/>
          </w:tcPr>
          <w:p w14:paraId="3A8ABCB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w:t>
            </w:r>
          </w:p>
        </w:tc>
      </w:tr>
      <w:tr w:rsidR="005446D2" w:rsidRPr="005446D2" w14:paraId="7E4FE0D8" w14:textId="77777777">
        <w:trPr>
          <w:tblCellSpacing w:w="15" w:type="dxa"/>
        </w:trPr>
        <w:tc>
          <w:tcPr>
            <w:tcW w:w="0" w:type="auto"/>
            <w:vAlign w:val="center"/>
            <w:hideMark/>
          </w:tcPr>
          <w:p w14:paraId="0CE0465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i/>
                <w:iCs/>
                <w:kern w:val="0"/>
                <w:lang w:eastAsia="de-DE"/>
                <w14:ligatures w14:val="none"/>
              </w:rPr>
              <w:t>Sargassum</w:t>
            </w:r>
          </w:p>
        </w:tc>
        <w:tc>
          <w:tcPr>
            <w:tcW w:w="0" w:type="auto"/>
            <w:vAlign w:val="center"/>
            <w:hideMark/>
          </w:tcPr>
          <w:p w14:paraId="12F7696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w:t>
            </w:r>
          </w:p>
        </w:tc>
        <w:tc>
          <w:tcPr>
            <w:tcW w:w="0" w:type="auto"/>
            <w:vAlign w:val="center"/>
            <w:hideMark/>
          </w:tcPr>
          <w:p w14:paraId="38942AB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w:t>
            </w:r>
          </w:p>
        </w:tc>
        <w:tc>
          <w:tcPr>
            <w:tcW w:w="0" w:type="auto"/>
            <w:vAlign w:val="center"/>
            <w:hideMark/>
          </w:tcPr>
          <w:p w14:paraId="2737066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04FD23B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6</w:t>
            </w:r>
          </w:p>
        </w:tc>
      </w:tr>
      <w:tr w:rsidR="005446D2" w:rsidRPr="005446D2" w14:paraId="2A10AD3B" w14:textId="77777777">
        <w:trPr>
          <w:tblCellSpacing w:w="15" w:type="dxa"/>
        </w:trPr>
        <w:tc>
          <w:tcPr>
            <w:tcW w:w="0" w:type="auto"/>
            <w:vAlign w:val="center"/>
            <w:hideMark/>
          </w:tcPr>
          <w:p w14:paraId="5971B59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Fish Mix</w:t>
            </w:r>
          </w:p>
        </w:tc>
        <w:tc>
          <w:tcPr>
            <w:tcW w:w="0" w:type="auto"/>
            <w:vAlign w:val="center"/>
            <w:hideMark/>
          </w:tcPr>
          <w:p w14:paraId="7A50CDF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w:t>
            </w:r>
          </w:p>
        </w:tc>
        <w:tc>
          <w:tcPr>
            <w:tcW w:w="0" w:type="auto"/>
            <w:vAlign w:val="center"/>
            <w:hideMark/>
          </w:tcPr>
          <w:p w14:paraId="08F9F0E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w:t>
            </w:r>
          </w:p>
        </w:tc>
        <w:tc>
          <w:tcPr>
            <w:tcW w:w="0" w:type="auto"/>
            <w:vAlign w:val="center"/>
            <w:hideMark/>
          </w:tcPr>
          <w:p w14:paraId="779B405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1A00C19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w:t>
            </w:r>
          </w:p>
        </w:tc>
      </w:tr>
      <w:tr w:rsidR="005446D2" w:rsidRPr="005446D2" w14:paraId="6E52949B" w14:textId="77777777">
        <w:trPr>
          <w:tblCellSpacing w:w="15" w:type="dxa"/>
        </w:trPr>
        <w:tc>
          <w:tcPr>
            <w:tcW w:w="0" w:type="auto"/>
            <w:vAlign w:val="center"/>
            <w:hideMark/>
          </w:tcPr>
          <w:p w14:paraId="5CD27A5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Algae Strings</w:t>
            </w:r>
          </w:p>
        </w:tc>
        <w:tc>
          <w:tcPr>
            <w:tcW w:w="0" w:type="auto"/>
            <w:vAlign w:val="center"/>
            <w:hideMark/>
          </w:tcPr>
          <w:p w14:paraId="11AB2CA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6EDCB11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2383E3C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w:t>
            </w:r>
          </w:p>
        </w:tc>
        <w:tc>
          <w:tcPr>
            <w:tcW w:w="0" w:type="auto"/>
            <w:vAlign w:val="center"/>
            <w:hideMark/>
          </w:tcPr>
          <w:p w14:paraId="15C62A5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w:t>
            </w:r>
          </w:p>
        </w:tc>
      </w:tr>
      <w:tr w:rsidR="005446D2" w:rsidRPr="005446D2" w14:paraId="7AD68D62" w14:textId="77777777">
        <w:trPr>
          <w:tblCellSpacing w:w="15" w:type="dxa"/>
        </w:trPr>
        <w:tc>
          <w:tcPr>
            <w:tcW w:w="0" w:type="auto"/>
            <w:vAlign w:val="center"/>
            <w:hideMark/>
          </w:tcPr>
          <w:p w14:paraId="711BF21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Algae Mix</w:t>
            </w:r>
          </w:p>
        </w:tc>
        <w:tc>
          <w:tcPr>
            <w:tcW w:w="0" w:type="auto"/>
            <w:vAlign w:val="center"/>
            <w:hideMark/>
          </w:tcPr>
          <w:p w14:paraId="58228EC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40CD4ED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1F55D44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w:t>
            </w:r>
          </w:p>
        </w:tc>
        <w:tc>
          <w:tcPr>
            <w:tcW w:w="0" w:type="auto"/>
            <w:vAlign w:val="center"/>
            <w:hideMark/>
          </w:tcPr>
          <w:p w14:paraId="3ABCDF7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w:t>
            </w:r>
          </w:p>
        </w:tc>
      </w:tr>
      <w:tr w:rsidR="005446D2" w:rsidRPr="005446D2" w14:paraId="6F9BFE78" w14:textId="77777777">
        <w:trPr>
          <w:tblCellSpacing w:w="15" w:type="dxa"/>
        </w:trPr>
        <w:tc>
          <w:tcPr>
            <w:tcW w:w="0" w:type="auto"/>
            <w:vAlign w:val="center"/>
            <w:hideMark/>
          </w:tcPr>
          <w:p w14:paraId="13FAD3A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b/>
                <w:bCs/>
                <w:kern w:val="0"/>
                <w:lang w:eastAsia="de-DE"/>
                <w14:ligatures w14:val="none"/>
              </w:rPr>
              <w:t>Total</w:t>
            </w:r>
          </w:p>
        </w:tc>
        <w:tc>
          <w:tcPr>
            <w:tcW w:w="0" w:type="auto"/>
            <w:vAlign w:val="center"/>
            <w:hideMark/>
          </w:tcPr>
          <w:p w14:paraId="18975D0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b/>
                <w:bCs/>
                <w:kern w:val="0"/>
                <w:lang w:eastAsia="de-DE"/>
                <w14:ligatures w14:val="none"/>
              </w:rPr>
              <w:t>17</w:t>
            </w:r>
          </w:p>
        </w:tc>
        <w:tc>
          <w:tcPr>
            <w:tcW w:w="0" w:type="auto"/>
            <w:vAlign w:val="center"/>
            <w:hideMark/>
          </w:tcPr>
          <w:p w14:paraId="01D9A75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b/>
                <w:bCs/>
                <w:kern w:val="0"/>
                <w:lang w:eastAsia="de-DE"/>
                <w14:ligatures w14:val="none"/>
              </w:rPr>
              <w:t>18</w:t>
            </w:r>
          </w:p>
        </w:tc>
        <w:tc>
          <w:tcPr>
            <w:tcW w:w="0" w:type="auto"/>
            <w:vAlign w:val="center"/>
            <w:hideMark/>
          </w:tcPr>
          <w:p w14:paraId="15F4C85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b/>
                <w:bCs/>
                <w:kern w:val="0"/>
                <w:lang w:eastAsia="de-DE"/>
                <w14:ligatures w14:val="none"/>
              </w:rPr>
              <w:t>11</w:t>
            </w:r>
          </w:p>
        </w:tc>
        <w:tc>
          <w:tcPr>
            <w:tcW w:w="0" w:type="auto"/>
            <w:vAlign w:val="center"/>
            <w:hideMark/>
          </w:tcPr>
          <w:p w14:paraId="6AB6530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b/>
                <w:bCs/>
                <w:kern w:val="0"/>
                <w:lang w:eastAsia="de-DE"/>
                <w14:ligatures w14:val="none"/>
              </w:rPr>
              <w:t>46</w:t>
            </w:r>
          </w:p>
        </w:tc>
      </w:tr>
    </w:tbl>
    <w:p w14:paraId="4E7E3402"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lastRenderedPageBreak/>
        <w:t>Taxon-specific comparisons were conducted using Kruskal-Wallis tests followed by pairwise Mann-Whitney U tests where appropriate. Multiple comparisons were controlled primarily with the Holm procedure, while Benjamini-Hochberg corrections were used in selected sensitivity analyses. Assemblage composition was evaluated using site-specific PERMANOVA based on Jaccard distances. The primary reef component was additionally evaluated with a grouped fish-versus-algae contrast. For the focal Chole Nursery Acanthuridae result, presence/absence checks, a hurdle model separating presence from intensity, and leave-one-video-out sensitivity analyses were used to distinguish occurrence from abundance intensity and to assess dependence on individual videos. Interaction analyses were used to assess whether bait effects on feeding-related endpoints varied by site. Bivariate correlations and adjusted models were used to assess the relationship between visibility and the biological response variables while controlling for site and bait. ​</w:t>
      </w:r>
    </w:p>
    <w:p w14:paraId="5A9E18A7"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Results were classified according to inferential strength. Robust results remained statistically significant after multiple-testing correction. Conditional results showed a consistent biological direction or a comparatively strong effect, but did not remain significant after the primary correction. Exploratory results were initially significant or directionally informative before correction, but do not provide sufficient evidence for a formal hypothesis test. ​</w:t>
      </w:r>
    </w:p>
    <w:p w14:paraId="7E249608" w14:textId="77777777" w:rsidR="005446D2" w:rsidRPr="005446D2" w:rsidRDefault="005446D2" w:rsidP="005446D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5446D2">
        <w:rPr>
          <w:rFonts w:ascii="Times New Roman" w:eastAsia="Times New Roman" w:hAnsi="Times New Roman" w:cs="Times New Roman"/>
          <w:b/>
          <w:bCs/>
          <w:kern w:val="36"/>
          <w:sz w:val="48"/>
          <w:szCs w:val="48"/>
          <w:lang w:eastAsia="de-DE"/>
          <w14:ligatures w14:val="none"/>
        </w:rPr>
        <w:t>3. Results</w:t>
      </w:r>
    </w:p>
    <w:p w14:paraId="5C9CA92A"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Results are organised around two analytical components. Milimani and Utumbi constitute the primary coral reef comparison, whereas Chole Nursery is presented as a separate lagoonal nursery experiment because its habitat, tidal accessibility, treatment portfolio, and replication structure differed. Global analyses including all three locations are reported for overall assemblage structure, but Chole Nursery-specific bait and feeding results are interpreted separately rather than as a direct third replication of the reef experiment.</w:t>
      </w:r>
    </w:p>
    <w:p w14:paraId="01129EA2"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3.1 Core Results</w:t>
      </w:r>
    </w:p>
    <w:p w14:paraId="425C4F52" w14:textId="77777777" w:rsidR="005446D2" w:rsidRPr="005446D2" w:rsidRDefault="005446D2" w:rsidP="005446D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46D2">
        <w:rPr>
          <w:rFonts w:ascii="Times New Roman" w:eastAsia="Times New Roman" w:hAnsi="Times New Roman" w:cs="Times New Roman"/>
          <w:b/>
          <w:bCs/>
          <w:kern w:val="0"/>
          <w:sz w:val="27"/>
          <w:szCs w:val="27"/>
          <w:lang w:eastAsia="de-DE"/>
          <w14:ligatures w14:val="none"/>
        </w:rPr>
        <w:t>3.1.1 Overall Bait Effects on Assemblage Composition, H1</w:t>
      </w:r>
    </w:p>
    <w:p w14:paraId="6A5BC58B"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Hypothesis H1 predicted that bait type would influence the overall composition of BRUVS-recorded fish assemblages. ​</w:t>
      </w:r>
    </w:p>
    <w:p w14:paraId="5DB6591C"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Global PERMANOVA results supported an overall bait-related compositional difference at all three locations: Milimani (p = 0.0242), Utumbi (p = 0.0046), and Chole Nursery (p = 0.0016). In the primary reef comparison, the grouped fish-versus-algae contrast also remained significant at Milimani (p = 0.0080) and Utumbi (p = 0.0044). The Milimani and Utumbi values describe the primary reef comparison, whereas the Chole Nursery value describes the separate lagoonal nursery experiment. Pairwise comparisons were generally no longer significant after Holm correction, so the global compositional signal should not be attributed to one universally distinct bait pair. At Utumbi, the Control and </w:t>
      </w:r>
      <w:r w:rsidRPr="005446D2">
        <w:rPr>
          <w:rFonts w:ascii="Times New Roman" w:eastAsia="Times New Roman" w:hAnsi="Times New Roman" w:cs="Times New Roman"/>
          <w:i/>
          <w:iCs/>
          <w:kern w:val="0"/>
          <w:lang w:eastAsia="de-DE"/>
          <w14:ligatures w14:val="none"/>
        </w:rPr>
        <w:t>Sargassum</w:t>
      </w:r>
      <w:r w:rsidRPr="005446D2">
        <w:rPr>
          <w:rFonts w:ascii="Times New Roman" w:eastAsia="Times New Roman" w:hAnsi="Times New Roman" w:cs="Times New Roman"/>
          <w:kern w:val="0"/>
          <w:lang w:eastAsia="de-DE"/>
          <w14:ligatures w14:val="none"/>
        </w:rPr>
        <w:t xml:space="preserve"> treatments showed a Jaccard overlap of 0.764, while at Chole Nursery the highest overlap was observed between Algae Strings and Algae Mix, with a Jaccard value of 0.662. ​</w:t>
      </w:r>
    </w:p>
    <w:p w14:paraId="37856B6D"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[FIGURE TO INSERT: PERMANOVA ordination or equivalent multivariate plot showing bait-associated assemblage differences by site.]</w:t>
      </w:r>
    </w:p>
    <w:p w14:paraId="14770FCA" w14:textId="77777777" w:rsidR="005446D2" w:rsidRPr="005446D2" w:rsidRDefault="005446D2" w:rsidP="005446D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46D2">
        <w:rPr>
          <w:rFonts w:ascii="Times New Roman" w:eastAsia="Times New Roman" w:hAnsi="Times New Roman" w:cs="Times New Roman"/>
          <w:b/>
          <w:bCs/>
          <w:kern w:val="0"/>
          <w:sz w:val="27"/>
          <w:szCs w:val="27"/>
          <w:lang w:eastAsia="de-DE"/>
          <w14:ligatures w14:val="none"/>
        </w:rPr>
        <w:lastRenderedPageBreak/>
        <w:t>3.1.2 Taxon-Specific Bait Effects</w:t>
      </w:r>
    </w:p>
    <w:p w14:paraId="36A56E08"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broad taxon-specific MaxN analysis provided a more conservative picture than the global PERMANOVA. Across the three sites, 104 taxa were tested at Milimani, 99 at Chole Nursery, and 120 at Utumbi. Six, eleven, and eight taxa, respectively, showed uncorrected bait signals, but none remained significant after Holm correction. These results do not provide robust evidence for a consistent bait effect on individual taxa when all taxa are tested simultaneously. They should be distinguished from the separate, biologically predefined H2 analysis of four herbivore families, in which Acanthuridae at Chole Nursery remained Holm-significant. ​</w:t>
      </w:r>
    </w:p>
    <w:p w14:paraId="037B04D9"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absence of Holm-robust taxon-specific effects does not contradict the global PERMANOVA. It indicates that the overall compositional shift was distributed across several taxa and was not driven by a small number of individually strong responses.</w:t>
      </w:r>
    </w:p>
    <w:p w14:paraId="2175A771"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[FIGURE TO INSERT: Forest plot or heatmap of taxon-specific bait effects, including effect direction and corrected significance.]</w:t>
      </w:r>
    </w:p>
    <w:p w14:paraId="39A54CC7" w14:textId="77777777" w:rsidR="005446D2" w:rsidRPr="005446D2" w:rsidRDefault="005446D2" w:rsidP="005446D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46D2">
        <w:rPr>
          <w:rFonts w:ascii="Times New Roman" w:eastAsia="Times New Roman" w:hAnsi="Times New Roman" w:cs="Times New Roman"/>
          <w:b/>
          <w:bCs/>
          <w:kern w:val="0"/>
          <w:sz w:val="27"/>
          <w:szCs w:val="27"/>
          <w:lang w:eastAsia="de-DE"/>
          <w14:ligatures w14:val="none"/>
        </w:rPr>
        <w:t>3.1.3 Standard Fish-versus-Algae Functional Comparison</w:t>
      </w:r>
    </w:p>
    <w:p w14:paraId="157F4703"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standard functional comparison contrasted fish-based and algal bait treatments across broader dietary and taxonomic feature groups. Several corrected differences were detected, especially at Utumbi, but the significant effects were predominantly directed towards higher values in fish-baited deployments. Robust examples included wrasses at Milimani and Utumbi, eels at Utumbi, and broader invertebrate- or predator-related groups. Cliff's Delta values ranged from 0.800 to 0.978, and all reported examples were directed towards fish greater than algae. ​</w:t>
      </w:r>
    </w:p>
    <w:p w14:paraId="4ED3F3F6"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This pattern indicates trophic filtering by bait. At the level of the broad functional comparison, the direction was not consistent with the prediction that macroalgal bait would generally increase herbivore representation. Fish-based bait remained more effective for several fish-oriented and invertivore-associated groups. ​</w:t>
      </w:r>
    </w:p>
    <w:p w14:paraId="34431536"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[FIGURE TO INSERT: Functional-group comparison plot contrasting fish-based and algal bait responses.]</w:t>
      </w:r>
    </w:p>
    <w:p w14:paraId="0C91813A" w14:textId="77777777" w:rsidR="005446D2" w:rsidRPr="005446D2" w:rsidRDefault="005446D2" w:rsidP="005446D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46D2">
        <w:rPr>
          <w:rFonts w:ascii="Times New Roman" w:eastAsia="Times New Roman" w:hAnsi="Times New Roman" w:cs="Times New Roman"/>
          <w:b/>
          <w:bCs/>
          <w:kern w:val="0"/>
          <w:sz w:val="27"/>
          <w:szCs w:val="27"/>
          <w:lang w:eastAsia="de-DE"/>
          <w14:ligatures w14:val="none"/>
        </w:rPr>
        <w:t>3.1.4 A Priori Herbivore MaxN Analysis, H2</w:t>
      </w:r>
    </w:p>
    <w:p w14:paraId="451741EC"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Hypothesis H2 predicted higher MaxN values for herbivorous fish families at macroalgal bait stations than at fish-baited stations. The a priori test focused on Siganidae, Acanthuridae, Scaridae, and Blenniidae. ​</w:t>
      </w:r>
    </w:p>
    <w:p w14:paraId="2848C8E3"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strongest support for H2 was found at Chole Nursery for Acanthuridae. Median MaxN was 22.0 in algal treatments and 4.5 in fish treatments. The difference remained significant after Holm correction, with p_raw = 0.0070, p_Holm = 0.0278, and Cliff's Delta = 1.0. In Milimani and Utumbi, none of the four a priori herbivore families showed a Holm-significant algae-greater-than-fish effect. H2 is therefore robustly supported for Acanthuridae in Chole Nursery, but not as a uniform effect across all study sites. ​</w:t>
      </w:r>
    </w:p>
    <w:p w14:paraId="0B4F7141"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The additional robustness analyses refine this focal result. In the Chole Nursery Acanthuridae hurdle model, presence did not differ between bait groups, with presence values of 1.0 versus </w:t>
      </w:r>
      <w:r w:rsidRPr="005446D2">
        <w:rPr>
          <w:rFonts w:ascii="Times New Roman" w:eastAsia="Times New Roman" w:hAnsi="Times New Roman" w:cs="Times New Roman"/>
          <w:kern w:val="0"/>
          <w:lang w:eastAsia="de-DE"/>
          <w14:ligatures w14:val="none"/>
        </w:rPr>
        <w:lastRenderedPageBreak/>
        <w:t>1.0, whereas the intensity component showed beta_log1p = 1.3477, p = 0.000002, and q_BH = 0.000009. This pattern is consistent with a difference in the intensity of recorded abundance among present fish rather than a difference in occurrence. The leave-one-video-out sensitivity analysis also remained significant across all runs, with p-values from 0.0079 to 0.0138. These analyses strengthen the robustness of the focal Acanthuridae result, but they do not remove its site-specific scope. ​</w:t>
      </w:r>
    </w:p>
    <w:p w14:paraId="01B8745A"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These results support a site-specific herbivore response concentrated in the Chole Nursery experiment. They do not support a general increase in herbivore detection under macroalgal bait across all reef sites.</w:t>
      </w:r>
    </w:p>
    <w:p w14:paraId="1C545AD8"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[FIGURE TO INSERT: Boxplots or raincloud plots of herbivore MaxN by bait type, family, and study site.]</w:t>
      </w:r>
    </w:p>
    <w:p w14:paraId="6B2DC225" w14:textId="77777777" w:rsidR="005446D2" w:rsidRPr="005446D2" w:rsidRDefault="005446D2" w:rsidP="005446D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46D2">
        <w:rPr>
          <w:rFonts w:ascii="Times New Roman" w:eastAsia="Times New Roman" w:hAnsi="Times New Roman" w:cs="Times New Roman"/>
          <w:b/>
          <w:bCs/>
          <w:kern w:val="0"/>
          <w:sz w:val="27"/>
          <w:szCs w:val="27"/>
          <w:lang w:eastAsia="de-DE"/>
          <w14:ligatures w14:val="none"/>
        </w:rPr>
        <w:t>3.1.5 Herbivore Feeding Activity, H3</w:t>
      </w:r>
    </w:p>
    <w:p w14:paraId="557E06B1"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H3 predicted a higher video-level feeding response by herbivorous fishes at macroalgal bait stations than at fish-baited stations. Feeding was quantified from annotated feeding observations per deployment. Feeding-event duration was not measured, so this response does not represent the proportion of deployment time spent feeding.</w:t>
      </w:r>
    </w:p>
    <w:p w14:paraId="5ED39AE0"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At Chole Nursery, the mean feeding rate was 0.2038 under algal bait and 0.0000 under fish bait. The difference remained significant after Holm correction, with p_raw = 0.005709, p_Holm = 0.017126, and Cliff's Delta = 1.0. At Milimani and Utumbi, the corrected comparisons were not significant, with p_Holm = 0.5510 at both sites. H3 is therefore supported for Chole Nursery, but not as a site-independent effect. ​</w:t>
      </w:r>
    </w:p>
    <w:p w14:paraId="76E976C3"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focused herbivore feeding-filter analysis showed a clear direction at Chole Nursery, but the composite result was not robust after Holm correction. For the herbivore core families, feeding was 16.0 under algal treatments and 0.0 under fish treatments, with p_raw = 0.0112, p_Holm = 0.218, and Cliff's Delta = 1.0. This result is retained as biologically informative secondary evidence rather than as an additional robust hypothesis confirmation.</w:t>
      </w:r>
    </w:p>
    <w:p w14:paraId="757E0C8D"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[FIGURE TO INSERT: Comparison of video-level feeding responses by bait type and site.]</w:t>
      </w:r>
    </w:p>
    <w:p w14:paraId="7FB464D8" w14:textId="77777777" w:rsidR="005446D2" w:rsidRPr="005446D2" w:rsidRDefault="005446D2" w:rsidP="005446D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46D2">
        <w:rPr>
          <w:rFonts w:ascii="Times New Roman" w:eastAsia="Times New Roman" w:hAnsi="Times New Roman" w:cs="Times New Roman"/>
          <w:b/>
          <w:bCs/>
          <w:kern w:val="0"/>
          <w:sz w:val="27"/>
          <w:szCs w:val="27"/>
          <w:lang w:eastAsia="de-DE"/>
          <w14:ligatures w14:val="none"/>
        </w:rPr>
        <w:t>3.1.6 Supplementary Total-Event Overview of Feeding and Interest</w:t>
      </w:r>
    </w:p>
    <w:p w14:paraId="468DBAC3"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 separate broader analysis summarised total annotated feeding and interested events across taxonomic and functional features. It should not be treated as interchangeable with the a priori H3 feeding-rate analysis, because it addresses a broader event-level overview rather than the predefined herbivore feeding response.</w:t>
      </w:r>
    </w:p>
    <w:p w14:paraId="4642B444"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total-event overview indicated site-dependent bait patterns. Feeding showed global total-event signals at Milimani and Utumbi, whereas the Nursery pattern was weaker and more taxon-dependent. Interested events were less often robust overall, although Utumbi showed a clear signal for total interested events. ​</w:t>
      </w:r>
    </w:p>
    <w:p w14:paraId="080A5DFD"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targeted Algae Mix versus Mackerel comparison at Chole Nursery showed strong separation for two predefined taxa, but the result remained just below the Holm-adjusted significance threshold. This supports retaining the pattern as a targeted, non-robust result rather than using it as additional confirmation of H3. ​</w:t>
      </w:r>
    </w:p>
    <w:p w14:paraId="10C458C1"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lastRenderedPageBreak/>
        <w:t>[FIGURE TO INSERT: Supplementary overview of total feeding and interested events by site and bait treatment.]</w:t>
      </w:r>
    </w:p>
    <w:p w14:paraId="578D8D2C" w14:textId="77777777" w:rsidR="005446D2" w:rsidRPr="005446D2" w:rsidRDefault="005446D2" w:rsidP="005446D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46D2">
        <w:rPr>
          <w:rFonts w:ascii="Times New Roman" w:eastAsia="Times New Roman" w:hAnsi="Times New Roman" w:cs="Times New Roman"/>
          <w:b/>
          <w:bCs/>
          <w:kern w:val="0"/>
          <w:sz w:val="27"/>
          <w:szCs w:val="27"/>
          <w:lang w:eastAsia="de-DE"/>
          <w14:ligatures w14:val="none"/>
        </w:rPr>
        <w:t>3.1.7 Behavioural Comparison Beyond Feeding</w:t>
      </w:r>
    </w:p>
    <w:p w14:paraId="6C6DBF80"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interested category was analysed separately from feeding because attraction to the bait does not necessarily indicate bait consumption or attempted consumption. Feeding and interest were therefore retained as distinct behavioural responses.</w:t>
      </w:r>
    </w:p>
    <w:p w14:paraId="49588EA1"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[FIGURE TO INSERT: Comparison of feeding and interested behaviours by bait type and site.]</w:t>
      </w:r>
    </w:p>
    <w:p w14:paraId="65649D83"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3.2 Additional Results and Context</w:t>
      </w:r>
    </w:p>
    <w:p w14:paraId="5FFBA16D" w14:textId="77777777" w:rsidR="005446D2" w:rsidRPr="005446D2" w:rsidRDefault="005446D2" w:rsidP="005446D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46D2">
        <w:rPr>
          <w:rFonts w:ascii="Times New Roman" w:eastAsia="Times New Roman" w:hAnsi="Times New Roman" w:cs="Times New Roman"/>
          <w:b/>
          <w:bCs/>
          <w:kern w:val="0"/>
          <w:sz w:val="27"/>
          <w:szCs w:val="27"/>
          <w:lang w:eastAsia="de-DE"/>
          <w14:ligatures w14:val="none"/>
        </w:rPr>
        <w:t>3.2.1 Dominant Site Effects</w:t>
      </w:r>
    </w:p>
    <w:p w14:paraId="536CAF95"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strongest statistical structure in the dataset was the difference among study sites. Of 161 tested taxa, 93 were significant before correction and 36 remained significant after Holm correction, corresponding to 22.36% of all tested taxa. Examples included humpback snapper, which was concentrated at Chole Nursery with a mean MaxN of 20.18 compared with zero at Milimani and Utumbi, and a soldierfish group that was most abundant at Utumbi. ​</w:t>
      </w:r>
    </w:p>
    <w:p w14:paraId="0B98D0EE"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These findings provide essential ecological context for interpreting the bait comparisons because the three locations cannot be treated as interchangeable ecological replicates.</w:t>
      </w:r>
    </w:p>
    <w:p w14:paraId="00940039"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[FIGURE TO INSERT: Site-level assemblage heatmap, ordination, or effect-size plot showing the dominant differences among Milimani, Utumbi, and Chole Nursery.]</w:t>
      </w:r>
    </w:p>
    <w:p w14:paraId="48D9424E" w14:textId="77777777" w:rsidR="005446D2" w:rsidRPr="005446D2" w:rsidRDefault="005446D2" w:rsidP="005446D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46D2">
        <w:rPr>
          <w:rFonts w:ascii="Times New Roman" w:eastAsia="Times New Roman" w:hAnsi="Times New Roman" w:cs="Times New Roman"/>
          <w:b/>
          <w:bCs/>
          <w:kern w:val="0"/>
          <w:sz w:val="27"/>
          <w:szCs w:val="27"/>
          <w:lang w:eastAsia="de-DE"/>
          <w14:ligatures w14:val="none"/>
        </w:rPr>
        <w:t>3.2.2 Species Richness</w:t>
      </w:r>
    </w:p>
    <w:p w14:paraId="51D17BA2"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supplementary species-richness analysis showed a strong effect of site, whereas the global bait effect was not significant. Pairwise comparisons continued to support site-level differences, but no robust bait differences remained after correction. ​</w:t>
      </w:r>
    </w:p>
    <w:p w14:paraId="6C80DE39"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[FIGURE TO INSERT: Species-richness comparison by site and bait type.]</w:t>
      </w:r>
    </w:p>
    <w:p w14:paraId="26DA31E3" w14:textId="77777777" w:rsidR="005446D2" w:rsidRPr="005446D2" w:rsidRDefault="005446D2" w:rsidP="005446D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46D2">
        <w:rPr>
          <w:rFonts w:ascii="Times New Roman" w:eastAsia="Times New Roman" w:hAnsi="Times New Roman" w:cs="Times New Roman"/>
          <w:b/>
          <w:bCs/>
          <w:kern w:val="0"/>
          <w:sz w:val="27"/>
          <w:szCs w:val="27"/>
          <w:lang w:eastAsia="de-DE"/>
          <w14:ligatures w14:val="none"/>
        </w:rPr>
        <w:t>3.2.3 Visibility Effects</w:t>
      </w:r>
    </w:p>
    <w:p w14:paraId="1BB88AA3"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Visibility was positively associated with species richness and the video-level MaxN peak in the bivariate analyses. Species richness showed Spearman rho = 0.563, p = 4.61 × 10^-5, and Benjamini-Hochberg-adjusted q = 0.000138. The association with the MaxN peak was Spearman rho = 0.467, p = 0.00108, and q = 0.00161. ​</w:t>
      </w:r>
    </w:p>
    <w:p w14:paraId="11AB5966"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After controlling for site and bait, no endpoint retained a robust independent visibility effect. For species richness, the adjusted HC3 p-value was 0.734, and for the MaxN peak it was 0.483; both adjusted q-values were 0.739. Additional blocked-permutation, nonlinear, and quantile-regression analyses supported the adjusted null result. Visibility should therefore be retained as a quality-control variable and reported transparently, but it should not be presented as the primary explanation for the bait effects.</w:t>
      </w:r>
    </w:p>
    <w:p w14:paraId="75914AC9"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lastRenderedPageBreak/>
        <w:t>[FIGURE TO INSERT: Scatterplots of visibility against species richness and MaxN peak, with adjusted model results.]</w:t>
      </w:r>
    </w:p>
    <w:p w14:paraId="61EEEBB7" w14:textId="77777777" w:rsidR="005446D2" w:rsidRPr="005446D2" w:rsidRDefault="005446D2" w:rsidP="005446D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446D2">
        <w:rPr>
          <w:rFonts w:ascii="Times New Roman" w:eastAsia="Times New Roman" w:hAnsi="Times New Roman" w:cs="Times New Roman"/>
          <w:b/>
          <w:bCs/>
          <w:kern w:val="0"/>
          <w:sz w:val="27"/>
          <w:szCs w:val="27"/>
          <w:lang w:eastAsia="de-DE"/>
          <w14:ligatures w14:val="none"/>
        </w:rPr>
        <w:t>3.2.4 Exploratory Taxon-Level Bait Signals</w:t>
      </w:r>
    </w:p>
    <w:p w14:paraId="25D5BE7F"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Several taxon-level bait signals were initially detected, including examples involving </w:t>
      </w:r>
      <w:r w:rsidRPr="005446D2">
        <w:rPr>
          <w:rFonts w:ascii="Times New Roman" w:eastAsia="Times New Roman" w:hAnsi="Times New Roman" w:cs="Times New Roman"/>
          <w:i/>
          <w:iCs/>
          <w:kern w:val="0"/>
          <w:lang w:eastAsia="de-DE"/>
          <w14:ligatures w14:val="none"/>
        </w:rPr>
        <w:t>Chromis viridis</w:t>
      </w:r>
      <w:r w:rsidRPr="005446D2">
        <w:rPr>
          <w:rFonts w:ascii="Times New Roman" w:eastAsia="Times New Roman" w:hAnsi="Times New Roman" w:cs="Times New Roman"/>
          <w:kern w:val="0"/>
          <w:lang w:eastAsia="de-DE"/>
          <w14:ligatures w14:val="none"/>
        </w:rPr>
        <w:t xml:space="preserve">, Moorish Idol, </w:t>
      </w:r>
      <w:r w:rsidRPr="005446D2">
        <w:rPr>
          <w:rFonts w:ascii="Times New Roman" w:eastAsia="Times New Roman" w:hAnsi="Times New Roman" w:cs="Times New Roman"/>
          <w:i/>
          <w:iCs/>
          <w:kern w:val="0"/>
          <w:lang w:eastAsia="de-DE"/>
          <w14:ligatures w14:val="none"/>
        </w:rPr>
        <w:t>Lethrinus olivaceus</w:t>
      </w:r>
      <w:r w:rsidRPr="005446D2">
        <w:rPr>
          <w:rFonts w:ascii="Times New Roman" w:eastAsia="Times New Roman" w:hAnsi="Times New Roman" w:cs="Times New Roman"/>
          <w:kern w:val="0"/>
          <w:lang w:eastAsia="de-DE"/>
          <w14:ligatures w14:val="none"/>
        </w:rPr>
        <w:t xml:space="preserve">, </w:t>
      </w:r>
      <w:r w:rsidRPr="005446D2">
        <w:rPr>
          <w:rFonts w:ascii="Times New Roman" w:eastAsia="Times New Roman" w:hAnsi="Times New Roman" w:cs="Times New Roman"/>
          <w:i/>
          <w:iCs/>
          <w:kern w:val="0"/>
          <w:lang w:eastAsia="de-DE"/>
          <w14:ligatures w14:val="none"/>
        </w:rPr>
        <w:t>Balistapus undulatus</w:t>
      </w:r>
      <w:r w:rsidRPr="005446D2">
        <w:rPr>
          <w:rFonts w:ascii="Times New Roman" w:eastAsia="Times New Roman" w:hAnsi="Times New Roman" w:cs="Times New Roman"/>
          <w:kern w:val="0"/>
          <w:lang w:eastAsia="de-DE"/>
          <w14:ligatures w14:val="none"/>
        </w:rPr>
        <w:t>, and puffers. Nevertheless, none remained Holm-significant within the site-specific bait-frequency comparisons. These findings are reported as exploratory patterns and are not used as the primary basis for hypothesis evaluation.</w:t>
      </w:r>
    </w:p>
    <w:p w14:paraId="13F9E103"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[FIGURE TO INSERT: Supplementary heatmap of exploratory taxon-level bait signals, clearly labelled as exploratory.]</w:t>
      </w:r>
    </w:p>
    <w:p w14:paraId="7439DF84" w14:textId="77777777" w:rsidR="005446D2" w:rsidRPr="005446D2" w:rsidRDefault="005446D2" w:rsidP="005446D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5446D2">
        <w:rPr>
          <w:rFonts w:ascii="Times New Roman" w:eastAsia="Times New Roman" w:hAnsi="Times New Roman" w:cs="Times New Roman"/>
          <w:b/>
          <w:bCs/>
          <w:kern w:val="36"/>
          <w:sz w:val="48"/>
          <w:szCs w:val="48"/>
          <w:lang w:eastAsia="de-DE"/>
          <w14:ligatures w14:val="none"/>
        </w:rPr>
        <w:t>4. Discussion</w:t>
      </w:r>
    </w:p>
    <w:p w14:paraId="6B40CA54"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4.1 Main interpretation of the study</w:t>
      </w:r>
    </w:p>
    <w:p w14:paraId="2F9EF0A1"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central result is that bait treatment was associated with differences in the assemblage detected by BRUVS, but the magnitude and interpretation of the response depended on site and analytical level. Global PERMANOVA results were significant at Milimani (p = 0.0242), Utumbi (p = 0.0046), and Chole Nursery (p = 0.0016). In the primary reef comparison, the grouped fish-versus-algae contrast was also significant at Milimani (p = 0.0080) and Utumbi (p = 0.0044). These findings support H1 at the assemblage level, but the three site results should not be interpreted as equivalent replicates of one experiment. Milimani and Utumbi form the primary reef comparison, whereas Chole Nursery represents a separate lagoonal nursery experiment with a different habitat, tidal regime, treatment portfolio, and replication structure. The results therefore show context-specific bait-associated compositional differences, not one universal effect operating identically across all locations.</w:t>
      </w:r>
    </w:p>
    <w:p w14:paraId="7F820A8E"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absence of Holm-significant taxon-specific effects, despite significant global assemblage tests, is not a contradiction. Six, eleven, and eight taxa produced uncorrected bait signals at Milimani, Chole Nursery, and Utumbi, respectively, but none remained significant after Holm correction. The multivariate signal was therefore distributed across several taxa with modest responses, rather than being driven by one universally responsive species. This pattern is compatible with bait-specific and species-specific responses reported in comparative BRUVS studies, where bait treatments can produce detectable changes in assemblage structure while individual taxa respond inconsistently among locations (Wraith et al., 2013; Dorman et al., 2012). ​</w:t>
      </w:r>
    </w:p>
    <w:p w14:paraId="3ADBE106"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interpretation of the PERMANOVA should nevertheless remain conditional until the analysis reports the corresponding test of homogeneity of multivariate dispersions. PERMANOVA can reflect differences in group centroids, differences in within-group dispersion, or both. Published BRUVS studies therefore use PERMDISP alongside PERMANOVA before attributing a significant result to a shift in assemblage position rather than to unequal variability among bait treatments (Anderson et al., 2006; Dorman et al., 2012). If PERMDISP was not performed in the present analysis, this should be added as a limitation and the results should be described as bait-associated compositional differences rather than as definitive centroid shifts.</w:t>
      </w:r>
    </w:p>
    <w:p w14:paraId="20546B57"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lastRenderedPageBreak/>
        <w:t>4.2 Trophic filtering and comparison with previous bait studies</w:t>
      </w:r>
    </w:p>
    <w:p w14:paraId="61A69902"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direction of the broader functional comparison provides a possible ecological context for part of the assemblage response, but it does not by itself establish the mechanism causing the observed differences. Several corrected effects favoured fish-based bait, including wrasses, eels, and other fish-oriented or invertivore-associated groups, with large Cliff's Delta values. This is consistent with the established role of oily fish bait as a strong attractant for predators, scavengers, generalist carnivores, and some invertebrate feeders. Comparative BRUVS work shows that bait increases the representation of predatory and scavenging fishes and can improve discrimination of habitat-related assemblage differences (Harvey et al., 2007; Dorman et al., 2012). The present fish-bait signal should therefore not be interpreted simply as a failure of the experiment. It demonstrates that the conventional bait remains informative for a different component of the fish community.</w:t>
      </w:r>
    </w:p>
    <w:p w14:paraId="4F48C89A"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Comparative bait experiments also show why a universal ranking of bait types would be misleading. Bait type can affect species richness, feeding-guild representation, and arrival patterns, while the direction and magnitude of the response vary among locations. In one comparative study, pilchards consistently attracted herbivores whereas urchin bait performed poorly (Wraith et al., 2013). In the Persian Gulf, animal-based bait attracted more species and carnivores, whereas a plant-based bait produced the highest herbivore abundance; nevertheless, broad species composition was comparable among bait treatments (Ghazilou et al., 2016). These comparisons closely match the present results: the treatment effect is strongest when the response is considered at the level of trophic or behavioural composition, whereas species-level effects are more heterogeneous.</w:t>
      </w:r>
    </w:p>
    <w:p w14:paraId="3644A4D9"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fish-bait advantage for wrasses, eels, and invertivore-associated groups is biologically plausible because these taxa may use chemical cues to locate animal-derived food or prey disturbed by feeding activity. It may also reflect secondary attraction. Fish approaching and feeding at the bait can attract conspecifics or other predators, so some individuals recorded during fish-bait deployments may have responded to the activity of other fish rather than to the bait itself. This mechanism has been documented in BRUVS work as conspecific attraction and attraction to commotion around the station (Dorman et al., 2012). It is especially relevant for interpreting the category "interested", which records attention to the station but does not prove bait consumption.</w:t>
      </w:r>
    </w:p>
    <w:p w14:paraId="0274D7B3"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4.3 Conditional support for H2: herbivore detection</w:t>
      </w:r>
    </w:p>
    <w:p w14:paraId="5783B0B6"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H2 was supported robustly for Acanthuridae in Chole Nursery, where median MaxN was 22.0 under algal treatments and 4.5 under fish treatments, with p_raw = 0.0070, p_Holm = 0.0278, and Cliff's Delta = 1.0. The four-family test did not show Holm-significant algae-greater-than-fish effects in Milimani or Utumbi. The appropriate interpretation is therefore partial and site-specific support, not a general herbivore response across the study area. ​</w:t>
      </w:r>
    </w:p>
    <w:p w14:paraId="721F2948"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The additional analyses suggest that the Chole Nursery Acanthuridae difference was not primarily an occurrence effect. Acanthuridae were present in both bait groups, while the hurdle-model intensity component was strongly differentiated, with beta_log1p = 1.3477, p = 0.000002, and q_BH = 0.000009. The leave-one-video-out analysis remained significant across all runs, with p-values from 0.0079 to 0.0138. These checks increase confidence in the </w:t>
      </w:r>
      <w:r w:rsidRPr="005446D2">
        <w:rPr>
          <w:rFonts w:ascii="Times New Roman" w:eastAsia="Times New Roman" w:hAnsi="Times New Roman" w:cs="Times New Roman"/>
          <w:kern w:val="0"/>
          <w:lang w:eastAsia="de-DE"/>
          <w14:ligatures w14:val="none"/>
        </w:rPr>
        <w:lastRenderedPageBreak/>
        <w:t>focal result, but they do not broaden its site-specific scope or establish the ecological mechanism producing it. ​</w:t>
      </w:r>
    </w:p>
    <w:p w14:paraId="307FA6F8"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physical presentation of the bait also limits the interpretation of the contrast. Algae Strings were positioned vertically in the water column, whereas other treatments were presented in a bait basket. The analysis therefore compares complete bait packages rather than isolating chemical preference for macroalgae alone. This distinction should be retained in the interpretation of all pooled functional comparisons.</w:t>
      </w:r>
    </w:p>
    <w:p w14:paraId="2C353CA8"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H3 provides a behavioural complement to the MaxN analysis. The Feeding variable was analysed at video level using annotated feeding observations per deployment. It represents a video-level feeding response or rate, not the proportion of deployment time spent feeding, because feeding-event duration was not measured.</w:t>
      </w:r>
    </w:p>
    <w:p w14:paraId="1164B43A"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H3 result follows the same site-specific pattern. At Chole Nursery, mean Feeding-Rate was 0.2038 under algal bait and 0.0000 under fish bait, with p_raw = 0.005709, p_Holm = 0.017126, and Cliff's Delta = 1.0. Milimani and Utumbi were not significant after correction, with p_Holm = 0.5510 at both sites. An interaction analysis further indicates that bait effects on feeding-related endpoints depend on site context. Feeding was analysed as event occurrence or rate, not as feeding duration. ​</w:t>
      </w:r>
    </w:p>
    <w:p w14:paraId="5F62DB94"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focused herbivore feeding-filter analysis showed the same direction at Chole Nursery but did not remain significant after Holm correction. For the herbivore core families, feeding was 16.0 under algal treatments and 0.0 under fish treatments, with p_raw = 0.0112, p_Holm = 0.218, and Cliff's Delta = 1.0. The corresponding Acanthuridae comparison was 11.0 versus 0.0, with p_raw = 0.0114 and p_Holm = 0.218. The Siganidae comparison was 1.5 versus 0.0, with p_raw = 0.0104 and p_Holm = 0.218. These results are biologically directional but should not be presented as additional robust hypothesis confirmations.</w:t>
      </w:r>
    </w:p>
    <w:p w14:paraId="6E8E93AE"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separate total-event overview showed site-dependent patterns: global feeding-event signals occurred at Milimani and Utumbi, whereas the Nursery pattern was weaker and more taxon-dependent. Interested events were less often robust overall, although Utumbi showed a clear total-event signal. Because this overview uses a broader event-level aggregation than the predefined H3 analysis, it should be reported as complementary evidence rather than combined with the a priori feeding-rate result.</w:t>
      </w:r>
    </w:p>
    <w:p w14:paraId="6EC46F06"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Feeding observations should not be interpreted as a direct estimate of total herbivory or algal removal from the reef. A fish may enter the field of view, investigate the station, follow another fish, or exploit associated invertebrates without consuming the intended bait. The strict feeding criterion required visible bait contact together with actual uptake or biting, and simultaneously feeding individuals were annotated separately. Feeding and interest were therefore retained as distinct behavioural responses.</w:t>
      </w:r>
    </w:p>
    <w:p w14:paraId="00E419EB"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4.4 Fish behaviour around the BRUVS</w:t>
      </w:r>
    </w:p>
    <w:p w14:paraId="49C2ECAA"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BRUVS do not record a neutral cross-section of fish passing through space. Individuals differ in sensory ability, hunger, activity rhythm, boldness, swimming capacity, schooling tendency, territoriality, and willingness to approach an unfamiliar object. These differences determine whether a fish detects the plume, follows it to the station, enters the field of view, remains near the bait, and reaches the point at which it can be classified as feeding (Harvey et al., 2007; Stoner, 2004; Taylor et al., 2013). ​</w:t>
      </w:r>
    </w:p>
    <w:p w14:paraId="55FE1A9D"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lastRenderedPageBreak/>
        <w:t>The fish-bait signal may include several behavioural pathways. Carnivores and scavengers can respond directly to dissolved animal-derived cues. Other fishes may be attracted to suspended particles released from the basket, to the visual contrast of the bait, or to the concentration of prey around the station. Still others may be drawn by the movement and feeding activity of the first arrivals. Published BRUVS studies explicitly distinguish bait attraction from curiosity, random movement, social attraction, and predatory behaviour around the station (Dorman et al., 2012; Cappo et al., 2004). ​</w:t>
      </w:r>
    </w:p>
    <w:p w14:paraId="104FCAB6"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Predator-mediated avoidance is a plausible explanation for some differences between treatments. Large predators or aggressive individuals may dominate access to the bait and deter smaller or subordinate fishes. Agonistic interactions have been shown to increase with fish density and to cause subordinate fishes, which are often smaller, to leave the camera field (Dunlop et al., 2015). Consequently, a low MaxN or low feeding rate under one bait treatment may reflect exclusion or risk-sensitive behaviour rather than low attraction to the bait itself.</w:t>
      </w:r>
    </w:p>
    <w:p w14:paraId="60205B24"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One possible explanation for the site difference is that predator presence, nearby structure, or the physical presentation of the bait altered the probability that herbivores approached or remained at the station. These mechanisms were not measured directly in the present study and therefore remain hypotheses rather than demonstrated causes. Hoey and Bellwood reported that herbivorous fishes can avoid dense stands of canopy-forming macroalgae, showing that the physical appearance of an algal stimulus may influence behaviour independently of food value (Hoey &amp; Bellwood, 2011). In this study, however, the data do not allow the relative contribution of predation risk, habitat structure, and bait presentation to be separated.</w:t>
      </w:r>
    </w:p>
    <w:p w14:paraId="545568AA"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category "interested" is useful for detecting these intermediate responses, but it should not be collapsed into feeding. A strong interest response with little feeding may indicate curiosity, inspection, social attraction, or a mismatch between the cue and the fish's actual diet. Conversely, feeding can occur with few individuals if a small number of specialists account for most interactions. The manuscript's decision to analyse feeding separately is therefore conceptually appropriate, but the category definitions and event-level data should be reported in enough detail to support replication (Dorman et al., 2012; Cappo et al., 2004). ​</w:t>
      </w:r>
    </w:p>
    <w:p w14:paraId="6B9D33DF"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4.5 Bait plume dynamics, currents, and tide</w:t>
      </w:r>
    </w:p>
    <w:p w14:paraId="08DBE45B"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Hydrodynamics offer a plausible explanation for why the same bait could perform differently among deployments, although current conditions were not measured in this study. Current speed and direction determine the distance, shape, dilution, and persistence of the chemical signal. Taylor et al. reported current velocities from 0.02 to 0.65 m s−1 and found that estimated bait-plume areas could vary by orders of magnitude, changing the effective sampling effort of BRUV deployments (Taylor et al., 2013). Their results show that current can have two simultaneous effects: it changes the area from which fish may detect the bait, and it can independently influence habitat selection and fish activity.</w:t>
      </w:r>
    </w:p>
    <w:p w14:paraId="76D431B9"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The implications for this study are substantial. A stronger current may extend the plume and attract mobile predators from a wider area, but it can also dilute or advect plant-derived cues rapidly away from the camera. A weak current may retain cues close to the station and favour site-attached or slower-moving fishes, but it may also reduce the total distance over which a bait is detectable. The direction of the plume may further determine whether fish approach from visible downstream routes or remain hidden behind reef structure. These mechanisms </w:t>
      </w:r>
      <w:r w:rsidRPr="005446D2">
        <w:rPr>
          <w:rFonts w:ascii="Times New Roman" w:eastAsia="Times New Roman" w:hAnsi="Times New Roman" w:cs="Times New Roman"/>
          <w:kern w:val="0"/>
          <w:lang w:eastAsia="de-DE"/>
          <w14:ligatures w14:val="none"/>
        </w:rPr>
        <w:lastRenderedPageBreak/>
        <w:t>could produce bait-by-site differences even when bait mass and camera settings are standardised (Taylor et al., 2013; Heagney et al., 2007). ​</w:t>
      </w:r>
    </w:p>
    <w:p w14:paraId="45848F07"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Tidal state is not equivalent to current speed. High and low tide can be associated with different flow conditions, depth, light, habitat access, and fish activity, but a tide label alone does not quantify the local hydrodynamic environment. Studies of BRUVS in dynamic coastal waters recommend measuring current velocity and considering a measure of plume area or spatial sampling effort because tide-associated changes can alter the conclusions drawn from MaxN and assemblage data (Taylor et al., 2013). The present study used high tide at Milimani and Utumbi but both high and low tide at Chole Nursery. Tide is therefore a potential confounder of the site-specific Chole Nursery result and should be included explicitly in the limitations unless current measurements or a balanced design are available.</w:t>
      </w:r>
    </w:p>
    <w:p w14:paraId="096FCD19"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bait basket itself may also modify plume formation. The metal mesh, cylindrical shape, 1 cm mesh size, approximately half-filled volume, and the distinction between basket-based treatments and vertical Algae Strings determine how water moves through the bait and how particles are released. The BRUVS literature identifies bait preparation, bait quantity, deployment method, current measurement, and replicate spacing as continuing methodological gaps (Whitmarsh et al., 2017). The present manuscript should therefore avoid attributing treatment differences exclusively to taxonomy or palatability when the physical release regime differed among treatments.</w:t>
      </w:r>
    </w:p>
    <w:p w14:paraId="211BEB7C"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4.6 Site effects, habitat, and visibility</w:t>
      </w:r>
    </w:p>
    <w:p w14:paraId="4725BEC0"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Site was the dominant source of biological structure in the dataset. Of 161 tested taxa, 93 were significant before correction and 36 remained significant after Holm correction. Humpback snapper were concentrated at Chole Nursery, whereas soldierfish were concentrated at Utumbi. These differences are too extensive to treat site as a minor nuisance factor. They support the decision to interpret the Milimani-Utumbi reef comparison separately from the Chole Nursery lagoonal experiment, because bait effects operate on different ecological baselines.</w:t>
      </w:r>
    </w:p>
    <w:p w14:paraId="0E13A944"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site result is consistent with BRUVS studies showing that habitat, depth, structural complexity, hydrodynamics, and protection status can shape assemblage composition more strongly than a single methodological treatment. Fish assemblages in different habitats can remain partly overlapping while still being clearly distinguishable, and spatial differences can occur over scales of only a few kilometres (McClanahan, 2019; Bond et al., 2022). The short distance between Milimani and Utumbi does not make them interchangeable replicates, particularly because the two sites may differ in coral structure, nursery influence, exposure, or local fish movement.</w:t>
      </w:r>
    </w:p>
    <w:p w14:paraId="23513D31"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Chole Nursery should also be interpreted as a different habitat context rather than merely as a third reef site. Its lagoonal setting, tidal accessibility, low-tide deployments, and proximity to a coral nursery can influence both fish composition and behaviour. Habitat connectivity may allow fishes to move between nursery, lagoonal, seagrass, mangrove, and reef environments, creating assemblages that combine resident species with transient visitors. BRUVS can detect these habitat-linked differences, but the bait plume may also attract individuals from adjacent habitats, making the spatial origin of a recorded fish uncertain (Reis-Filho et al., 2019; Hannah &amp; Blume, 2012). ​</w:t>
      </w:r>
    </w:p>
    <w:p w14:paraId="7EA55012"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lastRenderedPageBreak/>
        <w:t>Visibility was positively associated with species richness and the video-level MaxN peak in the bivariate analyses. Species richness showed Spearman rho = 0.563, p = 4.61 × 10^-5, and Benjamini-Hochberg-adjusted q = 0.000138. The association with the MaxN peak was Spearman rho = 0.467, p = 0.00108, and q = 0.00161. ​</w:t>
      </w:r>
    </w:p>
    <w:p w14:paraId="26FDC97D"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After controlling for site and bait, no endpoint retained a robust independent visibility effect. For species richness, the adjusted HC3 p-value was 0.734, and for the MaxN peak it was 0.483; both adjusted q-values were 0.739. Additional blocked-permutation, nonlinear, and quantile-regression analyses supported the adjusted null result. Visibility should therefore be retained as a quality-control variable and reported transparently, but it should not be presented as the primary explanation for the bait effects.</w:t>
      </w:r>
    </w:p>
    <w:p w14:paraId="71277921"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4.7 Methodological implications for BRUVS monitoring</w:t>
      </w:r>
    </w:p>
    <w:p w14:paraId="125ED416"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results are compatible with a complementary rather than replacement sampling design, but the present data do not establish that such a design is superior in all settings. Fish-based bait remains useful for detecting predatory, scavenging, and invertivore-associated groups, while macroalgal treatments may add information about selected herbivores and their active feeding behaviour. This conclusion is consistent with comparative surveys in which BRUVS and transect-based methods sampled partly different assemblages, with BRUVS recording more mobile predators and transect methods recording more territorial, cryptic, or site-attached fishes (Cheal et al., 2021; Schramm et al., 2020). ​</w:t>
      </w:r>
    </w:p>
    <w:p w14:paraId="5AFB1573"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 two-bait design can therefore be justified when the monitoring objective is functional coverage rather than a single index of total fish abundance. The design should, however, distinguish between a factorial comparison of bait chemistry and a comparison of complete deployment packages. In the present study, Mackerel, basket-based algal treatments, Algae Strings, Algae Mix, Gut Weed, and Control do not necessarily represent equivalent physical treatments. Control was completely unbaited. These definitions must be used consistently in all pooled and site-specific analyses (Ghazilou et al., 2016; Wraith et al., 2013).</w:t>
      </w:r>
    </w:p>
    <w:p w14:paraId="6D72C53A"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use of MaxN is defensible as a conservative relative-abundance metric because it reduces repeated counting of individuals that revisit the station. It is not an estimate of absolute density, biomass, or the total number of individuals that visited during the video. Studies using individual identification show that MaxN can underestimate the number of distinct individuals, particularly when multiple individuals visit sequentially (Cappo et al., 2004; Whitmarsh et al., 2017). The present thesis should consequently use terms such as "relative abundance", "recorded abundance", or "maximum observed number" and should avoid "population size", "density", or "biomass" unless additional calibration data are available.</w:t>
      </w:r>
    </w:p>
    <w:p w14:paraId="670523DA"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standardised 43-minute analysis window improves comparability among the videos, but one supplementary Chole Nursery deployment lasted only 32 minutes and was treated as a predefined special case. All 46 videos were included in the statistical dataset unless a specific analysis was explicitly described otherwise. The 32-minute video was included in some analyses and examined separately in others because it was the only deployment of this duration, was conducted at Chole Nursery, and had poor visibility. The Results and statistical methods must identify clearly for each analysis whether this video was included, excluded, or analysed separately. ​</w:t>
      </w:r>
    </w:p>
    <w:p w14:paraId="4B3D3DAF"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4.8 Limitations and future research</w:t>
      </w:r>
    </w:p>
    <w:p w14:paraId="0774341A"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lastRenderedPageBreak/>
        <w:t>The first limitation is the two-component structure of the study. Milimani and Utumbi constitute the primary coral reef comparison, whereas Chole Nursery was conducted as a separate lagoonal nursery experiment. Treatment replication is uneven within and between these components, some treatments occur at only one site, and Chole Nursery was sampled under a different tidal regime. The robust Acanthuridae and feeding results at Chole Nursery are therefore valuable for that specific habitat context, but they cannot be interpreted as a fully replicated reef-wide bait effect.</w:t>
      </w:r>
    </w:p>
    <w:p w14:paraId="0FFF6E8A"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All 46 videos were included in the statistical analysis unless a specific result states otherwise. The supplementary videos were collected outside the main fieldwork period and may differ in season, weather, camera generation, bait preparation, fish condition, and deployment history. The 32-minute Chole Nursery video was treated as a special case because it was the only deployment of that duration and had poor visibility; it was included in some analyses and evaluated separately in others. This distinction must be reported explicitly for every analysis rather than described as a general exclusion of supplementary videos.</w:t>
      </w:r>
    </w:p>
    <w:p w14:paraId="5540543C"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third limitation is incomplete environmental characterisation. Visibility, depth, temperature, tide, cloud, sun, wind, and rain are reported, but the current speed and direction, rugosity, benthic composition, relief, and exact distance between replicate deployments are not yet documented in the manuscript. These omissions matter because plume area, fish approach routes, habitat use, and predator risk all depend on them (Taylor et al., 2013; Bond et al., 2022). ​</w:t>
      </w:r>
    </w:p>
    <w:p w14:paraId="1FEC732A"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fourth limitation concerns behavioural annotation. Feeding, interest, and disinterest were recorded as comments rather than as a fully specified event-based protocol. The thesis should report observer training, whether treatment identity was visible to the observer, inter-observer agreement beyond the practice video, the time resolution of annotations, and the rule used when several fish interacted simultaneously. The use of an independent second annotator or blinded re-annotation of a random subset would strengthen confidence in the behavioural results.</w:t>
      </w:r>
    </w:p>
    <w:p w14:paraId="4D0AE547"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The fifth limitation is taxonomic and ecological resolution. Sea lettuce and Gut Weed are currently identified only as morphologically distinct </w:t>
      </w:r>
      <w:r w:rsidRPr="005446D2">
        <w:rPr>
          <w:rFonts w:ascii="Times New Roman" w:eastAsia="Times New Roman" w:hAnsi="Times New Roman" w:cs="Times New Roman"/>
          <w:i/>
          <w:iCs/>
          <w:kern w:val="0"/>
          <w:lang w:eastAsia="de-DE"/>
          <w14:ligatures w14:val="none"/>
        </w:rPr>
        <w:t>Ulva</w:t>
      </w:r>
      <w:r w:rsidRPr="005446D2">
        <w:rPr>
          <w:rFonts w:ascii="Times New Roman" w:eastAsia="Times New Roman" w:hAnsi="Times New Roman" w:cs="Times New Roman"/>
          <w:kern w:val="0"/>
          <w:lang w:eastAsia="de-DE"/>
          <w14:ligatures w14:val="none"/>
        </w:rPr>
        <w:t xml:space="preserve"> spp., and the species identity, palatability, chemical composition, nutritional value, and storage-related changes of the algal baits were not measured. Macroalgal consumers can be highly selective, and native algae may be preferred over chemically defended or unfamiliar taxa (Hoey &amp; Bellwood, 2011; Bennett &amp; Bellwood, 2011). The interpretation should therefore refer to the tested algal treatments rather than to macroalgae as a homogeneous category.</w:t>
      </w:r>
    </w:p>
    <w:p w14:paraId="360AB886"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Future experiments should use balanced factorial designs with treatment combinations replicated across multiple reef and lagoon sites, while standardising tide or directly measuring current speed and direction. Chemical bait type, physical presentation, bait mass, bait volume, moisture, freshness, storage duration, and release regime should be recorded separately. A factorial comparison of fish bait, individual algal species, mixed algae, and visually matched controls would help distinguish chemical attraction from visual structure and texture (Whitmarsh et al., 2017; Taylor et al., 2013). ​</w:t>
      </w:r>
    </w:p>
    <w:p w14:paraId="5455BD74"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Future work should also add unbaited or sham-baited controls, stereo cameras or calibrated mono-camera length proxies where size is required, and a second camera outside the bait field of view to detect exclusion by aggressive fish. Replicate spacing should be justified from local hydrodynamics and fish movement rather than from an arbitrary distance. In addition, </w:t>
      </w:r>
      <w:r w:rsidRPr="005446D2">
        <w:rPr>
          <w:rFonts w:ascii="Times New Roman" w:eastAsia="Times New Roman" w:hAnsi="Times New Roman" w:cs="Times New Roman"/>
          <w:kern w:val="0"/>
          <w:lang w:eastAsia="de-DE"/>
          <w14:ligatures w14:val="none"/>
        </w:rPr>
        <w:lastRenderedPageBreak/>
        <w:t>day and night deployments or time-of-day covariates would help separate bait preference from activity rhythms (Dunlop et al., 2015; Whitmarsh et al., 2017). ​</w:t>
      </w:r>
    </w:p>
    <w:p w14:paraId="7851DDA2"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4.9 Overall conclusion</w:t>
      </w:r>
    </w:p>
    <w:p w14:paraId="77B08F87"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study provides evidence that bait treatment is associated with differences in fish assemblage composition and that macroalgal treatments can increase recorded Acanthuridae intensity and active herbivore feeding under particular conditions at Chole Nursery. The focal Acanthuridae result was not explained by a difference in presence, and the evidence does not support replacing fish bait universally or claiming that macroalgal bait improves herbivore detection at all sites. The main methodological implication is that BRUVS bait acts as an ecological filter, while the value of complementary bait treatments should be tested in more balanced designs with explicit consideration of site context (Ghazilou et al., 2016; Harvey et al., 2007). ​</w:t>
      </w:r>
    </w:p>
    <w:p w14:paraId="4B7F1BAA" w14:textId="77777777" w:rsidR="005446D2" w:rsidRPr="005446D2" w:rsidRDefault="005446D2" w:rsidP="005446D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5446D2">
        <w:rPr>
          <w:rFonts w:ascii="Times New Roman" w:eastAsia="Times New Roman" w:hAnsi="Times New Roman" w:cs="Times New Roman"/>
          <w:b/>
          <w:bCs/>
          <w:kern w:val="36"/>
          <w:sz w:val="48"/>
          <w:szCs w:val="48"/>
          <w:lang w:eastAsia="de-DE"/>
          <w14:ligatures w14:val="none"/>
        </w:rPr>
        <w:t>Appendix A: Deployment Schedule</w:t>
      </w:r>
    </w:p>
    <w:p w14:paraId="665518B4"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Start times for the main fieldwork deployments were transcribed from the BRUV deployment schedule. The supplementary Nicole Schröter videos are identified in the comments; their start times were not available in the schedule source.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gridCol w:w="494"/>
        <w:gridCol w:w="770"/>
        <w:gridCol w:w="431"/>
        <w:gridCol w:w="886"/>
        <w:gridCol w:w="633"/>
        <w:gridCol w:w="378"/>
        <w:gridCol w:w="516"/>
        <w:gridCol w:w="452"/>
        <w:gridCol w:w="802"/>
        <w:gridCol w:w="558"/>
        <w:gridCol w:w="537"/>
        <w:gridCol w:w="717"/>
        <w:gridCol w:w="954"/>
      </w:tblGrid>
      <w:tr w:rsidR="005446D2" w:rsidRPr="005446D2" w14:paraId="181936AB" w14:textId="77777777">
        <w:trPr>
          <w:tblHeader/>
          <w:tblCellSpacing w:w="15" w:type="dxa"/>
        </w:trPr>
        <w:tc>
          <w:tcPr>
            <w:tcW w:w="0" w:type="auto"/>
            <w:vAlign w:val="center"/>
            <w:hideMark/>
          </w:tcPr>
          <w:p w14:paraId="69A1AA53"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Date</w:t>
            </w:r>
          </w:p>
        </w:tc>
        <w:tc>
          <w:tcPr>
            <w:tcW w:w="0" w:type="auto"/>
            <w:vAlign w:val="center"/>
            <w:hideMark/>
          </w:tcPr>
          <w:p w14:paraId="7A10126F"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Start time</w:t>
            </w:r>
          </w:p>
        </w:tc>
        <w:tc>
          <w:tcPr>
            <w:tcW w:w="0" w:type="auto"/>
            <w:vAlign w:val="center"/>
            <w:hideMark/>
          </w:tcPr>
          <w:p w14:paraId="55A015D2"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Site</w:t>
            </w:r>
          </w:p>
        </w:tc>
        <w:tc>
          <w:tcPr>
            <w:tcW w:w="0" w:type="auto"/>
            <w:vAlign w:val="center"/>
            <w:hideMark/>
          </w:tcPr>
          <w:p w14:paraId="79720FE6"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Tide</w:t>
            </w:r>
          </w:p>
        </w:tc>
        <w:tc>
          <w:tcPr>
            <w:tcW w:w="0" w:type="auto"/>
            <w:vAlign w:val="center"/>
            <w:hideMark/>
          </w:tcPr>
          <w:p w14:paraId="27D8D900"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Bait</w:t>
            </w:r>
          </w:p>
        </w:tc>
        <w:tc>
          <w:tcPr>
            <w:tcW w:w="0" w:type="auto"/>
            <w:vAlign w:val="center"/>
            <w:hideMark/>
          </w:tcPr>
          <w:p w14:paraId="4509A4F3"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Clouds</w:t>
            </w:r>
          </w:p>
        </w:tc>
        <w:tc>
          <w:tcPr>
            <w:tcW w:w="0" w:type="auto"/>
            <w:vAlign w:val="center"/>
            <w:hideMark/>
          </w:tcPr>
          <w:p w14:paraId="1E09D0DA"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Sun</w:t>
            </w:r>
          </w:p>
        </w:tc>
        <w:tc>
          <w:tcPr>
            <w:tcW w:w="0" w:type="auto"/>
            <w:vAlign w:val="center"/>
            <w:hideMark/>
          </w:tcPr>
          <w:p w14:paraId="799DF51D"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Wind</w:t>
            </w:r>
          </w:p>
        </w:tc>
        <w:tc>
          <w:tcPr>
            <w:tcW w:w="0" w:type="auto"/>
            <w:vAlign w:val="center"/>
            <w:hideMark/>
          </w:tcPr>
          <w:p w14:paraId="3BD14309"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Rain</w:t>
            </w:r>
          </w:p>
        </w:tc>
        <w:tc>
          <w:tcPr>
            <w:tcW w:w="0" w:type="auto"/>
            <w:vAlign w:val="center"/>
            <w:hideMark/>
          </w:tcPr>
          <w:p w14:paraId="66058084"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Visibility (m)</w:t>
            </w:r>
          </w:p>
        </w:tc>
        <w:tc>
          <w:tcPr>
            <w:tcW w:w="0" w:type="auto"/>
            <w:vAlign w:val="center"/>
            <w:hideMark/>
          </w:tcPr>
          <w:p w14:paraId="7C203665"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Depth (m)</w:t>
            </w:r>
          </w:p>
        </w:tc>
        <w:tc>
          <w:tcPr>
            <w:tcW w:w="0" w:type="auto"/>
            <w:vAlign w:val="center"/>
            <w:hideMark/>
          </w:tcPr>
          <w:p w14:paraId="7AD3B6DA"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Temp (deg C)</w:t>
            </w:r>
          </w:p>
        </w:tc>
        <w:tc>
          <w:tcPr>
            <w:tcW w:w="0" w:type="auto"/>
            <w:vAlign w:val="center"/>
            <w:hideMark/>
          </w:tcPr>
          <w:p w14:paraId="271AB445"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Camera</w:t>
            </w:r>
          </w:p>
        </w:tc>
        <w:tc>
          <w:tcPr>
            <w:tcW w:w="0" w:type="auto"/>
            <w:vAlign w:val="center"/>
            <w:hideMark/>
          </w:tcPr>
          <w:p w14:paraId="46828445"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Comments</w:t>
            </w:r>
          </w:p>
        </w:tc>
      </w:tr>
      <w:tr w:rsidR="005446D2" w:rsidRPr="005446D2" w14:paraId="2C504BF1" w14:textId="77777777">
        <w:trPr>
          <w:tblCellSpacing w:w="15" w:type="dxa"/>
        </w:trPr>
        <w:tc>
          <w:tcPr>
            <w:tcW w:w="0" w:type="auto"/>
            <w:vAlign w:val="center"/>
            <w:hideMark/>
          </w:tcPr>
          <w:p w14:paraId="1A52EB4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10/25/2024</w:t>
            </w:r>
          </w:p>
        </w:tc>
        <w:tc>
          <w:tcPr>
            <w:tcW w:w="0" w:type="auto"/>
            <w:vAlign w:val="center"/>
            <w:hideMark/>
          </w:tcPr>
          <w:p w14:paraId="7A19D71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09:00</w:t>
            </w:r>
          </w:p>
        </w:tc>
        <w:tc>
          <w:tcPr>
            <w:tcW w:w="0" w:type="auto"/>
            <w:vAlign w:val="center"/>
            <w:hideMark/>
          </w:tcPr>
          <w:p w14:paraId="4C5E743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Milimani</w:t>
            </w:r>
          </w:p>
        </w:tc>
        <w:tc>
          <w:tcPr>
            <w:tcW w:w="0" w:type="auto"/>
            <w:vAlign w:val="center"/>
            <w:hideMark/>
          </w:tcPr>
          <w:p w14:paraId="5E9C2AA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281C507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Mackerel</w:t>
            </w:r>
          </w:p>
        </w:tc>
        <w:tc>
          <w:tcPr>
            <w:tcW w:w="0" w:type="auto"/>
            <w:vAlign w:val="center"/>
            <w:hideMark/>
          </w:tcPr>
          <w:p w14:paraId="6148716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8-7</w:t>
            </w:r>
          </w:p>
        </w:tc>
        <w:tc>
          <w:tcPr>
            <w:tcW w:w="0" w:type="auto"/>
            <w:vAlign w:val="center"/>
            <w:hideMark/>
          </w:tcPr>
          <w:p w14:paraId="3333336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4-5</w:t>
            </w:r>
          </w:p>
        </w:tc>
        <w:tc>
          <w:tcPr>
            <w:tcW w:w="0" w:type="auto"/>
            <w:vAlign w:val="center"/>
            <w:hideMark/>
          </w:tcPr>
          <w:p w14:paraId="4E484FC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w:t>
            </w:r>
          </w:p>
        </w:tc>
        <w:tc>
          <w:tcPr>
            <w:tcW w:w="0" w:type="auto"/>
            <w:vAlign w:val="center"/>
            <w:hideMark/>
          </w:tcPr>
          <w:p w14:paraId="4729A98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2459CC9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15</w:t>
            </w:r>
          </w:p>
        </w:tc>
        <w:tc>
          <w:tcPr>
            <w:tcW w:w="0" w:type="auto"/>
            <w:vAlign w:val="center"/>
            <w:hideMark/>
          </w:tcPr>
          <w:p w14:paraId="240B160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4.8</w:t>
            </w:r>
          </w:p>
        </w:tc>
        <w:tc>
          <w:tcPr>
            <w:tcW w:w="0" w:type="auto"/>
            <w:vAlign w:val="center"/>
            <w:hideMark/>
          </w:tcPr>
          <w:p w14:paraId="5857C09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28</w:t>
            </w:r>
          </w:p>
        </w:tc>
        <w:tc>
          <w:tcPr>
            <w:tcW w:w="0" w:type="auto"/>
            <w:vAlign w:val="center"/>
            <w:hideMark/>
          </w:tcPr>
          <w:p w14:paraId="39850CD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w:t>
            </w:r>
          </w:p>
        </w:tc>
        <w:tc>
          <w:tcPr>
            <w:tcW w:w="0" w:type="auto"/>
            <w:vAlign w:val="center"/>
            <w:hideMark/>
          </w:tcPr>
          <w:p w14:paraId="404B859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Fogged</w:t>
            </w:r>
          </w:p>
        </w:tc>
      </w:tr>
      <w:tr w:rsidR="005446D2" w:rsidRPr="005446D2" w14:paraId="6D5A23D4" w14:textId="77777777">
        <w:trPr>
          <w:tblCellSpacing w:w="15" w:type="dxa"/>
        </w:trPr>
        <w:tc>
          <w:tcPr>
            <w:tcW w:w="0" w:type="auto"/>
            <w:vAlign w:val="center"/>
            <w:hideMark/>
          </w:tcPr>
          <w:p w14:paraId="1F7E39D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10/25/2024</w:t>
            </w:r>
          </w:p>
        </w:tc>
        <w:tc>
          <w:tcPr>
            <w:tcW w:w="0" w:type="auto"/>
            <w:vAlign w:val="center"/>
            <w:hideMark/>
          </w:tcPr>
          <w:p w14:paraId="487DA60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09:10</w:t>
            </w:r>
          </w:p>
        </w:tc>
        <w:tc>
          <w:tcPr>
            <w:tcW w:w="0" w:type="auto"/>
            <w:vAlign w:val="center"/>
            <w:hideMark/>
          </w:tcPr>
          <w:p w14:paraId="17581C5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Utumbi</w:t>
            </w:r>
          </w:p>
        </w:tc>
        <w:tc>
          <w:tcPr>
            <w:tcW w:w="0" w:type="auto"/>
            <w:vAlign w:val="center"/>
            <w:hideMark/>
          </w:tcPr>
          <w:p w14:paraId="2A44D4E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2DA7A55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Sea lettuce</w:t>
            </w:r>
          </w:p>
        </w:tc>
        <w:tc>
          <w:tcPr>
            <w:tcW w:w="0" w:type="auto"/>
            <w:vAlign w:val="center"/>
            <w:hideMark/>
          </w:tcPr>
          <w:p w14:paraId="137DC54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8-7</w:t>
            </w:r>
          </w:p>
        </w:tc>
        <w:tc>
          <w:tcPr>
            <w:tcW w:w="0" w:type="auto"/>
            <w:vAlign w:val="center"/>
            <w:hideMark/>
          </w:tcPr>
          <w:p w14:paraId="5B061F1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4-5</w:t>
            </w:r>
          </w:p>
        </w:tc>
        <w:tc>
          <w:tcPr>
            <w:tcW w:w="0" w:type="auto"/>
            <w:vAlign w:val="center"/>
            <w:hideMark/>
          </w:tcPr>
          <w:p w14:paraId="14E4921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w:t>
            </w:r>
          </w:p>
        </w:tc>
        <w:tc>
          <w:tcPr>
            <w:tcW w:w="0" w:type="auto"/>
            <w:vAlign w:val="center"/>
            <w:hideMark/>
          </w:tcPr>
          <w:p w14:paraId="1FC4A40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55D5015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15</w:t>
            </w:r>
          </w:p>
        </w:tc>
        <w:tc>
          <w:tcPr>
            <w:tcW w:w="0" w:type="auto"/>
            <w:vAlign w:val="center"/>
            <w:hideMark/>
          </w:tcPr>
          <w:p w14:paraId="67A2842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5.1</w:t>
            </w:r>
          </w:p>
        </w:tc>
        <w:tc>
          <w:tcPr>
            <w:tcW w:w="0" w:type="auto"/>
            <w:vAlign w:val="center"/>
            <w:hideMark/>
          </w:tcPr>
          <w:p w14:paraId="60B3F86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28</w:t>
            </w:r>
          </w:p>
        </w:tc>
        <w:tc>
          <w:tcPr>
            <w:tcW w:w="0" w:type="auto"/>
            <w:vAlign w:val="center"/>
            <w:hideMark/>
          </w:tcPr>
          <w:p w14:paraId="734D380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746BF9C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Only 48min</w:t>
            </w:r>
          </w:p>
        </w:tc>
      </w:tr>
      <w:tr w:rsidR="005446D2" w:rsidRPr="005446D2" w14:paraId="026C04A6" w14:textId="77777777">
        <w:trPr>
          <w:tblCellSpacing w:w="15" w:type="dxa"/>
        </w:trPr>
        <w:tc>
          <w:tcPr>
            <w:tcW w:w="0" w:type="auto"/>
            <w:vAlign w:val="center"/>
            <w:hideMark/>
          </w:tcPr>
          <w:p w14:paraId="361D627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10/26/2024</w:t>
            </w:r>
          </w:p>
        </w:tc>
        <w:tc>
          <w:tcPr>
            <w:tcW w:w="0" w:type="auto"/>
            <w:vAlign w:val="center"/>
            <w:hideMark/>
          </w:tcPr>
          <w:p w14:paraId="20566E9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11:15</w:t>
            </w:r>
          </w:p>
        </w:tc>
        <w:tc>
          <w:tcPr>
            <w:tcW w:w="0" w:type="auto"/>
            <w:vAlign w:val="center"/>
            <w:hideMark/>
          </w:tcPr>
          <w:p w14:paraId="2EDD025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Utumbi</w:t>
            </w:r>
          </w:p>
        </w:tc>
        <w:tc>
          <w:tcPr>
            <w:tcW w:w="0" w:type="auto"/>
            <w:vAlign w:val="center"/>
            <w:hideMark/>
          </w:tcPr>
          <w:p w14:paraId="6FAF0CD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298C29B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Mackerel</w:t>
            </w:r>
          </w:p>
        </w:tc>
        <w:tc>
          <w:tcPr>
            <w:tcW w:w="0" w:type="auto"/>
            <w:vAlign w:val="center"/>
            <w:hideMark/>
          </w:tcPr>
          <w:p w14:paraId="0128046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w:t>
            </w:r>
          </w:p>
        </w:tc>
        <w:tc>
          <w:tcPr>
            <w:tcW w:w="0" w:type="auto"/>
            <w:vAlign w:val="center"/>
            <w:hideMark/>
          </w:tcPr>
          <w:p w14:paraId="773DB77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w:t>
            </w:r>
          </w:p>
        </w:tc>
        <w:tc>
          <w:tcPr>
            <w:tcW w:w="0" w:type="auto"/>
            <w:vAlign w:val="center"/>
            <w:hideMark/>
          </w:tcPr>
          <w:p w14:paraId="15B5089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w:t>
            </w:r>
          </w:p>
        </w:tc>
        <w:tc>
          <w:tcPr>
            <w:tcW w:w="0" w:type="auto"/>
            <w:vAlign w:val="center"/>
            <w:hideMark/>
          </w:tcPr>
          <w:p w14:paraId="5D1811B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7F6CEA3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1062B53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5.1</w:t>
            </w:r>
          </w:p>
        </w:tc>
        <w:tc>
          <w:tcPr>
            <w:tcW w:w="0" w:type="auto"/>
            <w:vAlign w:val="center"/>
            <w:hideMark/>
          </w:tcPr>
          <w:p w14:paraId="35CF12D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28</w:t>
            </w:r>
          </w:p>
        </w:tc>
        <w:tc>
          <w:tcPr>
            <w:tcW w:w="0" w:type="auto"/>
            <w:vAlign w:val="center"/>
            <w:hideMark/>
          </w:tcPr>
          <w:p w14:paraId="64119DD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w:t>
            </w:r>
          </w:p>
        </w:tc>
        <w:tc>
          <w:tcPr>
            <w:tcW w:w="0" w:type="auto"/>
            <w:vAlign w:val="center"/>
            <w:hideMark/>
          </w:tcPr>
          <w:p w14:paraId="12E1FB2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Poor visibility, fogged</w:t>
            </w:r>
          </w:p>
        </w:tc>
      </w:tr>
      <w:tr w:rsidR="005446D2" w:rsidRPr="005446D2" w14:paraId="06496D67" w14:textId="77777777">
        <w:trPr>
          <w:tblCellSpacing w:w="15" w:type="dxa"/>
        </w:trPr>
        <w:tc>
          <w:tcPr>
            <w:tcW w:w="0" w:type="auto"/>
            <w:vAlign w:val="center"/>
            <w:hideMark/>
          </w:tcPr>
          <w:p w14:paraId="04FAF7C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10/26/2024</w:t>
            </w:r>
          </w:p>
        </w:tc>
        <w:tc>
          <w:tcPr>
            <w:tcW w:w="0" w:type="auto"/>
            <w:vAlign w:val="center"/>
            <w:hideMark/>
          </w:tcPr>
          <w:p w14:paraId="2AFF310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11:25</w:t>
            </w:r>
          </w:p>
        </w:tc>
        <w:tc>
          <w:tcPr>
            <w:tcW w:w="0" w:type="auto"/>
            <w:vAlign w:val="center"/>
            <w:hideMark/>
          </w:tcPr>
          <w:p w14:paraId="1B07E34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Milimani</w:t>
            </w:r>
          </w:p>
        </w:tc>
        <w:tc>
          <w:tcPr>
            <w:tcW w:w="0" w:type="auto"/>
            <w:vAlign w:val="center"/>
            <w:hideMark/>
          </w:tcPr>
          <w:p w14:paraId="18A7B37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749BA33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Gut Weed</w:t>
            </w:r>
          </w:p>
        </w:tc>
        <w:tc>
          <w:tcPr>
            <w:tcW w:w="0" w:type="auto"/>
            <w:vAlign w:val="center"/>
            <w:hideMark/>
          </w:tcPr>
          <w:p w14:paraId="11D08CA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w:t>
            </w:r>
          </w:p>
        </w:tc>
        <w:tc>
          <w:tcPr>
            <w:tcW w:w="0" w:type="auto"/>
            <w:vAlign w:val="center"/>
            <w:hideMark/>
          </w:tcPr>
          <w:p w14:paraId="08B05F2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w:t>
            </w:r>
          </w:p>
        </w:tc>
        <w:tc>
          <w:tcPr>
            <w:tcW w:w="0" w:type="auto"/>
            <w:vAlign w:val="center"/>
            <w:hideMark/>
          </w:tcPr>
          <w:p w14:paraId="713EFA0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w:t>
            </w:r>
          </w:p>
        </w:tc>
        <w:tc>
          <w:tcPr>
            <w:tcW w:w="0" w:type="auto"/>
            <w:vAlign w:val="center"/>
            <w:hideMark/>
          </w:tcPr>
          <w:p w14:paraId="180B252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7E9E1D9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12E124F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4.9</w:t>
            </w:r>
          </w:p>
        </w:tc>
        <w:tc>
          <w:tcPr>
            <w:tcW w:w="0" w:type="auto"/>
            <w:vAlign w:val="center"/>
            <w:hideMark/>
          </w:tcPr>
          <w:p w14:paraId="6252B5F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28</w:t>
            </w:r>
          </w:p>
        </w:tc>
        <w:tc>
          <w:tcPr>
            <w:tcW w:w="0" w:type="auto"/>
            <w:vAlign w:val="center"/>
            <w:hideMark/>
          </w:tcPr>
          <w:p w14:paraId="1A1BE06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3A7DC70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r>
      <w:tr w:rsidR="005446D2" w:rsidRPr="005446D2" w14:paraId="53623A37" w14:textId="77777777">
        <w:trPr>
          <w:tblCellSpacing w:w="15" w:type="dxa"/>
        </w:trPr>
        <w:tc>
          <w:tcPr>
            <w:tcW w:w="0" w:type="auto"/>
            <w:vAlign w:val="center"/>
            <w:hideMark/>
          </w:tcPr>
          <w:p w14:paraId="49F6C6A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10/27/2024</w:t>
            </w:r>
          </w:p>
        </w:tc>
        <w:tc>
          <w:tcPr>
            <w:tcW w:w="0" w:type="auto"/>
            <w:vAlign w:val="center"/>
            <w:hideMark/>
          </w:tcPr>
          <w:p w14:paraId="1B30FF3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12:44</w:t>
            </w:r>
          </w:p>
        </w:tc>
        <w:tc>
          <w:tcPr>
            <w:tcW w:w="0" w:type="auto"/>
            <w:vAlign w:val="center"/>
            <w:hideMark/>
          </w:tcPr>
          <w:p w14:paraId="41BCB4E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Utumbi</w:t>
            </w:r>
          </w:p>
        </w:tc>
        <w:tc>
          <w:tcPr>
            <w:tcW w:w="0" w:type="auto"/>
            <w:vAlign w:val="center"/>
            <w:hideMark/>
          </w:tcPr>
          <w:p w14:paraId="7F75EC4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69F5FCC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Sea lettuce</w:t>
            </w:r>
          </w:p>
        </w:tc>
        <w:tc>
          <w:tcPr>
            <w:tcW w:w="0" w:type="auto"/>
            <w:vAlign w:val="center"/>
            <w:hideMark/>
          </w:tcPr>
          <w:p w14:paraId="1CEFB69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w:t>
            </w:r>
          </w:p>
        </w:tc>
        <w:tc>
          <w:tcPr>
            <w:tcW w:w="0" w:type="auto"/>
            <w:vAlign w:val="center"/>
            <w:hideMark/>
          </w:tcPr>
          <w:p w14:paraId="333D67B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w:t>
            </w:r>
          </w:p>
        </w:tc>
        <w:tc>
          <w:tcPr>
            <w:tcW w:w="0" w:type="auto"/>
            <w:vAlign w:val="center"/>
            <w:hideMark/>
          </w:tcPr>
          <w:p w14:paraId="55C0F10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3-2</w:t>
            </w:r>
          </w:p>
        </w:tc>
        <w:tc>
          <w:tcPr>
            <w:tcW w:w="0" w:type="auto"/>
            <w:vAlign w:val="center"/>
            <w:hideMark/>
          </w:tcPr>
          <w:p w14:paraId="65EABA8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7902E75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7F710E8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5.0</w:t>
            </w:r>
          </w:p>
        </w:tc>
        <w:tc>
          <w:tcPr>
            <w:tcW w:w="0" w:type="auto"/>
            <w:vAlign w:val="center"/>
            <w:hideMark/>
          </w:tcPr>
          <w:p w14:paraId="2F48287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28</w:t>
            </w:r>
          </w:p>
        </w:tc>
        <w:tc>
          <w:tcPr>
            <w:tcW w:w="0" w:type="auto"/>
            <w:vAlign w:val="center"/>
            <w:hideMark/>
          </w:tcPr>
          <w:p w14:paraId="7E443C3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w:t>
            </w:r>
          </w:p>
        </w:tc>
        <w:tc>
          <w:tcPr>
            <w:tcW w:w="0" w:type="auto"/>
            <w:vAlign w:val="center"/>
            <w:hideMark/>
          </w:tcPr>
          <w:p w14:paraId="1AC6B03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Poor visibility</w:t>
            </w:r>
          </w:p>
        </w:tc>
      </w:tr>
      <w:tr w:rsidR="005446D2" w:rsidRPr="005446D2" w14:paraId="59FB0223" w14:textId="77777777">
        <w:trPr>
          <w:tblCellSpacing w:w="15" w:type="dxa"/>
        </w:trPr>
        <w:tc>
          <w:tcPr>
            <w:tcW w:w="0" w:type="auto"/>
            <w:vAlign w:val="center"/>
            <w:hideMark/>
          </w:tcPr>
          <w:p w14:paraId="7A6037D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10/27/2024</w:t>
            </w:r>
          </w:p>
        </w:tc>
        <w:tc>
          <w:tcPr>
            <w:tcW w:w="0" w:type="auto"/>
            <w:vAlign w:val="center"/>
            <w:hideMark/>
          </w:tcPr>
          <w:p w14:paraId="584AB6C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12:57</w:t>
            </w:r>
          </w:p>
        </w:tc>
        <w:tc>
          <w:tcPr>
            <w:tcW w:w="0" w:type="auto"/>
            <w:vAlign w:val="center"/>
            <w:hideMark/>
          </w:tcPr>
          <w:p w14:paraId="4552C66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Milimani</w:t>
            </w:r>
          </w:p>
        </w:tc>
        <w:tc>
          <w:tcPr>
            <w:tcW w:w="0" w:type="auto"/>
            <w:vAlign w:val="center"/>
            <w:hideMark/>
          </w:tcPr>
          <w:p w14:paraId="1391927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52ADAD0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Sea lettuce</w:t>
            </w:r>
          </w:p>
        </w:tc>
        <w:tc>
          <w:tcPr>
            <w:tcW w:w="0" w:type="auto"/>
            <w:vAlign w:val="center"/>
            <w:hideMark/>
          </w:tcPr>
          <w:p w14:paraId="6BD4142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w:t>
            </w:r>
          </w:p>
        </w:tc>
        <w:tc>
          <w:tcPr>
            <w:tcW w:w="0" w:type="auto"/>
            <w:vAlign w:val="center"/>
            <w:hideMark/>
          </w:tcPr>
          <w:p w14:paraId="4214F20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w:t>
            </w:r>
          </w:p>
        </w:tc>
        <w:tc>
          <w:tcPr>
            <w:tcW w:w="0" w:type="auto"/>
            <w:vAlign w:val="center"/>
            <w:hideMark/>
          </w:tcPr>
          <w:p w14:paraId="3894FD3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3-2</w:t>
            </w:r>
          </w:p>
        </w:tc>
        <w:tc>
          <w:tcPr>
            <w:tcW w:w="0" w:type="auto"/>
            <w:vAlign w:val="center"/>
            <w:hideMark/>
          </w:tcPr>
          <w:p w14:paraId="46C3BDB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5E51E3E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06A2021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4.9</w:t>
            </w:r>
          </w:p>
        </w:tc>
        <w:tc>
          <w:tcPr>
            <w:tcW w:w="0" w:type="auto"/>
            <w:vAlign w:val="center"/>
            <w:hideMark/>
          </w:tcPr>
          <w:p w14:paraId="10381EE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28</w:t>
            </w:r>
          </w:p>
        </w:tc>
        <w:tc>
          <w:tcPr>
            <w:tcW w:w="0" w:type="auto"/>
            <w:vAlign w:val="center"/>
            <w:hideMark/>
          </w:tcPr>
          <w:p w14:paraId="5405596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6C42CE8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r>
      <w:tr w:rsidR="005446D2" w:rsidRPr="005446D2" w14:paraId="6F3A7AE9" w14:textId="77777777">
        <w:trPr>
          <w:tblCellSpacing w:w="15" w:type="dxa"/>
        </w:trPr>
        <w:tc>
          <w:tcPr>
            <w:tcW w:w="0" w:type="auto"/>
            <w:vAlign w:val="center"/>
            <w:hideMark/>
          </w:tcPr>
          <w:p w14:paraId="0D8DEFE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10/29/2024</w:t>
            </w:r>
          </w:p>
        </w:tc>
        <w:tc>
          <w:tcPr>
            <w:tcW w:w="0" w:type="auto"/>
            <w:vAlign w:val="center"/>
            <w:hideMark/>
          </w:tcPr>
          <w:p w14:paraId="193A309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14:12</w:t>
            </w:r>
          </w:p>
        </w:tc>
        <w:tc>
          <w:tcPr>
            <w:tcW w:w="0" w:type="auto"/>
            <w:vAlign w:val="center"/>
            <w:hideMark/>
          </w:tcPr>
          <w:p w14:paraId="6865D98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Utumbi</w:t>
            </w:r>
          </w:p>
        </w:tc>
        <w:tc>
          <w:tcPr>
            <w:tcW w:w="0" w:type="auto"/>
            <w:vAlign w:val="center"/>
            <w:hideMark/>
          </w:tcPr>
          <w:p w14:paraId="265617D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4FDE1F4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Gut Weed</w:t>
            </w:r>
          </w:p>
        </w:tc>
        <w:tc>
          <w:tcPr>
            <w:tcW w:w="0" w:type="auto"/>
            <w:vAlign w:val="center"/>
            <w:hideMark/>
          </w:tcPr>
          <w:p w14:paraId="17629DC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8-6</w:t>
            </w:r>
          </w:p>
        </w:tc>
        <w:tc>
          <w:tcPr>
            <w:tcW w:w="0" w:type="auto"/>
            <w:vAlign w:val="center"/>
            <w:hideMark/>
          </w:tcPr>
          <w:p w14:paraId="3D4C34A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1-2</w:t>
            </w:r>
          </w:p>
        </w:tc>
        <w:tc>
          <w:tcPr>
            <w:tcW w:w="0" w:type="auto"/>
            <w:vAlign w:val="center"/>
            <w:hideMark/>
          </w:tcPr>
          <w:p w14:paraId="2F8D0EE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w:t>
            </w:r>
          </w:p>
        </w:tc>
        <w:tc>
          <w:tcPr>
            <w:tcW w:w="0" w:type="auto"/>
            <w:vAlign w:val="center"/>
            <w:hideMark/>
          </w:tcPr>
          <w:p w14:paraId="5181E07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7E8D8E5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12</w:t>
            </w:r>
          </w:p>
        </w:tc>
        <w:tc>
          <w:tcPr>
            <w:tcW w:w="0" w:type="auto"/>
            <w:vAlign w:val="center"/>
            <w:hideMark/>
          </w:tcPr>
          <w:p w14:paraId="179BBB7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6.3</w:t>
            </w:r>
          </w:p>
        </w:tc>
        <w:tc>
          <w:tcPr>
            <w:tcW w:w="0" w:type="auto"/>
            <w:vAlign w:val="center"/>
            <w:hideMark/>
          </w:tcPr>
          <w:p w14:paraId="4C74705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28</w:t>
            </w:r>
          </w:p>
        </w:tc>
        <w:tc>
          <w:tcPr>
            <w:tcW w:w="0" w:type="auto"/>
            <w:vAlign w:val="center"/>
            <w:hideMark/>
          </w:tcPr>
          <w:p w14:paraId="2A05BF5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w:t>
            </w:r>
          </w:p>
        </w:tc>
        <w:tc>
          <w:tcPr>
            <w:tcW w:w="0" w:type="auto"/>
            <w:vAlign w:val="center"/>
            <w:hideMark/>
          </w:tcPr>
          <w:p w14:paraId="39899C3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Only 47min, poor visibility</w:t>
            </w:r>
          </w:p>
        </w:tc>
      </w:tr>
      <w:tr w:rsidR="005446D2" w:rsidRPr="005446D2" w14:paraId="3DB20B32" w14:textId="77777777">
        <w:trPr>
          <w:tblCellSpacing w:w="15" w:type="dxa"/>
        </w:trPr>
        <w:tc>
          <w:tcPr>
            <w:tcW w:w="0" w:type="auto"/>
            <w:vAlign w:val="center"/>
            <w:hideMark/>
          </w:tcPr>
          <w:p w14:paraId="318A3EC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10/29/2024</w:t>
            </w:r>
          </w:p>
        </w:tc>
        <w:tc>
          <w:tcPr>
            <w:tcW w:w="0" w:type="auto"/>
            <w:vAlign w:val="center"/>
            <w:hideMark/>
          </w:tcPr>
          <w:p w14:paraId="1F97DF3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14:24</w:t>
            </w:r>
          </w:p>
        </w:tc>
        <w:tc>
          <w:tcPr>
            <w:tcW w:w="0" w:type="auto"/>
            <w:vAlign w:val="center"/>
            <w:hideMark/>
          </w:tcPr>
          <w:p w14:paraId="205B294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Milimani</w:t>
            </w:r>
          </w:p>
        </w:tc>
        <w:tc>
          <w:tcPr>
            <w:tcW w:w="0" w:type="auto"/>
            <w:vAlign w:val="center"/>
            <w:hideMark/>
          </w:tcPr>
          <w:p w14:paraId="644B830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3FED7AA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Gut Weed</w:t>
            </w:r>
          </w:p>
        </w:tc>
        <w:tc>
          <w:tcPr>
            <w:tcW w:w="0" w:type="auto"/>
            <w:vAlign w:val="center"/>
            <w:hideMark/>
          </w:tcPr>
          <w:p w14:paraId="148748D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8-6</w:t>
            </w:r>
          </w:p>
        </w:tc>
        <w:tc>
          <w:tcPr>
            <w:tcW w:w="0" w:type="auto"/>
            <w:vAlign w:val="center"/>
            <w:hideMark/>
          </w:tcPr>
          <w:p w14:paraId="2502105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1-2</w:t>
            </w:r>
          </w:p>
        </w:tc>
        <w:tc>
          <w:tcPr>
            <w:tcW w:w="0" w:type="auto"/>
            <w:vAlign w:val="center"/>
            <w:hideMark/>
          </w:tcPr>
          <w:p w14:paraId="5B3A725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w:t>
            </w:r>
          </w:p>
        </w:tc>
        <w:tc>
          <w:tcPr>
            <w:tcW w:w="0" w:type="auto"/>
            <w:vAlign w:val="center"/>
            <w:hideMark/>
          </w:tcPr>
          <w:p w14:paraId="6C42249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40818CC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12</w:t>
            </w:r>
          </w:p>
        </w:tc>
        <w:tc>
          <w:tcPr>
            <w:tcW w:w="0" w:type="auto"/>
            <w:vAlign w:val="center"/>
            <w:hideMark/>
          </w:tcPr>
          <w:p w14:paraId="4503118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5.4</w:t>
            </w:r>
          </w:p>
        </w:tc>
        <w:tc>
          <w:tcPr>
            <w:tcW w:w="0" w:type="auto"/>
            <w:vAlign w:val="center"/>
            <w:hideMark/>
          </w:tcPr>
          <w:p w14:paraId="21C524D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28</w:t>
            </w:r>
          </w:p>
        </w:tc>
        <w:tc>
          <w:tcPr>
            <w:tcW w:w="0" w:type="auto"/>
            <w:vAlign w:val="center"/>
            <w:hideMark/>
          </w:tcPr>
          <w:p w14:paraId="2323250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w:t>
            </w:r>
          </w:p>
        </w:tc>
        <w:tc>
          <w:tcPr>
            <w:tcW w:w="0" w:type="auto"/>
            <w:vAlign w:val="center"/>
            <w:hideMark/>
          </w:tcPr>
          <w:p w14:paraId="1651082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r>
      <w:tr w:rsidR="005446D2" w:rsidRPr="005446D2" w14:paraId="392A25C9" w14:textId="77777777">
        <w:trPr>
          <w:tblCellSpacing w:w="15" w:type="dxa"/>
        </w:trPr>
        <w:tc>
          <w:tcPr>
            <w:tcW w:w="0" w:type="auto"/>
            <w:vAlign w:val="center"/>
            <w:hideMark/>
          </w:tcPr>
          <w:p w14:paraId="726446E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10/30/2024</w:t>
            </w:r>
          </w:p>
        </w:tc>
        <w:tc>
          <w:tcPr>
            <w:tcW w:w="0" w:type="auto"/>
            <w:vAlign w:val="center"/>
            <w:hideMark/>
          </w:tcPr>
          <w:p w14:paraId="0C008ED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14:38</w:t>
            </w:r>
          </w:p>
        </w:tc>
        <w:tc>
          <w:tcPr>
            <w:tcW w:w="0" w:type="auto"/>
            <w:vAlign w:val="center"/>
            <w:hideMark/>
          </w:tcPr>
          <w:p w14:paraId="0C74AB3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Utumbi</w:t>
            </w:r>
          </w:p>
        </w:tc>
        <w:tc>
          <w:tcPr>
            <w:tcW w:w="0" w:type="auto"/>
            <w:vAlign w:val="center"/>
            <w:hideMark/>
          </w:tcPr>
          <w:p w14:paraId="72DA3AE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3912471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Gut Weed</w:t>
            </w:r>
          </w:p>
        </w:tc>
        <w:tc>
          <w:tcPr>
            <w:tcW w:w="0" w:type="auto"/>
            <w:vAlign w:val="center"/>
            <w:hideMark/>
          </w:tcPr>
          <w:p w14:paraId="0D3D5C5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6</w:t>
            </w:r>
          </w:p>
        </w:tc>
        <w:tc>
          <w:tcPr>
            <w:tcW w:w="0" w:type="auto"/>
            <w:vAlign w:val="center"/>
            <w:hideMark/>
          </w:tcPr>
          <w:p w14:paraId="060BAD6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3-4</w:t>
            </w:r>
          </w:p>
        </w:tc>
        <w:tc>
          <w:tcPr>
            <w:tcW w:w="0" w:type="auto"/>
            <w:vAlign w:val="center"/>
            <w:hideMark/>
          </w:tcPr>
          <w:p w14:paraId="090711D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w:t>
            </w:r>
          </w:p>
        </w:tc>
        <w:tc>
          <w:tcPr>
            <w:tcW w:w="0" w:type="auto"/>
            <w:vAlign w:val="center"/>
            <w:hideMark/>
          </w:tcPr>
          <w:p w14:paraId="6F4365E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w:t>
            </w:r>
          </w:p>
        </w:tc>
        <w:tc>
          <w:tcPr>
            <w:tcW w:w="0" w:type="auto"/>
            <w:vAlign w:val="center"/>
            <w:hideMark/>
          </w:tcPr>
          <w:p w14:paraId="07A8323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5A9C55B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6.4</w:t>
            </w:r>
          </w:p>
        </w:tc>
        <w:tc>
          <w:tcPr>
            <w:tcW w:w="0" w:type="auto"/>
            <w:vAlign w:val="center"/>
            <w:hideMark/>
          </w:tcPr>
          <w:p w14:paraId="3A90CAC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28</w:t>
            </w:r>
          </w:p>
        </w:tc>
        <w:tc>
          <w:tcPr>
            <w:tcW w:w="0" w:type="auto"/>
            <w:vAlign w:val="center"/>
            <w:hideMark/>
          </w:tcPr>
          <w:p w14:paraId="5FC0462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6E511F4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r>
      <w:tr w:rsidR="005446D2" w:rsidRPr="005446D2" w14:paraId="119813CF" w14:textId="77777777">
        <w:trPr>
          <w:tblCellSpacing w:w="15" w:type="dxa"/>
        </w:trPr>
        <w:tc>
          <w:tcPr>
            <w:tcW w:w="0" w:type="auto"/>
            <w:vAlign w:val="center"/>
            <w:hideMark/>
          </w:tcPr>
          <w:p w14:paraId="20F86A0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lastRenderedPageBreak/>
              <w:t>10/30/2024</w:t>
            </w:r>
          </w:p>
        </w:tc>
        <w:tc>
          <w:tcPr>
            <w:tcW w:w="0" w:type="auto"/>
            <w:vAlign w:val="center"/>
            <w:hideMark/>
          </w:tcPr>
          <w:p w14:paraId="7507AE5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14:47</w:t>
            </w:r>
          </w:p>
        </w:tc>
        <w:tc>
          <w:tcPr>
            <w:tcW w:w="0" w:type="auto"/>
            <w:vAlign w:val="center"/>
            <w:hideMark/>
          </w:tcPr>
          <w:p w14:paraId="42B7EA6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Milimani</w:t>
            </w:r>
          </w:p>
        </w:tc>
        <w:tc>
          <w:tcPr>
            <w:tcW w:w="0" w:type="auto"/>
            <w:vAlign w:val="center"/>
            <w:hideMark/>
          </w:tcPr>
          <w:p w14:paraId="24A7CD6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547ECDE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Gut Weed</w:t>
            </w:r>
          </w:p>
        </w:tc>
        <w:tc>
          <w:tcPr>
            <w:tcW w:w="0" w:type="auto"/>
            <w:vAlign w:val="center"/>
            <w:hideMark/>
          </w:tcPr>
          <w:p w14:paraId="1FAE756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6</w:t>
            </w:r>
          </w:p>
        </w:tc>
        <w:tc>
          <w:tcPr>
            <w:tcW w:w="0" w:type="auto"/>
            <w:vAlign w:val="center"/>
            <w:hideMark/>
          </w:tcPr>
          <w:p w14:paraId="02D9EF3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3-4</w:t>
            </w:r>
          </w:p>
        </w:tc>
        <w:tc>
          <w:tcPr>
            <w:tcW w:w="0" w:type="auto"/>
            <w:vAlign w:val="center"/>
            <w:hideMark/>
          </w:tcPr>
          <w:p w14:paraId="7DBBF1A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w:t>
            </w:r>
          </w:p>
        </w:tc>
        <w:tc>
          <w:tcPr>
            <w:tcW w:w="0" w:type="auto"/>
            <w:vAlign w:val="center"/>
            <w:hideMark/>
          </w:tcPr>
          <w:p w14:paraId="2E33064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w:t>
            </w:r>
          </w:p>
        </w:tc>
        <w:tc>
          <w:tcPr>
            <w:tcW w:w="0" w:type="auto"/>
            <w:vAlign w:val="center"/>
            <w:hideMark/>
          </w:tcPr>
          <w:p w14:paraId="7685154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6A8E412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5.6</w:t>
            </w:r>
          </w:p>
        </w:tc>
        <w:tc>
          <w:tcPr>
            <w:tcW w:w="0" w:type="auto"/>
            <w:vAlign w:val="center"/>
            <w:hideMark/>
          </w:tcPr>
          <w:p w14:paraId="6E6722E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28</w:t>
            </w:r>
          </w:p>
        </w:tc>
        <w:tc>
          <w:tcPr>
            <w:tcW w:w="0" w:type="auto"/>
            <w:vAlign w:val="center"/>
            <w:hideMark/>
          </w:tcPr>
          <w:p w14:paraId="05B2E3A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3AD4D26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Poor visibility</w:t>
            </w:r>
          </w:p>
        </w:tc>
      </w:tr>
      <w:tr w:rsidR="005446D2" w:rsidRPr="005446D2" w14:paraId="5D7B8A32" w14:textId="77777777">
        <w:trPr>
          <w:tblCellSpacing w:w="15" w:type="dxa"/>
        </w:trPr>
        <w:tc>
          <w:tcPr>
            <w:tcW w:w="0" w:type="auto"/>
            <w:vAlign w:val="center"/>
            <w:hideMark/>
          </w:tcPr>
          <w:p w14:paraId="123C98A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11/05/2024</w:t>
            </w:r>
          </w:p>
        </w:tc>
        <w:tc>
          <w:tcPr>
            <w:tcW w:w="0" w:type="auto"/>
            <w:vAlign w:val="center"/>
            <w:hideMark/>
          </w:tcPr>
          <w:p w14:paraId="39B84DA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11:10</w:t>
            </w:r>
          </w:p>
        </w:tc>
        <w:tc>
          <w:tcPr>
            <w:tcW w:w="0" w:type="auto"/>
            <w:vAlign w:val="center"/>
            <w:hideMark/>
          </w:tcPr>
          <w:p w14:paraId="6E88C2F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Milimani</w:t>
            </w:r>
          </w:p>
        </w:tc>
        <w:tc>
          <w:tcPr>
            <w:tcW w:w="0" w:type="auto"/>
            <w:vAlign w:val="center"/>
            <w:hideMark/>
          </w:tcPr>
          <w:p w14:paraId="0FAD0EE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L</w:t>
            </w:r>
          </w:p>
        </w:tc>
        <w:tc>
          <w:tcPr>
            <w:tcW w:w="0" w:type="auto"/>
            <w:vAlign w:val="center"/>
            <w:hideMark/>
          </w:tcPr>
          <w:p w14:paraId="7D22316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Sea lettuce</w:t>
            </w:r>
          </w:p>
        </w:tc>
        <w:tc>
          <w:tcPr>
            <w:tcW w:w="0" w:type="auto"/>
            <w:vAlign w:val="center"/>
            <w:hideMark/>
          </w:tcPr>
          <w:p w14:paraId="23CE02B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w:t>
            </w:r>
          </w:p>
        </w:tc>
        <w:tc>
          <w:tcPr>
            <w:tcW w:w="0" w:type="auto"/>
            <w:vAlign w:val="center"/>
            <w:hideMark/>
          </w:tcPr>
          <w:p w14:paraId="314A758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7-8</w:t>
            </w:r>
          </w:p>
        </w:tc>
        <w:tc>
          <w:tcPr>
            <w:tcW w:w="0" w:type="auto"/>
            <w:vAlign w:val="center"/>
            <w:hideMark/>
          </w:tcPr>
          <w:p w14:paraId="108C8AF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w:t>
            </w:r>
          </w:p>
        </w:tc>
        <w:tc>
          <w:tcPr>
            <w:tcW w:w="0" w:type="auto"/>
            <w:vAlign w:val="center"/>
            <w:hideMark/>
          </w:tcPr>
          <w:p w14:paraId="7ABC49B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246615A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w:t>
            </w:r>
          </w:p>
        </w:tc>
        <w:tc>
          <w:tcPr>
            <w:tcW w:w="0" w:type="auto"/>
            <w:vAlign w:val="center"/>
            <w:hideMark/>
          </w:tcPr>
          <w:p w14:paraId="7B5A804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3.0</w:t>
            </w:r>
          </w:p>
        </w:tc>
        <w:tc>
          <w:tcPr>
            <w:tcW w:w="0" w:type="auto"/>
            <w:vAlign w:val="center"/>
            <w:hideMark/>
          </w:tcPr>
          <w:p w14:paraId="59F7723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30</w:t>
            </w:r>
          </w:p>
        </w:tc>
        <w:tc>
          <w:tcPr>
            <w:tcW w:w="0" w:type="auto"/>
            <w:vAlign w:val="center"/>
            <w:hideMark/>
          </w:tcPr>
          <w:p w14:paraId="04E4925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w:t>
            </w:r>
          </w:p>
        </w:tc>
        <w:tc>
          <w:tcPr>
            <w:tcW w:w="0" w:type="auto"/>
            <w:vAlign w:val="center"/>
            <w:hideMark/>
          </w:tcPr>
          <w:p w14:paraId="4FCF444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Fogged</w:t>
            </w:r>
          </w:p>
        </w:tc>
      </w:tr>
      <w:tr w:rsidR="005446D2" w:rsidRPr="005446D2" w14:paraId="63B0F4BA" w14:textId="77777777">
        <w:trPr>
          <w:tblCellSpacing w:w="15" w:type="dxa"/>
        </w:trPr>
        <w:tc>
          <w:tcPr>
            <w:tcW w:w="0" w:type="auto"/>
            <w:vAlign w:val="center"/>
            <w:hideMark/>
          </w:tcPr>
          <w:p w14:paraId="67718CA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11/05/2024</w:t>
            </w:r>
          </w:p>
        </w:tc>
        <w:tc>
          <w:tcPr>
            <w:tcW w:w="0" w:type="auto"/>
            <w:vAlign w:val="center"/>
            <w:hideMark/>
          </w:tcPr>
          <w:p w14:paraId="0A2E09D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11:30</w:t>
            </w:r>
          </w:p>
        </w:tc>
        <w:tc>
          <w:tcPr>
            <w:tcW w:w="0" w:type="auto"/>
            <w:vAlign w:val="center"/>
            <w:hideMark/>
          </w:tcPr>
          <w:p w14:paraId="233C137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Utumbi</w:t>
            </w:r>
          </w:p>
        </w:tc>
        <w:tc>
          <w:tcPr>
            <w:tcW w:w="0" w:type="auto"/>
            <w:vAlign w:val="center"/>
            <w:hideMark/>
          </w:tcPr>
          <w:p w14:paraId="52C2681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L</w:t>
            </w:r>
          </w:p>
        </w:tc>
        <w:tc>
          <w:tcPr>
            <w:tcW w:w="0" w:type="auto"/>
            <w:vAlign w:val="center"/>
            <w:hideMark/>
          </w:tcPr>
          <w:p w14:paraId="0720CB6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Control</w:t>
            </w:r>
          </w:p>
        </w:tc>
        <w:tc>
          <w:tcPr>
            <w:tcW w:w="0" w:type="auto"/>
            <w:vAlign w:val="center"/>
            <w:hideMark/>
          </w:tcPr>
          <w:p w14:paraId="1027B7A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w:t>
            </w:r>
          </w:p>
        </w:tc>
        <w:tc>
          <w:tcPr>
            <w:tcW w:w="0" w:type="auto"/>
            <w:vAlign w:val="center"/>
            <w:hideMark/>
          </w:tcPr>
          <w:p w14:paraId="5EBCA8C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7-8</w:t>
            </w:r>
          </w:p>
        </w:tc>
        <w:tc>
          <w:tcPr>
            <w:tcW w:w="0" w:type="auto"/>
            <w:vAlign w:val="center"/>
            <w:hideMark/>
          </w:tcPr>
          <w:p w14:paraId="06A4B05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w:t>
            </w:r>
          </w:p>
        </w:tc>
        <w:tc>
          <w:tcPr>
            <w:tcW w:w="0" w:type="auto"/>
            <w:vAlign w:val="center"/>
            <w:hideMark/>
          </w:tcPr>
          <w:p w14:paraId="770DDAB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698C618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w:t>
            </w:r>
          </w:p>
        </w:tc>
        <w:tc>
          <w:tcPr>
            <w:tcW w:w="0" w:type="auto"/>
            <w:vAlign w:val="center"/>
            <w:hideMark/>
          </w:tcPr>
          <w:p w14:paraId="4986DAD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3.7</w:t>
            </w:r>
          </w:p>
        </w:tc>
        <w:tc>
          <w:tcPr>
            <w:tcW w:w="0" w:type="auto"/>
            <w:vAlign w:val="center"/>
            <w:hideMark/>
          </w:tcPr>
          <w:p w14:paraId="5586B05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28</w:t>
            </w:r>
          </w:p>
        </w:tc>
        <w:tc>
          <w:tcPr>
            <w:tcW w:w="0" w:type="auto"/>
            <w:vAlign w:val="center"/>
            <w:hideMark/>
          </w:tcPr>
          <w:p w14:paraId="2B28D17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w:t>
            </w:r>
          </w:p>
        </w:tc>
        <w:tc>
          <w:tcPr>
            <w:tcW w:w="0" w:type="auto"/>
            <w:vAlign w:val="center"/>
            <w:hideMark/>
          </w:tcPr>
          <w:p w14:paraId="57F817A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r>
      <w:tr w:rsidR="005446D2" w:rsidRPr="005446D2" w14:paraId="7C8A6129" w14:textId="77777777">
        <w:trPr>
          <w:tblCellSpacing w:w="15" w:type="dxa"/>
        </w:trPr>
        <w:tc>
          <w:tcPr>
            <w:tcW w:w="0" w:type="auto"/>
            <w:vAlign w:val="center"/>
            <w:hideMark/>
          </w:tcPr>
          <w:p w14:paraId="16A97C3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11/10/2024</w:t>
            </w:r>
          </w:p>
        </w:tc>
        <w:tc>
          <w:tcPr>
            <w:tcW w:w="0" w:type="auto"/>
            <w:vAlign w:val="center"/>
            <w:hideMark/>
          </w:tcPr>
          <w:p w14:paraId="7F0EC1A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09:15</w:t>
            </w:r>
          </w:p>
        </w:tc>
        <w:tc>
          <w:tcPr>
            <w:tcW w:w="0" w:type="auto"/>
            <w:vAlign w:val="center"/>
            <w:hideMark/>
          </w:tcPr>
          <w:p w14:paraId="74286A6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Milimani</w:t>
            </w:r>
          </w:p>
        </w:tc>
        <w:tc>
          <w:tcPr>
            <w:tcW w:w="0" w:type="auto"/>
            <w:vAlign w:val="center"/>
            <w:hideMark/>
          </w:tcPr>
          <w:p w14:paraId="4D85D9F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2308952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Sea lettuce</w:t>
            </w:r>
          </w:p>
        </w:tc>
        <w:tc>
          <w:tcPr>
            <w:tcW w:w="0" w:type="auto"/>
            <w:vAlign w:val="center"/>
            <w:hideMark/>
          </w:tcPr>
          <w:p w14:paraId="1B4ED5A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w:t>
            </w:r>
          </w:p>
        </w:tc>
        <w:tc>
          <w:tcPr>
            <w:tcW w:w="0" w:type="auto"/>
            <w:vAlign w:val="center"/>
            <w:hideMark/>
          </w:tcPr>
          <w:p w14:paraId="3A6660D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w:t>
            </w:r>
          </w:p>
        </w:tc>
        <w:tc>
          <w:tcPr>
            <w:tcW w:w="0" w:type="auto"/>
            <w:vAlign w:val="center"/>
            <w:hideMark/>
          </w:tcPr>
          <w:p w14:paraId="049F2D9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w:t>
            </w:r>
          </w:p>
        </w:tc>
        <w:tc>
          <w:tcPr>
            <w:tcW w:w="0" w:type="auto"/>
            <w:vAlign w:val="center"/>
            <w:hideMark/>
          </w:tcPr>
          <w:p w14:paraId="69A5E1B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1BD1D33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7</w:t>
            </w:r>
          </w:p>
        </w:tc>
        <w:tc>
          <w:tcPr>
            <w:tcW w:w="0" w:type="auto"/>
            <w:vAlign w:val="center"/>
            <w:hideMark/>
          </w:tcPr>
          <w:p w14:paraId="5BA1EB9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5.6</w:t>
            </w:r>
          </w:p>
        </w:tc>
        <w:tc>
          <w:tcPr>
            <w:tcW w:w="0" w:type="auto"/>
            <w:vAlign w:val="center"/>
            <w:hideMark/>
          </w:tcPr>
          <w:p w14:paraId="6DD788D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28</w:t>
            </w:r>
          </w:p>
        </w:tc>
        <w:tc>
          <w:tcPr>
            <w:tcW w:w="0" w:type="auto"/>
            <w:vAlign w:val="center"/>
            <w:hideMark/>
          </w:tcPr>
          <w:p w14:paraId="00A9BEE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0B0C93A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r>
      <w:tr w:rsidR="005446D2" w:rsidRPr="005446D2" w14:paraId="0E50B766" w14:textId="77777777">
        <w:trPr>
          <w:tblCellSpacing w:w="15" w:type="dxa"/>
        </w:trPr>
        <w:tc>
          <w:tcPr>
            <w:tcW w:w="0" w:type="auto"/>
            <w:vAlign w:val="center"/>
            <w:hideMark/>
          </w:tcPr>
          <w:p w14:paraId="63BE5D4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11/10/2024</w:t>
            </w:r>
          </w:p>
        </w:tc>
        <w:tc>
          <w:tcPr>
            <w:tcW w:w="0" w:type="auto"/>
            <w:vAlign w:val="center"/>
            <w:hideMark/>
          </w:tcPr>
          <w:p w14:paraId="190CC33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09:31</w:t>
            </w:r>
          </w:p>
        </w:tc>
        <w:tc>
          <w:tcPr>
            <w:tcW w:w="0" w:type="auto"/>
            <w:vAlign w:val="center"/>
            <w:hideMark/>
          </w:tcPr>
          <w:p w14:paraId="19A9A95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Utumbi</w:t>
            </w:r>
          </w:p>
        </w:tc>
        <w:tc>
          <w:tcPr>
            <w:tcW w:w="0" w:type="auto"/>
            <w:vAlign w:val="center"/>
            <w:hideMark/>
          </w:tcPr>
          <w:p w14:paraId="1CD317D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6946A91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Sea lettuce</w:t>
            </w:r>
          </w:p>
        </w:tc>
        <w:tc>
          <w:tcPr>
            <w:tcW w:w="0" w:type="auto"/>
            <w:vAlign w:val="center"/>
            <w:hideMark/>
          </w:tcPr>
          <w:p w14:paraId="56D289B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w:t>
            </w:r>
          </w:p>
        </w:tc>
        <w:tc>
          <w:tcPr>
            <w:tcW w:w="0" w:type="auto"/>
            <w:vAlign w:val="center"/>
            <w:hideMark/>
          </w:tcPr>
          <w:p w14:paraId="65FAE71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w:t>
            </w:r>
          </w:p>
        </w:tc>
        <w:tc>
          <w:tcPr>
            <w:tcW w:w="0" w:type="auto"/>
            <w:vAlign w:val="center"/>
            <w:hideMark/>
          </w:tcPr>
          <w:p w14:paraId="657FFF2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w:t>
            </w:r>
          </w:p>
        </w:tc>
        <w:tc>
          <w:tcPr>
            <w:tcW w:w="0" w:type="auto"/>
            <w:vAlign w:val="center"/>
            <w:hideMark/>
          </w:tcPr>
          <w:p w14:paraId="7A6C2B9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22D066E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7</w:t>
            </w:r>
          </w:p>
        </w:tc>
        <w:tc>
          <w:tcPr>
            <w:tcW w:w="0" w:type="auto"/>
            <w:vAlign w:val="center"/>
            <w:hideMark/>
          </w:tcPr>
          <w:p w14:paraId="300907F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5.7</w:t>
            </w:r>
          </w:p>
        </w:tc>
        <w:tc>
          <w:tcPr>
            <w:tcW w:w="0" w:type="auto"/>
            <w:vAlign w:val="center"/>
            <w:hideMark/>
          </w:tcPr>
          <w:p w14:paraId="6584146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28</w:t>
            </w:r>
          </w:p>
        </w:tc>
        <w:tc>
          <w:tcPr>
            <w:tcW w:w="0" w:type="auto"/>
            <w:vAlign w:val="center"/>
            <w:hideMark/>
          </w:tcPr>
          <w:p w14:paraId="170EB22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29D5E8C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Visibility so-so</w:t>
            </w:r>
          </w:p>
        </w:tc>
      </w:tr>
      <w:tr w:rsidR="005446D2" w:rsidRPr="005446D2" w14:paraId="6253C2E3" w14:textId="77777777">
        <w:trPr>
          <w:tblCellSpacing w:w="15" w:type="dxa"/>
        </w:trPr>
        <w:tc>
          <w:tcPr>
            <w:tcW w:w="0" w:type="auto"/>
            <w:vAlign w:val="center"/>
            <w:hideMark/>
          </w:tcPr>
          <w:p w14:paraId="49987D0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11/11/2024</w:t>
            </w:r>
          </w:p>
        </w:tc>
        <w:tc>
          <w:tcPr>
            <w:tcW w:w="0" w:type="auto"/>
            <w:vAlign w:val="center"/>
            <w:hideMark/>
          </w:tcPr>
          <w:p w14:paraId="7A0044A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10:45</w:t>
            </w:r>
          </w:p>
        </w:tc>
        <w:tc>
          <w:tcPr>
            <w:tcW w:w="0" w:type="auto"/>
            <w:vAlign w:val="center"/>
            <w:hideMark/>
          </w:tcPr>
          <w:p w14:paraId="775600A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Milimani</w:t>
            </w:r>
          </w:p>
        </w:tc>
        <w:tc>
          <w:tcPr>
            <w:tcW w:w="0" w:type="auto"/>
            <w:vAlign w:val="center"/>
            <w:hideMark/>
          </w:tcPr>
          <w:p w14:paraId="3964B03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66C8C67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Control</w:t>
            </w:r>
          </w:p>
        </w:tc>
        <w:tc>
          <w:tcPr>
            <w:tcW w:w="0" w:type="auto"/>
            <w:vAlign w:val="center"/>
            <w:hideMark/>
          </w:tcPr>
          <w:p w14:paraId="3F7345B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w:t>
            </w:r>
          </w:p>
        </w:tc>
        <w:tc>
          <w:tcPr>
            <w:tcW w:w="0" w:type="auto"/>
            <w:vAlign w:val="center"/>
            <w:hideMark/>
          </w:tcPr>
          <w:p w14:paraId="44470A1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7</w:t>
            </w:r>
          </w:p>
        </w:tc>
        <w:tc>
          <w:tcPr>
            <w:tcW w:w="0" w:type="auto"/>
            <w:vAlign w:val="center"/>
            <w:hideMark/>
          </w:tcPr>
          <w:p w14:paraId="745B41E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w:t>
            </w:r>
          </w:p>
        </w:tc>
        <w:tc>
          <w:tcPr>
            <w:tcW w:w="0" w:type="auto"/>
            <w:vAlign w:val="center"/>
            <w:hideMark/>
          </w:tcPr>
          <w:p w14:paraId="6BFB956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2D9E841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13</w:t>
            </w:r>
          </w:p>
        </w:tc>
        <w:tc>
          <w:tcPr>
            <w:tcW w:w="0" w:type="auto"/>
            <w:vAlign w:val="center"/>
            <w:hideMark/>
          </w:tcPr>
          <w:p w14:paraId="353DC50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w:t>
            </w:r>
          </w:p>
        </w:tc>
        <w:tc>
          <w:tcPr>
            <w:tcW w:w="0" w:type="auto"/>
            <w:vAlign w:val="center"/>
            <w:hideMark/>
          </w:tcPr>
          <w:p w14:paraId="1DBBE47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29</w:t>
            </w:r>
          </w:p>
        </w:tc>
        <w:tc>
          <w:tcPr>
            <w:tcW w:w="0" w:type="auto"/>
            <w:vAlign w:val="center"/>
            <w:hideMark/>
          </w:tcPr>
          <w:p w14:paraId="4C37D9E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w:t>
            </w:r>
          </w:p>
        </w:tc>
        <w:tc>
          <w:tcPr>
            <w:tcW w:w="0" w:type="auto"/>
            <w:vAlign w:val="center"/>
            <w:hideMark/>
          </w:tcPr>
          <w:p w14:paraId="15AE7F3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r>
      <w:tr w:rsidR="005446D2" w:rsidRPr="005446D2" w14:paraId="59DFF3F8" w14:textId="77777777">
        <w:trPr>
          <w:tblCellSpacing w:w="15" w:type="dxa"/>
        </w:trPr>
        <w:tc>
          <w:tcPr>
            <w:tcW w:w="0" w:type="auto"/>
            <w:vAlign w:val="center"/>
            <w:hideMark/>
          </w:tcPr>
          <w:p w14:paraId="4268711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11/11/2024</w:t>
            </w:r>
          </w:p>
        </w:tc>
        <w:tc>
          <w:tcPr>
            <w:tcW w:w="0" w:type="auto"/>
            <w:vAlign w:val="center"/>
            <w:hideMark/>
          </w:tcPr>
          <w:p w14:paraId="3BC7EF3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10:59</w:t>
            </w:r>
          </w:p>
        </w:tc>
        <w:tc>
          <w:tcPr>
            <w:tcW w:w="0" w:type="auto"/>
            <w:vAlign w:val="center"/>
            <w:hideMark/>
          </w:tcPr>
          <w:p w14:paraId="003061E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Utumbi</w:t>
            </w:r>
          </w:p>
        </w:tc>
        <w:tc>
          <w:tcPr>
            <w:tcW w:w="0" w:type="auto"/>
            <w:vAlign w:val="center"/>
            <w:hideMark/>
          </w:tcPr>
          <w:p w14:paraId="5B29983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65C23F8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Control</w:t>
            </w:r>
          </w:p>
        </w:tc>
        <w:tc>
          <w:tcPr>
            <w:tcW w:w="0" w:type="auto"/>
            <w:vAlign w:val="center"/>
            <w:hideMark/>
          </w:tcPr>
          <w:p w14:paraId="680B8DA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w:t>
            </w:r>
          </w:p>
        </w:tc>
        <w:tc>
          <w:tcPr>
            <w:tcW w:w="0" w:type="auto"/>
            <w:vAlign w:val="center"/>
            <w:hideMark/>
          </w:tcPr>
          <w:p w14:paraId="1E45622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7</w:t>
            </w:r>
          </w:p>
        </w:tc>
        <w:tc>
          <w:tcPr>
            <w:tcW w:w="0" w:type="auto"/>
            <w:vAlign w:val="center"/>
            <w:hideMark/>
          </w:tcPr>
          <w:p w14:paraId="66D37E5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w:t>
            </w:r>
          </w:p>
        </w:tc>
        <w:tc>
          <w:tcPr>
            <w:tcW w:w="0" w:type="auto"/>
            <w:vAlign w:val="center"/>
            <w:hideMark/>
          </w:tcPr>
          <w:p w14:paraId="5AA3637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492CAAF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13</w:t>
            </w:r>
          </w:p>
        </w:tc>
        <w:tc>
          <w:tcPr>
            <w:tcW w:w="0" w:type="auto"/>
            <w:vAlign w:val="center"/>
            <w:hideMark/>
          </w:tcPr>
          <w:p w14:paraId="51A7CFE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6</w:t>
            </w:r>
          </w:p>
        </w:tc>
        <w:tc>
          <w:tcPr>
            <w:tcW w:w="0" w:type="auto"/>
            <w:vAlign w:val="center"/>
            <w:hideMark/>
          </w:tcPr>
          <w:p w14:paraId="2DDF824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29</w:t>
            </w:r>
          </w:p>
        </w:tc>
        <w:tc>
          <w:tcPr>
            <w:tcW w:w="0" w:type="auto"/>
            <w:vAlign w:val="center"/>
            <w:hideMark/>
          </w:tcPr>
          <w:p w14:paraId="72966BF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w:t>
            </w:r>
          </w:p>
        </w:tc>
        <w:tc>
          <w:tcPr>
            <w:tcW w:w="0" w:type="auto"/>
            <w:vAlign w:val="center"/>
            <w:hideMark/>
          </w:tcPr>
          <w:p w14:paraId="0FB97C3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Moderately fogged</w:t>
            </w:r>
          </w:p>
        </w:tc>
      </w:tr>
      <w:tr w:rsidR="005446D2" w:rsidRPr="005446D2" w14:paraId="214550BE" w14:textId="77777777">
        <w:trPr>
          <w:tblCellSpacing w:w="15" w:type="dxa"/>
        </w:trPr>
        <w:tc>
          <w:tcPr>
            <w:tcW w:w="0" w:type="auto"/>
            <w:vAlign w:val="center"/>
            <w:hideMark/>
          </w:tcPr>
          <w:p w14:paraId="7F9F59B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11/12/2024</w:t>
            </w:r>
          </w:p>
        </w:tc>
        <w:tc>
          <w:tcPr>
            <w:tcW w:w="0" w:type="auto"/>
            <w:vAlign w:val="center"/>
            <w:hideMark/>
          </w:tcPr>
          <w:p w14:paraId="1F40CB0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12:00</w:t>
            </w:r>
          </w:p>
        </w:tc>
        <w:tc>
          <w:tcPr>
            <w:tcW w:w="0" w:type="auto"/>
            <w:vAlign w:val="center"/>
            <w:hideMark/>
          </w:tcPr>
          <w:p w14:paraId="13B9521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Milimani</w:t>
            </w:r>
          </w:p>
        </w:tc>
        <w:tc>
          <w:tcPr>
            <w:tcW w:w="0" w:type="auto"/>
            <w:vAlign w:val="center"/>
            <w:hideMark/>
          </w:tcPr>
          <w:p w14:paraId="478E021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2DF2CA6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Sea lettuce</w:t>
            </w:r>
          </w:p>
        </w:tc>
        <w:tc>
          <w:tcPr>
            <w:tcW w:w="0" w:type="auto"/>
            <w:vAlign w:val="center"/>
            <w:hideMark/>
          </w:tcPr>
          <w:p w14:paraId="564BA50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w:t>
            </w:r>
          </w:p>
        </w:tc>
        <w:tc>
          <w:tcPr>
            <w:tcW w:w="0" w:type="auto"/>
            <w:vAlign w:val="center"/>
            <w:hideMark/>
          </w:tcPr>
          <w:p w14:paraId="2F073F6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w:t>
            </w:r>
          </w:p>
        </w:tc>
        <w:tc>
          <w:tcPr>
            <w:tcW w:w="0" w:type="auto"/>
            <w:vAlign w:val="center"/>
            <w:hideMark/>
          </w:tcPr>
          <w:p w14:paraId="441768C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w:t>
            </w:r>
          </w:p>
        </w:tc>
        <w:tc>
          <w:tcPr>
            <w:tcW w:w="0" w:type="auto"/>
            <w:vAlign w:val="center"/>
            <w:hideMark/>
          </w:tcPr>
          <w:p w14:paraId="511B230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191CD9F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02E247E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w:t>
            </w:r>
          </w:p>
        </w:tc>
        <w:tc>
          <w:tcPr>
            <w:tcW w:w="0" w:type="auto"/>
            <w:vAlign w:val="center"/>
            <w:hideMark/>
          </w:tcPr>
          <w:p w14:paraId="3DEC14D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28</w:t>
            </w:r>
          </w:p>
        </w:tc>
        <w:tc>
          <w:tcPr>
            <w:tcW w:w="0" w:type="auto"/>
            <w:vAlign w:val="center"/>
            <w:hideMark/>
          </w:tcPr>
          <w:p w14:paraId="24E9873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2DF4BEB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r>
      <w:tr w:rsidR="005446D2" w:rsidRPr="005446D2" w14:paraId="4CFEF22E" w14:textId="77777777">
        <w:trPr>
          <w:tblCellSpacing w:w="15" w:type="dxa"/>
        </w:trPr>
        <w:tc>
          <w:tcPr>
            <w:tcW w:w="0" w:type="auto"/>
            <w:vAlign w:val="center"/>
            <w:hideMark/>
          </w:tcPr>
          <w:p w14:paraId="7B374FD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11/12/2024</w:t>
            </w:r>
          </w:p>
        </w:tc>
        <w:tc>
          <w:tcPr>
            <w:tcW w:w="0" w:type="auto"/>
            <w:vAlign w:val="center"/>
            <w:hideMark/>
          </w:tcPr>
          <w:p w14:paraId="13FE6AC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12:09</w:t>
            </w:r>
          </w:p>
        </w:tc>
        <w:tc>
          <w:tcPr>
            <w:tcW w:w="0" w:type="auto"/>
            <w:vAlign w:val="center"/>
            <w:hideMark/>
          </w:tcPr>
          <w:p w14:paraId="2254452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Utumbi</w:t>
            </w:r>
          </w:p>
        </w:tc>
        <w:tc>
          <w:tcPr>
            <w:tcW w:w="0" w:type="auto"/>
            <w:vAlign w:val="center"/>
            <w:hideMark/>
          </w:tcPr>
          <w:p w14:paraId="15EE3E6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6FDD406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Gut Weed</w:t>
            </w:r>
          </w:p>
        </w:tc>
        <w:tc>
          <w:tcPr>
            <w:tcW w:w="0" w:type="auto"/>
            <w:vAlign w:val="center"/>
            <w:hideMark/>
          </w:tcPr>
          <w:p w14:paraId="15FC655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w:t>
            </w:r>
          </w:p>
        </w:tc>
        <w:tc>
          <w:tcPr>
            <w:tcW w:w="0" w:type="auto"/>
            <w:vAlign w:val="center"/>
            <w:hideMark/>
          </w:tcPr>
          <w:p w14:paraId="0EC9989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w:t>
            </w:r>
          </w:p>
        </w:tc>
        <w:tc>
          <w:tcPr>
            <w:tcW w:w="0" w:type="auto"/>
            <w:vAlign w:val="center"/>
            <w:hideMark/>
          </w:tcPr>
          <w:p w14:paraId="66EFEA1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w:t>
            </w:r>
          </w:p>
        </w:tc>
        <w:tc>
          <w:tcPr>
            <w:tcW w:w="0" w:type="auto"/>
            <w:vAlign w:val="center"/>
            <w:hideMark/>
          </w:tcPr>
          <w:p w14:paraId="1CF368C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4106F1D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42784EE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5.9</w:t>
            </w:r>
          </w:p>
        </w:tc>
        <w:tc>
          <w:tcPr>
            <w:tcW w:w="0" w:type="auto"/>
            <w:vAlign w:val="center"/>
            <w:hideMark/>
          </w:tcPr>
          <w:p w14:paraId="1C7885B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28</w:t>
            </w:r>
          </w:p>
        </w:tc>
        <w:tc>
          <w:tcPr>
            <w:tcW w:w="0" w:type="auto"/>
            <w:vAlign w:val="center"/>
            <w:hideMark/>
          </w:tcPr>
          <w:p w14:paraId="56AE3FA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w:t>
            </w:r>
          </w:p>
        </w:tc>
        <w:tc>
          <w:tcPr>
            <w:tcW w:w="0" w:type="auto"/>
            <w:vAlign w:val="center"/>
            <w:hideMark/>
          </w:tcPr>
          <w:p w14:paraId="75CCCDC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Heavily fogged</w:t>
            </w:r>
          </w:p>
        </w:tc>
      </w:tr>
      <w:tr w:rsidR="005446D2" w:rsidRPr="005446D2" w14:paraId="4FB373DA" w14:textId="77777777">
        <w:trPr>
          <w:tblCellSpacing w:w="15" w:type="dxa"/>
        </w:trPr>
        <w:tc>
          <w:tcPr>
            <w:tcW w:w="0" w:type="auto"/>
            <w:vAlign w:val="center"/>
            <w:hideMark/>
          </w:tcPr>
          <w:p w14:paraId="6B9DB30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11/14/2024</w:t>
            </w:r>
          </w:p>
        </w:tc>
        <w:tc>
          <w:tcPr>
            <w:tcW w:w="0" w:type="auto"/>
            <w:vAlign w:val="center"/>
            <w:hideMark/>
          </w:tcPr>
          <w:p w14:paraId="1BEA68C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13:24</w:t>
            </w:r>
          </w:p>
        </w:tc>
        <w:tc>
          <w:tcPr>
            <w:tcW w:w="0" w:type="auto"/>
            <w:vAlign w:val="center"/>
            <w:hideMark/>
          </w:tcPr>
          <w:p w14:paraId="0AC2E56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Milimani</w:t>
            </w:r>
          </w:p>
        </w:tc>
        <w:tc>
          <w:tcPr>
            <w:tcW w:w="0" w:type="auto"/>
            <w:vAlign w:val="center"/>
            <w:hideMark/>
          </w:tcPr>
          <w:p w14:paraId="71E84A7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777E404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Control</w:t>
            </w:r>
          </w:p>
        </w:tc>
        <w:tc>
          <w:tcPr>
            <w:tcW w:w="0" w:type="auto"/>
            <w:vAlign w:val="center"/>
            <w:hideMark/>
          </w:tcPr>
          <w:p w14:paraId="4173C2E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4</w:t>
            </w:r>
          </w:p>
        </w:tc>
        <w:tc>
          <w:tcPr>
            <w:tcW w:w="0" w:type="auto"/>
            <w:vAlign w:val="center"/>
            <w:hideMark/>
          </w:tcPr>
          <w:p w14:paraId="1109B25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6</w:t>
            </w:r>
          </w:p>
        </w:tc>
        <w:tc>
          <w:tcPr>
            <w:tcW w:w="0" w:type="auto"/>
            <w:vAlign w:val="center"/>
            <w:hideMark/>
          </w:tcPr>
          <w:p w14:paraId="3C0AE4C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w:t>
            </w:r>
          </w:p>
        </w:tc>
        <w:tc>
          <w:tcPr>
            <w:tcW w:w="0" w:type="auto"/>
            <w:vAlign w:val="center"/>
            <w:hideMark/>
          </w:tcPr>
          <w:p w14:paraId="08F7A33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1F3CAD8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75D8D66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w:t>
            </w:r>
          </w:p>
        </w:tc>
        <w:tc>
          <w:tcPr>
            <w:tcW w:w="0" w:type="auto"/>
            <w:vAlign w:val="center"/>
            <w:hideMark/>
          </w:tcPr>
          <w:p w14:paraId="1AA5EB2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28</w:t>
            </w:r>
          </w:p>
        </w:tc>
        <w:tc>
          <w:tcPr>
            <w:tcW w:w="0" w:type="auto"/>
            <w:vAlign w:val="center"/>
            <w:hideMark/>
          </w:tcPr>
          <w:p w14:paraId="6A3B512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00A4DCB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r>
      <w:tr w:rsidR="005446D2" w:rsidRPr="005446D2" w14:paraId="341843F4" w14:textId="77777777">
        <w:trPr>
          <w:tblCellSpacing w:w="15" w:type="dxa"/>
        </w:trPr>
        <w:tc>
          <w:tcPr>
            <w:tcW w:w="0" w:type="auto"/>
            <w:vAlign w:val="center"/>
            <w:hideMark/>
          </w:tcPr>
          <w:p w14:paraId="32704E3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11/14/2024</w:t>
            </w:r>
          </w:p>
        </w:tc>
        <w:tc>
          <w:tcPr>
            <w:tcW w:w="0" w:type="auto"/>
            <w:vAlign w:val="center"/>
            <w:hideMark/>
          </w:tcPr>
          <w:p w14:paraId="19752EA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13:36</w:t>
            </w:r>
          </w:p>
        </w:tc>
        <w:tc>
          <w:tcPr>
            <w:tcW w:w="0" w:type="auto"/>
            <w:vAlign w:val="center"/>
            <w:hideMark/>
          </w:tcPr>
          <w:p w14:paraId="3F8BAFF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Utumbi</w:t>
            </w:r>
          </w:p>
        </w:tc>
        <w:tc>
          <w:tcPr>
            <w:tcW w:w="0" w:type="auto"/>
            <w:vAlign w:val="center"/>
            <w:hideMark/>
          </w:tcPr>
          <w:p w14:paraId="6CEB1EE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130E55C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Control</w:t>
            </w:r>
          </w:p>
        </w:tc>
        <w:tc>
          <w:tcPr>
            <w:tcW w:w="0" w:type="auto"/>
            <w:vAlign w:val="center"/>
            <w:hideMark/>
          </w:tcPr>
          <w:p w14:paraId="27FD412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4</w:t>
            </w:r>
          </w:p>
        </w:tc>
        <w:tc>
          <w:tcPr>
            <w:tcW w:w="0" w:type="auto"/>
            <w:vAlign w:val="center"/>
            <w:hideMark/>
          </w:tcPr>
          <w:p w14:paraId="39B9662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6</w:t>
            </w:r>
          </w:p>
        </w:tc>
        <w:tc>
          <w:tcPr>
            <w:tcW w:w="0" w:type="auto"/>
            <w:vAlign w:val="center"/>
            <w:hideMark/>
          </w:tcPr>
          <w:p w14:paraId="1891097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w:t>
            </w:r>
          </w:p>
        </w:tc>
        <w:tc>
          <w:tcPr>
            <w:tcW w:w="0" w:type="auto"/>
            <w:vAlign w:val="center"/>
            <w:hideMark/>
          </w:tcPr>
          <w:p w14:paraId="0F23DFA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6E48254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60CB925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6.6</w:t>
            </w:r>
          </w:p>
        </w:tc>
        <w:tc>
          <w:tcPr>
            <w:tcW w:w="0" w:type="auto"/>
            <w:vAlign w:val="center"/>
            <w:hideMark/>
          </w:tcPr>
          <w:p w14:paraId="7CBA53F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28</w:t>
            </w:r>
          </w:p>
        </w:tc>
        <w:tc>
          <w:tcPr>
            <w:tcW w:w="0" w:type="auto"/>
            <w:vAlign w:val="center"/>
            <w:hideMark/>
          </w:tcPr>
          <w:p w14:paraId="13334F2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w:t>
            </w:r>
          </w:p>
        </w:tc>
        <w:tc>
          <w:tcPr>
            <w:tcW w:w="0" w:type="auto"/>
            <w:vAlign w:val="center"/>
            <w:hideMark/>
          </w:tcPr>
          <w:p w14:paraId="3270FFF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Heavily fogged</w:t>
            </w:r>
          </w:p>
        </w:tc>
      </w:tr>
      <w:tr w:rsidR="005446D2" w:rsidRPr="005446D2" w14:paraId="3DDBBB66" w14:textId="77777777">
        <w:trPr>
          <w:tblCellSpacing w:w="15" w:type="dxa"/>
        </w:trPr>
        <w:tc>
          <w:tcPr>
            <w:tcW w:w="0" w:type="auto"/>
            <w:vAlign w:val="center"/>
            <w:hideMark/>
          </w:tcPr>
          <w:p w14:paraId="21F3BB5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11/15/2024</w:t>
            </w:r>
          </w:p>
        </w:tc>
        <w:tc>
          <w:tcPr>
            <w:tcW w:w="0" w:type="auto"/>
            <w:vAlign w:val="center"/>
            <w:hideMark/>
          </w:tcPr>
          <w:p w14:paraId="1E66A7F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14:31</w:t>
            </w:r>
          </w:p>
        </w:tc>
        <w:tc>
          <w:tcPr>
            <w:tcW w:w="0" w:type="auto"/>
            <w:vAlign w:val="center"/>
            <w:hideMark/>
          </w:tcPr>
          <w:p w14:paraId="63465A6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Milimani</w:t>
            </w:r>
          </w:p>
        </w:tc>
        <w:tc>
          <w:tcPr>
            <w:tcW w:w="0" w:type="auto"/>
            <w:vAlign w:val="center"/>
            <w:hideMark/>
          </w:tcPr>
          <w:p w14:paraId="1D076A6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4088C4D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Control</w:t>
            </w:r>
          </w:p>
        </w:tc>
        <w:tc>
          <w:tcPr>
            <w:tcW w:w="0" w:type="auto"/>
            <w:vAlign w:val="center"/>
            <w:hideMark/>
          </w:tcPr>
          <w:p w14:paraId="59F4F98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w:t>
            </w:r>
          </w:p>
        </w:tc>
        <w:tc>
          <w:tcPr>
            <w:tcW w:w="0" w:type="auto"/>
            <w:vAlign w:val="center"/>
            <w:hideMark/>
          </w:tcPr>
          <w:p w14:paraId="2616509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w:t>
            </w:r>
          </w:p>
        </w:tc>
        <w:tc>
          <w:tcPr>
            <w:tcW w:w="0" w:type="auto"/>
            <w:vAlign w:val="center"/>
            <w:hideMark/>
          </w:tcPr>
          <w:p w14:paraId="411E9DC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w:t>
            </w:r>
          </w:p>
        </w:tc>
        <w:tc>
          <w:tcPr>
            <w:tcW w:w="0" w:type="auto"/>
            <w:vAlign w:val="center"/>
            <w:hideMark/>
          </w:tcPr>
          <w:p w14:paraId="4E989F5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502656C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69DAE4C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5.4</w:t>
            </w:r>
          </w:p>
        </w:tc>
        <w:tc>
          <w:tcPr>
            <w:tcW w:w="0" w:type="auto"/>
            <w:vAlign w:val="center"/>
            <w:hideMark/>
          </w:tcPr>
          <w:p w14:paraId="0D87AF1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28</w:t>
            </w:r>
          </w:p>
        </w:tc>
        <w:tc>
          <w:tcPr>
            <w:tcW w:w="0" w:type="auto"/>
            <w:vAlign w:val="center"/>
            <w:hideMark/>
          </w:tcPr>
          <w:p w14:paraId="2955B8F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58A49B0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r>
      <w:tr w:rsidR="005446D2" w:rsidRPr="005446D2" w14:paraId="6101F59E" w14:textId="77777777">
        <w:trPr>
          <w:tblCellSpacing w:w="15" w:type="dxa"/>
        </w:trPr>
        <w:tc>
          <w:tcPr>
            <w:tcW w:w="0" w:type="auto"/>
            <w:vAlign w:val="center"/>
            <w:hideMark/>
          </w:tcPr>
          <w:p w14:paraId="31B114D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11/15/2024</w:t>
            </w:r>
          </w:p>
        </w:tc>
        <w:tc>
          <w:tcPr>
            <w:tcW w:w="0" w:type="auto"/>
            <w:vAlign w:val="center"/>
            <w:hideMark/>
          </w:tcPr>
          <w:p w14:paraId="71786AD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14:41</w:t>
            </w:r>
          </w:p>
        </w:tc>
        <w:tc>
          <w:tcPr>
            <w:tcW w:w="0" w:type="auto"/>
            <w:vAlign w:val="center"/>
            <w:hideMark/>
          </w:tcPr>
          <w:p w14:paraId="33A6CC6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Utumbi</w:t>
            </w:r>
          </w:p>
        </w:tc>
        <w:tc>
          <w:tcPr>
            <w:tcW w:w="0" w:type="auto"/>
            <w:vAlign w:val="center"/>
            <w:hideMark/>
          </w:tcPr>
          <w:p w14:paraId="20FCB4F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19B7DD0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Control</w:t>
            </w:r>
          </w:p>
        </w:tc>
        <w:tc>
          <w:tcPr>
            <w:tcW w:w="0" w:type="auto"/>
            <w:vAlign w:val="center"/>
            <w:hideMark/>
          </w:tcPr>
          <w:p w14:paraId="3DA7E35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w:t>
            </w:r>
          </w:p>
        </w:tc>
        <w:tc>
          <w:tcPr>
            <w:tcW w:w="0" w:type="auto"/>
            <w:vAlign w:val="center"/>
            <w:hideMark/>
          </w:tcPr>
          <w:p w14:paraId="6CCA1DA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w:t>
            </w:r>
          </w:p>
        </w:tc>
        <w:tc>
          <w:tcPr>
            <w:tcW w:w="0" w:type="auto"/>
            <w:vAlign w:val="center"/>
            <w:hideMark/>
          </w:tcPr>
          <w:p w14:paraId="20DFA83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w:t>
            </w:r>
          </w:p>
        </w:tc>
        <w:tc>
          <w:tcPr>
            <w:tcW w:w="0" w:type="auto"/>
            <w:vAlign w:val="center"/>
            <w:hideMark/>
          </w:tcPr>
          <w:p w14:paraId="3F443FA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384A0FE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0C50F9E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6.3</w:t>
            </w:r>
          </w:p>
        </w:tc>
        <w:tc>
          <w:tcPr>
            <w:tcW w:w="0" w:type="auto"/>
            <w:vAlign w:val="center"/>
            <w:hideMark/>
          </w:tcPr>
          <w:p w14:paraId="198F8C0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28</w:t>
            </w:r>
          </w:p>
        </w:tc>
        <w:tc>
          <w:tcPr>
            <w:tcW w:w="0" w:type="auto"/>
            <w:vAlign w:val="center"/>
            <w:hideMark/>
          </w:tcPr>
          <w:p w14:paraId="32FBA71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w:t>
            </w:r>
          </w:p>
        </w:tc>
        <w:tc>
          <w:tcPr>
            <w:tcW w:w="0" w:type="auto"/>
            <w:vAlign w:val="center"/>
            <w:hideMark/>
          </w:tcPr>
          <w:p w14:paraId="7B46AA5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Heavily fogged</w:t>
            </w:r>
          </w:p>
        </w:tc>
      </w:tr>
      <w:tr w:rsidR="005446D2" w:rsidRPr="005446D2" w14:paraId="6452E90C" w14:textId="77777777">
        <w:trPr>
          <w:tblCellSpacing w:w="15" w:type="dxa"/>
        </w:trPr>
        <w:tc>
          <w:tcPr>
            <w:tcW w:w="0" w:type="auto"/>
            <w:vAlign w:val="center"/>
            <w:hideMark/>
          </w:tcPr>
          <w:p w14:paraId="23388DC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11/24/2024</w:t>
            </w:r>
          </w:p>
        </w:tc>
        <w:tc>
          <w:tcPr>
            <w:tcW w:w="0" w:type="auto"/>
            <w:vAlign w:val="center"/>
            <w:hideMark/>
          </w:tcPr>
          <w:p w14:paraId="4BA4144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10:00</w:t>
            </w:r>
          </w:p>
        </w:tc>
        <w:tc>
          <w:tcPr>
            <w:tcW w:w="0" w:type="auto"/>
            <w:vAlign w:val="center"/>
            <w:hideMark/>
          </w:tcPr>
          <w:p w14:paraId="70AA29A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Milimani</w:t>
            </w:r>
          </w:p>
        </w:tc>
        <w:tc>
          <w:tcPr>
            <w:tcW w:w="0" w:type="auto"/>
            <w:vAlign w:val="center"/>
            <w:hideMark/>
          </w:tcPr>
          <w:p w14:paraId="4B0DBBC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68EA54F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Mackerel</w:t>
            </w:r>
          </w:p>
        </w:tc>
        <w:tc>
          <w:tcPr>
            <w:tcW w:w="0" w:type="auto"/>
            <w:vAlign w:val="center"/>
            <w:hideMark/>
          </w:tcPr>
          <w:p w14:paraId="00C9F84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w:t>
            </w:r>
          </w:p>
        </w:tc>
        <w:tc>
          <w:tcPr>
            <w:tcW w:w="0" w:type="auto"/>
            <w:vAlign w:val="center"/>
            <w:hideMark/>
          </w:tcPr>
          <w:p w14:paraId="5F47456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w:t>
            </w:r>
          </w:p>
        </w:tc>
        <w:tc>
          <w:tcPr>
            <w:tcW w:w="0" w:type="auto"/>
            <w:vAlign w:val="center"/>
            <w:hideMark/>
          </w:tcPr>
          <w:p w14:paraId="4C3ECA2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w:t>
            </w:r>
          </w:p>
        </w:tc>
        <w:tc>
          <w:tcPr>
            <w:tcW w:w="0" w:type="auto"/>
            <w:vAlign w:val="center"/>
            <w:hideMark/>
          </w:tcPr>
          <w:p w14:paraId="1FDD120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7F097FA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7</w:t>
            </w:r>
          </w:p>
        </w:tc>
        <w:tc>
          <w:tcPr>
            <w:tcW w:w="0" w:type="auto"/>
            <w:vAlign w:val="center"/>
            <w:hideMark/>
          </w:tcPr>
          <w:p w14:paraId="2A7396E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4.70</w:t>
            </w:r>
          </w:p>
        </w:tc>
        <w:tc>
          <w:tcPr>
            <w:tcW w:w="0" w:type="auto"/>
            <w:vAlign w:val="center"/>
            <w:hideMark/>
          </w:tcPr>
          <w:p w14:paraId="2F7085A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29</w:t>
            </w:r>
          </w:p>
        </w:tc>
        <w:tc>
          <w:tcPr>
            <w:tcW w:w="0" w:type="auto"/>
            <w:vAlign w:val="center"/>
            <w:hideMark/>
          </w:tcPr>
          <w:p w14:paraId="0AC4A6A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3538EFC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r>
      <w:tr w:rsidR="005446D2" w:rsidRPr="005446D2" w14:paraId="0BF624F8" w14:textId="77777777">
        <w:trPr>
          <w:tblCellSpacing w:w="15" w:type="dxa"/>
        </w:trPr>
        <w:tc>
          <w:tcPr>
            <w:tcW w:w="0" w:type="auto"/>
            <w:vAlign w:val="center"/>
            <w:hideMark/>
          </w:tcPr>
          <w:p w14:paraId="5BC3701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11/24/2024</w:t>
            </w:r>
          </w:p>
        </w:tc>
        <w:tc>
          <w:tcPr>
            <w:tcW w:w="0" w:type="auto"/>
            <w:vAlign w:val="center"/>
            <w:hideMark/>
          </w:tcPr>
          <w:p w14:paraId="73AEF59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10:07</w:t>
            </w:r>
          </w:p>
        </w:tc>
        <w:tc>
          <w:tcPr>
            <w:tcW w:w="0" w:type="auto"/>
            <w:vAlign w:val="center"/>
            <w:hideMark/>
          </w:tcPr>
          <w:p w14:paraId="1A0FC12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Utumbi</w:t>
            </w:r>
          </w:p>
        </w:tc>
        <w:tc>
          <w:tcPr>
            <w:tcW w:w="0" w:type="auto"/>
            <w:vAlign w:val="center"/>
            <w:hideMark/>
          </w:tcPr>
          <w:p w14:paraId="6970AF6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230701C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Mackerel</w:t>
            </w:r>
          </w:p>
        </w:tc>
        <w:tc>
          <w:tcPr>
            <w:tcW w:w="0" w:type="auto"/>
            <w:vAlign w:val="center"/>
            <w:hideMark/>
          </w:tcPr>
          <w:p w14:paraId="5EDB071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w:t>
            </w:r>
          </w:p>
        </w:tc>
        <w:tc>
          <w:tcPr>
            <w:tcW w:w="0" w:type="auto"/>
            <w:vAlign w:val="center"/>
            <w:hideMark/>
          </w:tcPr>
          <w:p w14:paraId="13AB6C6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w:t>
            </w:r>
          </w:p>
        </w:tc>
        <w:tc>
          <w:tcPr>
            <w:tcW w:w="0" w:type="auto"/>
            <w:vAlign w:val="center"/>
            <w:hideMark/>
          </w:tcPr>
          <w:p w14:paraId="326B432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w:t>
            </w:r>
          </w:p>
        </w:tc>
        <w:tc>
          <w:tcPr>
            <w:tcW w:w="0" w:type="auto"/>
            <w:vAlign w:val="center"/>
            <w:hideMark/>
          </w:tcPr>
          <w:p w14:paraId="57FAFEE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53130EA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12</w:t>
            </w:r>
          </w:p>
        </w:tc>
        <w:tc>
          <w:tcPr>
            <w:tcW w:w="0" w:type="auto"/>
            <w:vAlign w:val="center"/>
            <w:hideMark/>
          </w:tcPr>
          <w:p w14:paraId="1D2547B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5.7</w:t>
            </w:r>
          </w:p>
        </w:tc>
        <w:tc>
          <w:tcPr>
            <w:tcW w:w="0" w:type="auto"/>
            <w:vAlign w:val="center"/>
            <w:hideMark/>
          </w:tcPr>
          <w:p w14:paraId="3A3C789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29</w:t>
            </w:r>
          </w:p>
        </w:tc>
        <w:tc>
          <w:tcPr>
            <w:tcW w:w="0" w:type="auto"/>
            <w:vAlign w:val="center"/>
            <w:hideMark/>
          </w:tcPr>
          <w:p w14:paraId="3CEC100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w:t>
            </w:r>
          </w:p>
        </w:tc>
        <w:tc>
          <w:tcPr>
            <w:tcW w:w="0" w:type="auto"/>
            <w:vAlign w:val="center"/>
            <w:hideMark/>
          </w:tcPr>
          <w:p w14:paraId="472FB31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Heavily fogged</w:t>
            </w:r>
          </w:p>
        </w:tc>
      </w:tr>
      <w:tr w:rsidR="005446D2" w:rsidRPr="005446D2" w14:paraId="781C7ED4" w14:textId="77777777">
        <w:trPr>
          <w:tblCellSpacing w:w="15" w:type="dxa"/>
        </w:trPr>
        <w:tc>
          <w:tcPr>
            <w:tcW w:w="0" w:type="auto"/>
            <w:vAlign w:val="center"/>
            <w:hideMark/>
          </w:tcPr>
          <w:p w14:paraId="7CF4E6A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11/27/2024</w:t>
            </w:r>
          </w:p>
        </w:tc>
        <w:tc>
          <w:tcPr>
            <w:tcW w:w="0" w:type="auto"/>
            <w:vAlign w:val="center"/>
            <w:hideMark/>
          </w:tcPr>
          <w:p w14:paraId="5A40929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13:30</w:t>
            </w:r>
          </w:p>
        </w:tc>
        <w:tc>
          <w:tcPr>
            <w:tcW w:w="0" w:type="auto"/>
            <w:vAlign w:val="center"/>
            <w:hideMark/>
          </w:tcPr>
          <w:p w14:paraId="7A449E7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Milimani</w:t>
            </w:r>
          </w:p>
        </w:tc>
        <w:tc>
          <w:tcPr>
            <w:tcW w:w="0" w:type="auto"/>
            <w:vAlign w:val="center"/>
            <w:hideMark/>
          </w:tcPr>
          <w:p w14:paraId="358045D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1504712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Sargassum</w:t>
            </w:r>
          </w:p>
        </w:tc>
        <w:tc>
          <w:tcPr>
            <w:tcW w:w="0" w:type="auto"/>
            <w:vAlign w:val="center"/>
            <w:hideMark/>
          </w:tcPr>
          <w:p w14:paraId="6676689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w:t>
            </w:r>
          </w:p>
        </w:tc>
        <w:tc>
          <w:tcPr>
            <w:tcW w:w="0" w:type="auto"/>
            <w:vAlign w:val="center"/>
            <w:hideMark/>
          </w:tcPr>
          <w:p w14:paraId="67967CB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6</w:t>
            </w:r>
          </w:p>
        </w:tc>
        <w:tc>
          <w:tcPr>
            <w:tcW w:w="0" w:type="auto"/>
            <w:vAlign w:val="center"/>
            <w:hideMark/>
          </w:tcPr>
          <w:p w14:paraId="133C0E0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w:t>
            </w:r>
          </w:p>
        </w:tc>
        <w:tc>
          <w:tcPr>
            <w:tcW w:w="0" w:type="auto"/>
            <w:vAlign w:val="center"/>
            <w:hideMark/>
          </w:tcPr>
          <w:p w14:paraId="01F2818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4F5EE15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05F8B32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5.00</w:t>
            </w:r>
          </w:p>
        </w:tc>
        <w:tc>
          <w:tcPr>
            <w:tcW w:w="0" w:type="auto"/>
            <w:vAlign w:val="center"/>
            <w:hideMark/>
          </w:tcPr>
          <w:p w14:paraId="30FD03F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29</w:t>
            </w:r>
          </w:p>
        </w:tc>
        <w:tc>
          <w:tcPr>
            <w:tcW w:w="0" w:type="auto"/>
            <w:vAlign w:val="center"/>
            <w:hideMark/>
          </w:tcPr>
          <w:p w14:paraId="758E8BD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7897F19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r>
      <w:tr w:rsidR="005446D2" w:rsidRPr="005446D2" w14:paraId="08A6BEED" w14:textId="77777777">
        <w:trPr>
          <w:tblCellSpacing w:w="15" w:type="dxa"/>
        </w:trPr>
        <w:tc>
          <w:tcPr>
            <w:tcW w:w="0" w:type="auto"/>
            <w:vAlign w:val="center"/>
            <w:hideMark/>
          </w:tcPr>
          <w:p w14:paraId="783A7BC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11/27/2024</w:t>
            </w:r>
          </w:p>
        </w:tc>
        <w:tc>
          <w:tcPr>
            <w:tcW w:w="0" w:type="auto"/>
            <w:vAlign w:val="center"/>
            <w:hideMark/>
          </w:tcPr>
          <w:p w14:paraId="76AB8FB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13:36</w:t>
            </w:r>
          </w:p>
        </w:tc>
        <w:tc>
          <w:tcPr>
            <w:tcW w:w="0" w:type="auto"/>
            <w:vAlign w:val="center"/>
            <w:hideMark/>
          </w:tcPr>
          <w:p w14:paraId="2EB5DE5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Utumbi</w:t>
            </w:r>
          </w:p>
        </w:tc>
        <w:tc>
          <w:tcPr>
            <w:tcW w:w="0" w:type="auto"/>
            <w:vAlign w:val="center"/>
            <w:hideMark/>
          </w:tcPr>
          <w:p w14:paraId="121E73C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354BCB5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Sargassum</w:t>
            </w:r>
          </w:p>
        </w:tc>
        <w:tc>
          <w:tcPr>
            <w:tcW w:w="0" w:type="auto"/>
            <w:vAlign w:val="center"/>
            <w:hideMark/>
          </w:tcPr>
          <w:p w14:paraId="37C5B29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w:t>
            </w:r>
          </w:p>
        </w:tc>
        <w:tc>
          <w:tcPr>
            <w:tcW w:w="0" w:type="auto"/>
            <w:vAlign w:val="center"/>
            <w:hideMark/>
          </w:tcPr>
          <w:p w14:paraId="3660EB6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6</w:t>
            </w:r>
          </w:p>
        </w:tc>
        <w:tc>
          <w:tcPr>
            <w:tcW w:w="0" w:type="auto"/>
            <w:vAlign w:val="center"/>
            <w:hideMark/>
          </w:tcPr>
          <w:p w14:paraId="3F32954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w:t>
            </w:r>
          </w:p>
        </w:tc>
        <w:tc>
          <w:tcPr>
            <w:tcW w:w="0" w:type="auto"/>
            <w:vAlign w:val="center"/>
            <w:hideMark/>
          </w:tcPr>
          <w:p w14:paraId="1295584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066857F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6C034CB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5.80</w:t>
            </w:r>
          </w:p>
        </w:tc>
        <w:tc>
          <w:tcPr>
            <w:tcW w:w="0" w:type="auto"/>
            <w:vAlign w:val="center"/>
            <w:hideMark/>
          </w:tcPr>
          <w:p w14:paraId="55A3B65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29</w:t>
            </w:r>
          </w:p>
        </w:tc>
        <w:tc>
          <w:tcPr>
            <w:tcW w:w="0" w:type="auto"/>
            <w:vAlign w:val="center"/>
            <w:hideMark/>
          </w:tcPr>
          <w:p w14:paraId="0498078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w:t>
            </w:r>
          </w:p>
        </w:tc>
        <w:tc>
          <w:tcPr>
            <w:tcW w:w="0" w:type="auto"/>
            <w:vAlign w:val="center"/>
            <w:hideMark/>
          </w:tcPr>
          <w:p w14:paraId="57663FB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r>
      <w:tr w:rsidR="005446D2" w:rsidRPr="005446D2" w14:paraId="62BCD4AD" w14:textId="77777777">
        <w:trPr>
          <w:tblCellSpacing w:w="15" w:type="dxa"/>
        </w:trPr>
        <w:tc>
          <w:tcPr>
            <w:tcW w:w="0" w:type="auto"/>
            <w:vAlign w:val="center"/>
            <w:hideMark/>
          </w:tcPr>
          <w:p w14:paraId="7FF7381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11/28/2024</w:t>
            </w:r>
          </w:p>
        </w:tc>
        <w:tc>
          <w:tcPr>
            <w:tcW w:w="0" w:type="auto"/>
            <w:vAlign w:val="center"/>
            <w:hideMark/>
          </w:tcPr>
          <w:p w14:paraId="4A302B8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13:39</w:t>
            </w:r>
          </w:p>
        </w:tc>
        <w:tc>
          <w:tcPr>
            <w:tcW w:w="0" w:type="auto"/>
            <w:vAlign w:val="center"/>
            <w:hideMark/>
          </w:tcPr>
          <w:p w14:paraId="35023A5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Milimani</w:t>
            </w:r>
          </w:p>
        </w:tc>
        <w:tc>
          <w:tcPr>
            <w:tcW w:w="0" w:type="auto"/>
            <w:vAlign w:val="center"/>
            <w:hideMark/>
          </w:tcPr>
          <w:p w14:paraId="3185488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613CB8A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Sargassum</w:t>
            </w:r>
          </w:p>
        </w:tc>
        <w:tc>
          <w:tcPr>
            <w:tcW w:w="0" w:type="auto"/>
            <w:vAlign w:val="center"/>
            <w:hideMark/>
          </w:tcPr>
          <w:p w14:paraId="7185262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4</w:t>
            </w:r>
          </w:p>
        </w:tc>
        <w:tc>
          <w:tcPr>
            <w:tcW w:w="0" w:type="auto"/>
            <w:vAlign w:val="center"/>
            <w:hideMark/>
          </w:tcPr>
          <w:p w14:paraId="1C1487B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6</w:t>
            </w:r>
          </w:p>
        </w:tc>
        <w:tc>
          <w:tcPr>
            <w:tcW w:w="0" w:type="auto"/>
            <w:vAlign w:val="center"/>
            <w:hideMark/>
          </w:tcPr>
          <w:p w14:paraId="5AA68B0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w:t>
            </w:r>
          </w:p>
        </w:tc>
        <w:tc>
          <w:tcPr>
            <w:tcW w:w="0" w:type="auto"/>
            <w:vAlign w:val="center"/>
            <w:hideMark/>
          </w:tcPr>
          <w:p w14:paraId="42319EA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04A0759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1ACAE9A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c>
          <w:tcPr>
            <w:tcW w:w="0" w:type="auto"/>
            <w:vAlign w:val="center"/>
            <w:hideMark/>
          </w:tcPr>
          <w:p w14:paraId="7573A64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29</w:t>
            </w:r>
          </w:p>
        </w:tc>
        <w:tc>
          <w:tcPr>
            <w:tcW w:w="0" w:type="auto"/>
            <w:vAlign w:val="center"/>
            <w:hideMark/>
          </w:tcPr>
          <w:p w14:paraId="70BEEB7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675C808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r>
      <w:tr w:rsidR="005446D2" w:rsidRPr="005446D2" w14:paraId="2C9C72A2" w14:textId="77777777">
        <w:trPr>
          <w:tblCellSpacing w:w="15" w:type="dxa"/>
        </w:trPr>
        <w:tc>
          <w:tcPr>
            <w:tcW w:w="0" w:type="auto"/>
            <w:vAlign w:val="center"/>
            <w:hideMark/>
          </w:tcPr>
          <w:p w14:paraId="0137CBD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11/28/2024</w:t>
            </w:r>
          </w:p>
        </w:tc>
        <w:tc>
          <w:tcPr>
            <w:tcW w:w="0" w:type="auto"/>
            <w:vAlign w:val="center"/>
            <w:hideMark/>
          </w:tcPr>
          <w:p w14:paraId="5492B1A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13:55</w:t>
            </w:r>
          </w:p>
        </w:tc>
        <w:tc>
          <w:tcPr>
            <w:tcW w:w="0" w:type="auto"/>
            <w:vAlign w:val="center"/>
            <w:hideMark/>
          </w:tcPr>
          <w:p w14:paraId="1AB6D56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Utumbi</w:t>
            </w:r>
          </w:p>
        </w:tc>
        <w:tc>
          <w:tcPr>
            <w:tcW w:w="0" w:type="auto"/>
            <w:vAlign w:val="center"/>
            <w:hideMark/>
          </w:tcPr>
          <w:p w14:paraId="73266F8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2492032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Sargassum</w:t>
            </w:r>
          </w:p>
        </w:tc>
        <w:tc>
          <w:tcPr>
            <w:tcW w:w="0" w:type="auto"/>
            <w:vAlign w:val="center"/>
            <w:hideMark/>
          </w:tcPr>
          <w:p w14:paraId="108F0EE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4</w:t>
            </w:r>
          </w:p>
        </w:tc>
        <w:tc>
          <w:tcPr>
            <w:tcW w:w="0" w:type="auto"/>
            <w:vAlign w:val="center"/>
            <w:hideMark/>
          </w:tcPr>
          <w:p w14:paraId="5B3AE4A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6</w:t>
            </w:r>
          </w:p>
        </w:tc>
        <w:tc>
          <w:tcPr>
            <w:tcW w:w="0" w:type="auto"/>
            <w:vAlign w:val="center"/>
            <w:hideMark/>
          </w:tcPr>
          <w:p w14:paraId="7D62610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w:t>
            </w:r>
          </w:p>
        </w:tc>
        <w:tc>
          <w:tcPr>
            <w:tcW w:w="0" w:type="auto"/>
            <w:vAlign w:val="center"/>
            <w:hideMark/>
          </w:tcPr>
          <w:p w14:paraId="423180F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002D76C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6B31504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c>
          <w:tcPr>
            <w:tcW w:w="0" w:type="auto"/>
            <w:vAlign w:val="center"/>
            <w:hideMark/>
          </w:tcPr>
          <w:p w14:paraId="5DE0C9C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29</w:t>
            </w:r>
          </w:p>
        </w:tc>
        <w:tc>
          <w:tcPr>
            <w:tcW w:w="0" w:type="auto"/>
            <w:vAlign w:val="center"/>
            <w:hideMark/>
          </w:tcPr>
          <w:p w14:paraId="13A9720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w:t>
            </w:r>
          </w:p>
        </w:tc>
        <w:tc>
          <w:tcPr>
            <w:tcW w:w="0" w:type="auto"/>
            <w:vAlign w:val="center"/>
            <w:hideMark/>
          </w:tcPr>
          <w:p w14:paraId="6688E3E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r>
      <w:tr w:rsidR="005446D2" w:rsidRPr="005446D2" w14:paraId="272644EE" w14:textId="77777777">
        <w:trPr>
          <w:tblCellSpacing w:w="15" w:type="dxa"/>
        </w:trPr>
        <w:tc>
          <w:tcPr>
            <w:tcW w:w="0" w:type="auto"/>
            <w:vAlign w:val="center"/>
            <w:hideMark/>
          </w:tcPr>
          <w:p w14:paraId="08E6768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11/29/2024</w:t>
            </w:r>
          </w:p>
        </w:tc>
        <w:tc>
          <w:tcPr>
            <w:tcW w:w="0" w:type="auto"/>
            <w:vAlign w:val="center"/>
            <w:hideMark/>
          </w:tcPr>
          <w:p w14:paraId="0C5E3CC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14:51</w:t>
            </w:r>
          </w:p>
        </w:tc>
        <w:tc>
          <w:tcPr>
            <w:tcW w:w="0" w:type="auto"/>
            <w:vAlign w:val="center"/>
            <w:hideMark/>
          </w:tcPr>
          <w:p w14:paraId="164DDA4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Milimani</w:t>
            </w:r>
          </w:p>
        </w:tc>
        <w:tc>
          <w:tcPr>
            <w:tcW w:w="0" w:type="auto"/>
            <w:vAlign w:val="center"/>
            <w:hideMark/>
          </w:tcPr>
          <w:p w14:paraId="43BAF28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75F671F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Sargassum</w:t>
            </w:r>
          </w:p>
        </w:tc>
        <w:tc>
          <w:tcPr>
            <w:tcW w:w="0" w:type="auto"/>
            <w:vAlign w:val="center"/>
            <w:hideMark/>
          </w:tcPr>
          <w:p w14:paraId="0A7E090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w:t>
            </w:r>
          </w:p>
        </w:tc>
        <w:tc>
          <w:tcPr>
            <w:tcW w:w="0" w:type="auto"/>
            <w:vAlign w:val="center"/>
            <w:hideMark/>
          </w:tcPr>
          <w:p w14:paraId="202D7A0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w:t>
            </w:r>
          </w:p>
        </w:tc>
        <w:tc>
          <w:tcPr>
            <w:tcW w:w="0" w:type="auto"/>
            <w:vAlign w:val="center"/>
            <w:hideMark/>
          </w:tcPr>
          <w:p w14:paraId="0BB0587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w:t>
            </w:r>
          </w:p>
        </w:tc>
        <w:tc>
          <w:tcPr>
            <w:tcW w:w="0" w:type="auto"/>
            <w:vAlign w:val="center"/>
            <w:hideMark/>
          </w:tcPr>
          <w:p w14:paraId="073F480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21BA996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15</w:t>
            </w:r>
          </w:p>
        </w:tc>
        <w:tc>
          <w:tcPr>
            <w:tcW w:w="0" w:type="auto"/>
            <w:vAlign w:val="center"/>
            <w:hideMark/>
          </w:tcPr>
          <w:p w14:paraId="0E9C812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c>
          <w:tcPr>
            <w:tcW w:w="0" w:type="auto"/>
            <w:vAlign w:val="center"/>
            <w:hideMark/>
          </w:tcPr>
          <w:p w14:paraId="2513827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29</w:t>
            </w:r>
          </w:p>
        </w:tc>
        <w:tc>
          <w:tcPr>
            <w:tcW w:w="0" w:type="auto"/>
            <w:vAlign w:val="center"/>
            <w:hideMark/>
          </w:tcPr>
          <w:p w14:paraId="788206F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2F533BB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r>
      <w:tr w:rsidR="005446D2" w:rsidRPr="005446D2" w14:paraId="4201BC2D" w14:textId="77777777">
        <w:trPr>
          <w:tblCellSpacing w:w="15" w:type="dxa"/>
        </w:trPr>
        <w:tc>
          <w:tcPr>
            <w:tcW w:w="0" w:type="auto"/>
            <w:vAlign w:val="center"/>
            <w:hideMark/>
          </w:tcPr>
          <w:p w14:paraId="022F1E7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lastRenderedPageBreak/>
              <w:t>11/29/2024</w:t>
            </w:r>
          </w:p>
        </w:tc>
        <w:tc>
          <w:tcPr>
            <w:tcW w:w="0" w:type="auto"/>
            <w:vAlign w:val="center"/>
            <w:hideMark/>
          </w:tcPr>
          <w:p w14:paraId="64B0004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15:00</w:t>
            </w:r>
          </w:p>
        </w:tc>
        <w:tc>
          <w:tcPr>
            <w:tcW w:w="0" w:type="auto"/>
            <w:vAlign w:val="center"/>
            <w:hideMark/>
          </w:tcPr>
          <w:p w14:paraId="4F06E60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Utumbi</w:t>
            </w:r>
          </w:p>
        </w:tc>
        <w:tc>
          <w:tcPr>
            <w:tcW w:w="0" w:type="auto"/>
            <w:vAlign w:val="center"/>
            <w:hideMark/>
          </w:tcPr>
          <w:p w14:paraId="56B47E2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65587A8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Sargassum</w:t>
            </w:r>
          </w:p>
        </w:tc>
        <w:tc>
          <w:tcPr>
            <w:tcW w:w="0" w:type="auto"/>
            <w:vAlign w:val="center"/>
            <w:hideMark/>
          </w:tcPr>
          <w:p w14:paraId="0E62720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w:t>
            </w:r>
          </w:p>
        </w:tc>
        <w:tc>
          <w:tcPr>
            <w:tcW w:w="0" w:type="auto"/>
            <w:vAlign w:val="center"/>
            <w:hideMark/>
          </w:tcPr>
          <w:p w14:paraId="71BC50B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w:t>
            </w:r>
          </w:p>
        </w:tc>
        <w:tc>
          <w:tcPr>
            <w:tcW w:w="0" w:type="auto"/>
            <w:vAlign w:val="center"/>
            <w:hideMark/>
          </w:tcPr>
          <w:p w14:paraId="6071CA8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w:t>
            </w:r>
          </w:p>
        </w:tc>
        <w:tc>
          <w:tcPr>
            <w:tcW w:w="0" w:type="auto"/>
            <w:vAlign w:val="center"/>
            <w:hideMark/>
          </w:tcPr>
          <w:p w14:paraId="0873B10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595B296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15</w:t>
            </w:r>
          </w:p>
        </w:tc>
        <w:tc>
          <w:tcPr>
            <w:tcW w:w="0" w:type="auto"/>
            <w:vAlign w:val="center"/>
            <w:hideMark/>
          </w:tcPr>
          <w:p w14:paraId="1950B97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c>
          <w:tcPr>
            <w:tcW w:w="0" w:type="auto"/>
            <w:vAlign w:val="center"/>
            <w:hideMark/>
          </w:tcPr>
          <w:p w14:paraId="48E83B5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29</w:t>
            </w:r>
          </w:p>
        </w:tc>
        <w:tc>
          <w:tcPr>
            <w:tcW w:w="0" w:type="auto"/>
            <w:vAlign w:val="center"/>
            <w:hideMark/>
          </w:tcPr>
          <w:p w14:paraId="103A218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2125CBA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r>
      <w:tr w:rsidR="005446D2" w:rsidRPr="005446D2" w14:paraId="3C47A415" w14:textId="77777777">
        <w:trPr>
          <w:tblCellSpacing w:w="15" w:type="dxa"/>
        </w:trPr>
        <w:tc>
          <w:tcPr>
            <w:tcW w:w="0" w:type="auto"/>
            <w:vAlign w:val="center"/>
            <w:hideMark/>
          </w:tcPr>
          <w:p w14:paraId="579CD84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12/04/2024</w:t>
            </w:r>
          </w:p>
        </w:tc>
        <w:tc>
          <w:tcPr>
            <w:tcW w:w="0" w:type="auto"/>
            <w:vAlign w:val="center"/>
            <w:hideMark/>
          </w:tcPr>
          <w:p w14:paraId="3721CBA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10:53</w:t>
            </w:r>
          </w:p>
        </w:tc>
        <w:tc>
          <w:tcPr>
            <w:tcW w:w="0" w:type="auto"/>
            <w:vAlign w:val="center"/>
            <w:hideMark/>
          </w:tcPr>
          <w:p w14:paraId="268F61F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Chole Nursery</w:t>
            </w:r>
          </w:p>
        </w:tc>
        <w:tc>
          <w:tcPr>
            <w:tcW w:w="0" w:type="auto"/>
            <w:vAlign w:val="center"/>
            <w:hideMark/>
          </w:tcPr>
          <w:p w14:paraId="65AD604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L</w:t>
            </w:r>
          </w:p>
        </w:tc>
        <w:tc>
          <w:tcPr>
            <w:tcW w:w="0" w:type="auto"/>
            <w:vAlign w:val="center"/>
            <w:hideMark/>
          </w:tcPr>
          <w:p w14:paraId="4754263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Algae Strings</w:t>
            </w:r>
          </w:p>
        </w:tc>
        <w:tc>
          <w:tcPr>
            <w:tcW w:w="0" w:type="auto"/>
            <w:vAlign w:val="center"/>
            <w:hideMark/>
          </w:tcPr>
          <w:p w14:paraId="024AE75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0E98F86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1D7D4E9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w:t>
            </w:r>
          </w:p>
        </w:tc>
        <w:tc>
          <w:tcPr>
            <w:tcW w:w="0" w:type="auto"/>
            <w:vAlign w:val="center"/>
            <w:hideMark/>
          </w:tcPr>
          <w:p w14:paraId="6B3C23C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w:t>
            </w:r>
          </w:p>
        </w:tc>
        <w:tc>
          <w:tcPr>
            <w:tcW w:w="0" w:type="auto"/>
            <w:vAlign w:val="center"/>
            <w:hideMark/>
          </w:tcPr>
          <w:p w14:paraId="7D34B8D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w:t>
            </w:r>
          </w:p>
        </w:tc>
        <w:tc>
          <w:tcPr>
            <w:tcW w:w="0" w:type="auto"/>
            <w:vAlign w:val="center"/>
            <w:hideMark/>
          </w:tcPr>
          <w:p w14:paraId="6AA3272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c>
          <w:tcPr>
            <w:tcW w:w="0" w:type="auto"/>
            <w:vAlign w:val="center"/>
            <w:hideMark/>
          </w:tcPr>
          <w:p w14:paraId="10210AE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29</w:t>
            </w:r>
          </w:p>
        </w:tc>
        <w:tc>
          <w:tcPr>
            <w:tcW w:w="0" w:type="auto"/>
            <w:vAlign w:val="center"/>
            <w:hideMark/>
          </w:tcPr>
          <w:p w14:paraId="5EAC520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13D3B80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Fewer activity after algae gone</w:t>
            </w:r>
          </w:p>
        </w:tc>
      </w:tr>
      <w:tr w:rsidR="005446D2" w:rsidRPr="005446D2" w14:paraId="1869E47B" w14:textId="77777777">
        <w:trPr>
          <w:tblCellSpacing w:w="15" w:type="dxa"/>
        </w:trPr>
        <w:tc>
          <w:tcPr>
            <w:tcW w:w="0" w:type="auto"/>
            <w:vAlign w:val="center"/>
            <w:hideMark/>
          </w:tcPr>
          <w:p w14:paraId="236E94A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12/05/2024</w:t>
            </w:r>
          </w:p>
        </w:tc>
        <w:tc>
          <w:tcPr>
            <w:tcW w:w="0" w:type="auto"/>
            <w:vAlign w:val="center"/>
            <w:hideMark/>
          </w:tcPr>
          <w:p w14:paraId="644A323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11:20</w:t>
            </w:r>
          </w:p>
        </w:tc>
        <w:tc>
          <w:tcPr>
            <w:tcW w:w="0" w:type="auto"/>
            <w:vAlign w:val="center"/>
            <w:hideMark/>
          </w:tcPr>
          <w:p w14:paraId="0D748C5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Chole Nursery</w:t>
            </w:r>
          </w:p>
        </w:tc>
        <w:tc>
          <w:tcPr>
            <w:tcW w:w="0" w:type="auto"/>
            <w:vAlign w:val="center"/>
            <w:hideMark/>
          </w:tcPr>
          <w:p w14:paraId="4B38E03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L</w:t>
            </w:r>
          </w:p>
        </w:tc>
        <w:tc>
          <w:tcPr>
            <w:tcW w:w="0" w:type="auto"/>
            <w:vAlign w:val="center"/>
            <w:hideMark/>
          </w:tcPr>
          <w:p w14:paraId="5FFD719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Algae Strings</w:t>
            </w:r>
          </w:p>
        </w:tc>
        <w:tc>
          <w:tcPr>
            <w:tcW w:w="0" w:type="auto"/>
            <w:vAlign w:val="center"/>
            <w:hideMark/>
          </w:tcPr>
          <w:p w14:paraId="18FAC99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w:t>
            </w:r>
          </w:p>
        </w:tc>
        <w:tc>
          <w:tcPr>
            <w:tcW w:w="0" w:type="auto"/>
            <w:vAlign w:val="center"/>
            <w:hideMark/>
          </w:tcPr>
          <w:p w14:paraId="6814F16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w:t>
            </w:r>
          </w:p>
        </w:tc>
        <w:tc>
          <w:tcPr>
            <w:tcW w:w="0" w:type="auto"/>
            <w:vAlign w:val="center"/>
            <w:hideMark/>
          </w:tcPr>
          <w:p w14:paraId="067F1D0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w:t>
            </w:r>
          </w:p>
        </w:tc>
        <w:tc>
          <w:tcPr>
            <w:tcW w:w="0" w:type="auto"/>
            <w:vAlign w:val="center"/>
            <w:hideMark/>
          </w:tcPr>
          <w:p w14:paraId="55891FA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08905DE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w:t>
            </w:r>
          </w:p>
        </w:tc>
        <w:tc>
          <w:tcPr>
            <w:tcW w:w="0" w:type="auto"/>
            <w:vAlign w:val="center"/>
            <w:hideMark/>
          </w:tcPr>
          <w:p w14:paraId="256E3F2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c>
          <w:tcPr>
            <w:tcW w:w="0" w:type="auto"/>
            <w:vAlign w:val="center"/>
            <w:hideMark/>
          </w:tcPr>
          <w:p w14:paraId="1179A0C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29</w:t>
            </w:r>
          </w:p>
        </w:tc>
        <w:tc>
          <w:tcPr>
            <w:tcW w:w="0" w:type="auto"/>
            <w:vAlign w:val="center"/>
            <w:hideMark/>
          </w:tcPr>
          <w:p w14:paraId="02198B1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28F9F64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r>
      <w:tr w:rsidR="005446D2" w:rsidRPr="005446D2" w14:paraId="4DB560C6" w14:textId="77777777">
        <w:trPr>
          <w:tblCellSpacing w:w="15" w:type="dxa"/>
        </w:trPr>
        <w:tc>
          <w:tcPr>
            <w:tcW w:w="0" w:type="auto"/>
            <w:vAlign w:val="center"/>
            <w:hideMark/>
          </w:tcPr>
          <w:p w14:paraId="316EEF4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12/06/2024</w:t>
            </w:r>
          </w:p>
        </w:tc>
        <w:tc>
          <w:tcPr>
            <w:tcW w:w="0" w:type="auto"/>
            <w:vAlign w:val="center"/>
            <w:hideMark/>
          </w:tcPr>
          <w:p w14:paraId="07DDE07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12:00</w:t>
            </w:r>
          </w:p>
        </w:tc>
        <w:tc>
          <w:tcPr>
            <w:tcW w:w="0" w:type="auto"/>
            <w:vAlign w:val="center"/>
            <w:hideMark/>
          </w:tcPr>
          <w:p w14:paraId="65F90A1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Chole Nursery</w:t>
            </w:r>
          </w:p>
        </w:tc>
        <w:tc>
          <w:tcPr>
            <w:tcW w:w="0" w:type="auto"/>
            <w:vAlign w:val="center"/>
            <w:hideMark/>
          </w:tcPr>
          <w:p w14:paraId="1E063FC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L</w:t>
            </w:r>
          </w:p>
        </w:tc>
        <w:tc>
          <w:tcPr>
            <w:tcW w:w="0" w:type="auto"/>
            <w:vAlign w:val="center"/>
            <w:hideMark/>
          </w:tcPr>
          <w:p w14:paraId="70C85F3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Algae Strings</w:t>
            </w:r>
          </w:p>
        </w:tc>
        <w:tc>
          <w:tcPr>
            <w:tcW w:w="0" w:type="auto"/>
            <w:vAlign w:val="center"/>
            <w:hideMark/>
          </w:tcPr>
          <w:p w14:paraId="51F9E99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7</w:t>
            </w:r>
          </w:p>
        </w:tc>
        <w:tc>
          <w:tcPr>
            <w:tcW w:w="0" w:type="auto"/>
            <w:vAlign w:val="center"/>
            <w:hideMark/>
          </w:tcPr>
          <w:p w14:paraId="7B82543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w:t>
            </w:r>
          </w:p>
        </w:tc>
        <w:tc>
          <w:tcPr>
            <w:tcW w:w="0" w:type="auto"/>
            <w:vAlign w:val="center"/>
            <w:hideMark/>
          </w:tcPr>
          <w:p w14:paraId="51E4A09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4</w:t>
            </w:r>
          </w:p>
        </w:tc>
        <w:tc>
          <w:tcPr>
            <w:tcW w:w="0" w:type="auto"/>
            <w:vAlign w:val="center"/>
            <w:hideMark/>
          </w:tcPr>
          <w:p w14:paraId="4AF16AB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w:t>
            </w:r>
          </w:p>
        </w:tc>
        <w:tc>
          <w:tcPr>
            <w:tcW w:w="0" w:type="auto"/>
            <w:vAlign w:val="center"/>
            <w:hideMark/>
          </w:tcPr>
          <w:p w14:paraId="2A98C31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w:t>
            </w:r>
          </w:p>
        </w:tc>
        <w:tc>
          <w:tcPr>
            <w:tcW w:w="0" w:type="auto"/>
            <w:vAlign w:val="center"/>
            <w:hideMark/>
          </w:tcPr>
          <w:p w14:paraId="4181B29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c>
          <w:tcPr>
            <w:tcW w:w="0" w:type="auto"/>
            <w:vAlign w:val="center"/>
            <w:hideMark/>
          </w:tcPr>
          <w:p w14:paraId="27ADCF4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29</w:t>
            </w:r>
          </w:p>
        </w:tc>
        <w:tc>
          <w:tcPr>
            <w:tcW w:w="0" w:type="auto"/>
            <w:vAlign w:val="center"/>
            <w:hideMark/>
          </w:tcPr>
          <w:p w14:paraId="51F6CBD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03F79FA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r>
      <w:tr w:rsidR="005446D2" w:rsidRPr="005446D2" w14:paraId="31B88E54" w14:textId="77777777">
        <w:trPr>
          <w:tblCellSpacing w:w="15" w:type="dxa"/>
        </w:trPr>
        <w:tc>
          <w:tcPr>
            <w:tcW w:w="0" w:type="auto"/>
            <w:vAlign w:val="center"/>
            <w:hideMark/>
          </w:tcPr>
          <w:p w14:paraId="424E7D3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12/08/2024</w:t>
            </w:r>
          </w:p>
        </w:tc>
        <w:tc>
          <w:tcPr>
            <w:tcW w:w="0" w:type="auto"/>
            <w:vAlign w:val="center"/>
            <w:hideMark/>
          </w:tcPr>
          <w:p w14:paraId="5826BFC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13:10</w:t>
            </w:r>
          </w:p>
        </w:tc>
        <w:tc>
          <w:tcPr>
            <w:tcW w:w="0" w:type="auto"/>
            <w:vAlign w:val="center"/>
            <w:hideMark/>
          </w:tcPr>
          <w:p w14:paraId="61975D5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Chole Nursery</w:t>
            </w:r>
          </w:p>
        </w:tc>
        <w:tc>
          <w:tcPr>
            <w:tcW w:w="0" w:type="auto"/>
            <w:vAlign w:val="center"/>
            <w:hideMark/>
          </w:tcPr>
          <w:p w14:paraId="06E42FE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L</w:t>
            </w:r>
          </w:p>
        </w:tc>
        <w:tc>
          <w:tcPr>
            <w:tcW w:w="0" w:type="auto"/>
            <w:vAlign w:val="center"/>
            <w:hideMark/>
          </w:tcPr>
          <w:p w14:paraId="7B0EFA0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Algae Mix</w:t>
            </w:r>
          </w:p>
        </w:tc>
        <w:tc>
          <w:tcPr>
            <w:tcW w:w="0" w:type="auto"/>
            <w:vAlign w:val="center"/>
            <w:hideMark/>
          </w:tcPr>
          <w:p w14:paraId="089AA61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c>
          <w:tcPr>
            <w:tcW w:w="0" w:type="auto"/>
            <w:vAlign w:val="center"/>
            <w:hideMark/>
          </w:tcPr>
          <w:p w14:paraId="2FE2F8E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w:t>
            </w:r>
          </w:p>
        </w:tc>
        <w:tc>
          <w:tcPr>
            <w:tcW w:w="0" w:type="auto"/>
            <w:vAlign w:val="center"/>
            <w:hideMark/>
          </w:tcPr>
          <w:p w14:paraId="31739E5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c>
          <w:tcPr>
            <w:tcW w:w="0" w:type="auto"/>
            <w:vAlign w:val="center"/>
            <w:hideMark/>
          </w:tcPr>
          <w:p w14:paraId="3B8F5DE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w:t>
            </w:r>
          </w:p>
        </w:tc>
        <w:tc>
          <w:tcPr>
            <w:tcW w:w="0" w:type="auto"/>
            <w:vAlign w:val="center"/>
            <w:hideMark/>
          </w:tcPr>
          <w:p w14:paraId="06134EE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w:t>
            </w:r>
          </w:p>
        </w:tc>
        <w:tc>
          <w:tcPr>
            <w:tcW w:w="0" w:type="auto"/>
            <w:vAlign w:val="center"/>
            <w:hideMark/>
          </w:tcPr>
          <w:p w14:paraId="2DC5B1E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c>
          <w:tcPr>
            <w:tcW w:w="0" w:type="auto"/>
            <w:vAlign w:val="center"/>
            <w:hideMark/>
          </w:tcPr>
          <w:p w14:paraId="1447C70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29</w:t>
            </w:r>
          </w:p>
        </w:tc>
        <w:tc>
          <w:tcPr>
            <w:tcW w:w="0" w:type="auto"/>
            <w:vAlign w:val="center"/>
            <w:hideMark/>
          </w:tcPr>
          <w:p w14:paraId="20AB7A5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6D82104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r>
      <w:tr w:rsidR="005446D2" w:rsidRPr="005446D2" w14:paraId="722B6872" w14:textId="77777777">
        <w:trPr>
          <w:tblCellSpacing w:w="15" w:type="dxa"/>
        </w:trPr>
        <w:tc>
          <w:tcPr>
            <w:tcW w:w="0" w:type="auto"/>
            <w:vAlign w:val="center"/>
            <w:hideMark/>
          </w:tcPr>
          <w:p w14:paraId="1038E81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12/09/2024</w:t>
            </w:r>
          </w:p>
        </w:tc>
        <w:tc>
          <w:tcPr>
            <w:tcW w:w="0" w:type="auto"/>
            <w:vAlign w:val="center"/>
            <w:hideMark/>
          </w:tcPr>
          <w:p w14:paraId="722C56F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08:49</w:t>
            </w:r>
          </w:p>
        </w:tc>
        <w:tc>
          <w:tcPr>
            <w:tcW w:w="0" w:type="auto"/>
            <w:vAlign w:val="center"/>
            <w:hideMark/>
          </w:tcPr>
          <w:p w14:paraId="2A119D7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Utumbi</w:t>
            </w:r>
          </w:p>
        </w:tc>
        <w:tc>
          <w:tcPr>
            <w:tcW w:w="0" w:type="auto"/>
            <w:vAlign w:val="center"/>
            <w:hideMark/>
          </w:tcPr>
          <w:p w14:paraId="00D3E18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5B801AC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Fish Mix</w:t>
            </w:r>
          </w:p>
        </w:tc>
        <w:tc>
          <w:tcPr>
            <w:tcW w:w="0" w:type="auto"/>
            <w:vAlign w:val="center"/>
            <w:hideMark/>
          </w:tcPr>
          <w:p w14:paraId="5C907EF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6</w:t>
            </w:r>
          </w:p>
        </w:tc>
        <w:tc>
          <w:tcPr>
            <w:tcW w:w="0" w:type="auto"/>
            <w:vAlign w:val="center"/>
            <w:hideMark/>
          </w:tcPr>
          <w:p w14:paraId="2E62B46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4</w:t>
            </w:r>
          </w:p>
        </w:tc>
        <w:tc>
          <w:tcPr>
            <w:tcW w:w="0" w:type="auto"/>
            <w:vAlign w:val="center"/>
            <w:hideMark/>
          </w:tcPr>
          <w:p w14:paraId="1BAF868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w:t>
            </w:r>
          </w:p>
        </w:tc>
        <w:tc>
          <w:tcPr>
            <w:tcW w:w="0" w:type="auto"/>
            <w:vAlign w:val="center"/>
            <w:hideMark/>
          </w:tcPr>
          <w:p w14:paraId="37C8718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w:t>
            </w:r>
          </w:p>
        </w:tc>
        <w:tc>
          <w:tcPr>
            <w:tcW w:w="0" w:type="auto"/>
            <w:vAlign w:val="center"/>
            <w:hideMark/>
          </w:tcPr>
          <w:p w14:paraId="1FB7763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17</w:t>
            </w:r>
          </w:p>
        </w:tc>
        <w:tc>
          <w:tcPr>
            <w:tcW w:w="0" w:type="auto"/>
            <w:vAlign w:val="center"/>
            <w:hideMark/>
          </w:tcPr>
          <w:p w14:paraId="5C3F350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c>
          <w:tcPr>
            <w:tcW w:w="0" w:type="auto"/>
            <w:vAlign w:val="center"/>
            <w:hideMark/>
          </w:tcPr>
          <w:p w14:paraId="7FE35DC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29</w:t>
            </w:r>
          </w:p>
        </w:tc>
        <w:tc>
          <w:tcPr>
            <w:tcW w:w="0" w:type="auto"/>
            <w:vAlign w:val="center"/>
            <w:hideMark/>
          </w:tcPr>
          <w:p w14:paraId="5092B47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272283E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r>
      <w:tr w:rsidR="005446D2" w:rsidRPr="005446D2" w14:paraId="6D462EE8" w14:textId="77777777">
        <w:trPr>
          <w:tblCellSpacing w:w="15" w:type="dxa"/>
        </w:trPr>
        <w:tc>
          <w:tcPr>
            <w:tcW w:w="0" w:type="auto"/>
            <w:vAlign w:val="center"/>
            <w:hideMark/>
          </w:tcPr>
          <w:p w14:paraId="0652BF5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12/09/2024</w:t>
            </w:r>
          </w:p>
        </w:tc>
        <w:tc>
          <w:tcPr>
            <w:tcW w:w="0" w:type="auto"/>
            <w:vAlign w:val="center"/>
            <w:hideMark/>
          </w:tcPr>
          <w:p w14:paraId="2F837C6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09:19</w:t>
            </w:r>
          </w:p>
        </w:tc>
        <w:tc>
          <w:tcPr>
            <w:tcW w:w="0" w:type="auto"/>
            <w:vAlign w:val="center"/>
            <w:hideMark/>
          </w:tcPr>
          <w:p w14:paraId="6247F7F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Chole Nursery</w:t>
            </w:r>
          </w:p>
        </w:tc>
        <w:tc>
          <w:tcPr>
            <w:tcW w:w="0" w:type="auto"/>
            <w:vAlign w:val="center"/>
            <w:hideMark/>
          </w:tcPr>
          <w:p w14:paraId="7E00D7A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L</w:t>
            </w:r>
          </w:p>
        </w:tc>
        <w:tc>
          <w:tcPr>
            <w:tcW w:w="0" w:type="auto"/>
            <w:vAlign w:val="center"/>
            <w:hideMark/>
          </w:tcPr>
          <w:p w14:paraId="015E3DD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Algae Mix</w:t>
            </w:r>
          </w:p>
        </w:tc>
        <w:tc>
          <w:tcPr>
            <w:tcW w:w="0" w:type="auto"/>
            <w:vAlign w:val="center"/>
            <w:hideMark/>
          </w:tcPr>
          <w:p w14:paraId="1776697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4</w:t>
            </w:r>
          </w:p>
        </w:tc>
        <w:tc>
          <w:tcPr>
            <w:tcW w:w="0" w:type="auto"/>
            <w:vAlign w:val="center"/>
            <w:hideMark/>
          </w:tcPr>
          <w:p w14:paraId="34B8112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6</w:t>
            </w:r>
          </w:p>
        </w:tc>
        <w:tc>
          <w:tcPr>
            <w:tcW w:w="0" w:type="auto"/>
            <w:vAlign w:val="center"/>
            <w:hideMark/>
          </w:tcPr>
          <w:p w14:paraId="1478041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w:t>
            </w:r>
          </w:p>
        </w:tc>
        <w:tc>
          <w:tcPr>
            <w:tcW w:w="0" w:type="auto"/>
            <w:vAlign w:val="center"/>
            <w:hideMark/>
          </w:tcPr>
          <w:p w14:paraId="5B41B78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032B0EC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6</w:t>
            </w:r>
          </w:p>
        </w:tc>
        <w:tc>
          <w:tcPr>
            <w:tcW w:w="0" w:type="auto"/>
            <w:vAlign w:val="center"/>
            <w:hideMark/>
          </w:tcPr>
          <w:p w14:paraId="25E297C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c>
          <w:tcPr>
            <w:tcW w:w="0" w:type="auto"/>
            <w:vAlign w:val="center"/>
            <w:hideMark/>
          </w:tcPr>
          <w:p w14:paraId="00E64D1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29</w:t>
            </w:r>
          </w:p>
        </w:tc>
        <w:tc>
          <w:tcPr>
            <w:tcW w:w="0" w:type="auto"/>
            <w:vAlign w:val="center"/>
            <w:hideMark/>
          </w:tcPr>
          <w:p w14:paraId="1E28765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w:t>
            </w:r>
          </w:p>
        </w:tc>
        <w:tc>
          <w:tcPr>
            <w:tcW w:w="0" w:type="auto"/>
            <w:vAlign w:val="center"/>
            <w:hideMark/>
          </w:tcPr>
          <w:p w14:paraId="11510C0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r>
      <w:tr w:rsidR="005446D2" w:rsidRPr="005446D2" w14:paraId="17B7FF41" w14:textId="77777777">
        <w:trPr>
          <w:tblCellSpacing w:w="15" w:type="dxa"/>
        </w:trPr>
        <w:tc>
          <w:tcPr>
            <w:tcW w:w="0" w:type="auto"/>
            <w:vAlign w:val="center"/>
            <w:hideMark/>
          </w:tcPr>
          <w:p w14:paraId="388266B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12/10/2024</w:t>
            </w:r>
          </w:p>
        </w:tc>
        <w:tc>
          <w:tcPr>
            <w:tcW w:w="0" w:type="auto"/>
            <w:vAlign w:val="center"/>
            <w:hideMark/>
          </w:tcPr>
          <w:p w14:paraId="7DAC4AD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09:45</w:t>
            </w:r>
          </w:p>
        </w:tc>
        <w:tc>
          <w:tcPr>
            <w:tcW w:w="0" w:type="auto"/>
            <w:vAlign w:val="center"/>
            <w:hideMark/>
          </w:tcPr>
          <w:p w14:paraId="55BFB5F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Milimani</w:t>
            </w:r>
          </w:p>
        </w:tc>
        <w:tc>
          <w:tcPr>
            <w:tcW w:w="0" w:type="auto"/>
            <w:vAlign w:val="center"/>
            <w:hideMark/>
          </w:tcPr>
          <w:p w14:paraId="36B5278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5EBAAC4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Fish Mix</w:t>
            </w:r>
          </w:p>
        </w:tc>
        <w:tc>
          <w:tcPr>
            <w:tcW w:w="0" w:type="auto"/>
            <w:vAlign w:val="center"/>
            <w:hideMark/>
          </w:tcPr>
          <w:p w14:paraId="3A70F7A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w:t>
            </w:r>
          </w:p>
        </w:tc>
        <w:tc>
          <w:tcPr>
            <w:tcW w:w="0" w:type="auto"/>
            <w:vAlign w:val="center"/>
            <w:hideMark/>
          </w:tcPr>
          <w:p w14:paraId="1AD9171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w:t>
            </w:r>
          </w:p>
        </w:tc>
        <w:tc>
          <w:tcPr>
            <w:tcW w:w="0" w:type="auto"/>
            <w:vAlign w:val="center"/>
            <w:hideMark/>
          </w:tcPr>
          <w:p w14:paraId="1558606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w:t>
            </w:r>
          </w:p>
        </w:tc>
        <w:tc>
          <w:tcPr>
            <w:tcW w:w="0" w:type="auto"/>
            <w:vAlign w:val="center"/>
            <w:hideMark/>
          </w:tcPr>
          <w:p w14:paraId="7A77BB2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6</w:t>
            </w:r>
          </w:p>
        </w:tc>
        <w:tc>
          <w:tcPr>
            <w:tcW w:w="0" w:type="auto"/>
            <w:vAlign w:val="center"/>
            <w:hideMark/>
          </w:tcPr>
          <w:p w14:paraId="5E533ED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15</w:t>
            </w:r>
          </w:p>
        </w:tc>
        <w:tc>
          <w:tcPr>
            <w:tcW w:w="0" w:type="auto"/>
            <w:vAlign w:val="center"/>
            <w:hideMark/>
          </w:tcPr>
          <w:p w14:paraId="3A9F04E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c>
          <w:tcPr>
            <w:tcW w:w="0" w:type="auto"/>
            <w:vAlign w:val="center"/>
            <w:hideMark/>
          </w:tcPr>
          <w:p w14:paraId="018B748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29</w:t>
            </w:r>
          </w:p>
        </w:tc>
        <w:tc>
          <w:tcPr>
            <w:tcW w:w="0" w:type="auto"/>
            <w:vAlign w:val="center"/>
            <w:hideMark/>
          </w:tcPr>
          <w:p w14:paraId="5E02F0E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31E0CA2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r>
      <w:tr w:rsidR="005446D2" w:rsidRPr="005446D2" w14:paraId="50E61737" w14:textId="77777777">
        <w:trPr>
          <w:tblCellSpacing w:w="15" w:type="dxa"/>
        </w:trPr>
        <w:tc>
          <w:tcPr>
            <w:tcW w:w="0" w:type="auto"/>
            <w:vAlign w:val="center"/>
            <w:hideMark/>
          </w:tcPr>
          <w:p w14:paraId="08C8263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12/10/2024</w:t>
            </w:r>
          </w:p>
        </w:tc>
        <w:tc>
          <w:tcPr>
            <w:tcW w:w="0" w:type="auto"/>
            <w:vAlign w:val="center"/>
            <w:hideMark/>
          </w:tcPr>
          <w:p w14:paraId="016F28B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09:55</w:t>
            </w:r>
          </w:p>
        </w:tc>
        <w:tc>
          <w:tcPr>
            <w:tcW w:w="0" w:type="auto"/>
            <w:vAlign w:val="center"/>
            <w:hideMark/>
          </w:tcPr>
          <w:p w14:paraId="207A677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Utumbi</w:t>
            </w:r>
          </w:p>
        </w:tc>
        <w:tc>
          <w:tcPr>
            <w:tcW w:w="0" w:type="auto"/>
            <w:vAlign w:val="center"/>
            <w:hideMark/>
          </w:tcPr>
          <w:p w14:paraId="12E0692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462D994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Fish Mix</w:t>
            </w:r>
          </w:p>
        </w:tc>
        <w:tc>
          <w:tcPr>
            <w:tcW w:w="0" w:type="auto"/>
            <w:vAlign w:val="center"/>
            <w:hideMark/>
          </w:tcPr>
          <w:p w14:paraId="5E5DEDC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w:t>
            </w:r>
          </w:p>
        </w:tc>
        <w:tc>
          <w:tcPr>
            <w:tcW w:w="0" w:type="auto"/>
            <w:vAlign w:val="center"/>
            <w:hideMark/>
          </w:tcPr>
          <w:p w14:paraId="5478D20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w:t>
            </w:r>
          </w:p>
        </w:tc>
        <w:tc>
          <w:tcPr>
            <w:tcW w:w="0" w:type="auto"/>
            <w:vAlign w:val="center"/>
            <w:hideMark/>
          </w:tcPr>
          <w:p w14:paraId="3A1F0AE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w:t>
            </w:r>
          </w:p>
        </w:tc>
        <w:tc>
          <w:tcPr>
            <w:tcW w:w="0" w:type="auto"/>
            <w:vAlign w:val="center"/>
            <w:hideMark/>
          </w:tcPr>
          <w:p w14:paraId="53F0F82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6</w:t>
            </w:r>
          </w:p>
        </w:tc>
        <w:tc>
          <w:tcPr>
            <w:tcW w:w="0" w:type="auto"/>
            <w:vAlign w:val="center"/>
            <w:hideMark/>
          </w:tcPr>
          <w:p w14:paraId="5E6D0CF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15</w:t>
            </w:r>
          </w:p>
        </w:tc>
        <w:tc>
          <w:tcPr>
            <w:tcW w:w="0" w:type="auto"/>
            <w:vAlign w:val="center"/>
            <w:hideMark/>
          </w:tcPr>
          <w:p w14:paraId="18984CC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c>
          <w:tcPr>
            <w:tcW w:w="0" w:type="auto"/>
            <w:vAlign w:val="center"/>
            <w:hideMark/>
          </w:tcPr>
          <w:p w14:paraId="25C66CB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29</w:t>
            </w:r>
          </w:p>
        </w:tc>
        <w:tc>
          <w:tcPr>
            <w:tcW w:w="0" w:type="auto"/>
            <w:vAlign w:val="center"/>
            <w:hideMark/>
          </w:tcPr>
          <w:p w14:paraId="4844D2E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9</w:t>
            </w:r>
          </w:p>
        </w:tc>
        <w:tc>
          <w:tcPr>
            <w:tcW w:w="0" w:type="auto"/>
            <w:vAlign w:val="center"/>
            <w:hideMark/>
          </w:tcPr>
          <w:p w14:paraId="135C243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r>
      <w:tr w:rsidR="005446D2" w:rsidRPr="005446D2" w14:paraId="2D946F95" w14:textId="77777777">
        <w:trPr>
          <w:tblCellSpacing w:w="15" w:type="dxa"/>
        </w:trPr>
        <w:tc>
          <w:tcPr>
            <w:tcW w:w="0" w:type="auto"/>
            <w:vAlign w:val="center"/>
            <w:hideMark/>
          </w:tcPr>
          <w:p w14:paraId="26156C8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12/10/2024</w:t>
            </w:r>
          </w:p>
        </w:tc>
        <w:tc>
          <w:tcPr>
            <w:tcW w:w="0" w:type="auto"/>
            <w:vAlign w:val="center"/>
            <w:hideMark/>
          </w:tcPr>
          <w:p w14:paraId="1EF13ED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16:08</w:t>
            </w:r>
          </w:p>
        </w:tc>
        <w:tc>
          <w:tcPr>
            <w:tcW w:w="0" w:type="auto"/>
            <w:vAlign w:val="center"/>
            <w:hideMark/>
          </w:tcPr>
          <w:p w14:paraId="2803FEF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Chole Nursery</w:t>
            </w:r>
          </w:p>
        </w:tc>
        <w:tc>
          <w:tcPr>
            <w:tcW w:w="0" w:type="auto"/>
            <w:vAlign w:val="center"/>
            <w:hideMark/>
          </w:tcPr>
          <w:p w14:paraId="3C5838A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L</w:t>
            </w:r>
          </w:p>
        </w:tc>
        <w:tc>
          <w:tcPr>
            <w:tcW w:w="0" w:type="auto"/>
            <w:vAlign w:val="center"/>
            <w:hideMark/>
          </w:tcPr>
          <w:p w14:paraId="1F82DF2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Algae Mix</w:t>
            </w:r>
          </w:p>
        </w:tc>
        <w:tc>
          <w:tcPr>
            <w:tcW w:w="0" w:type="auto"/>
            <w:vAlign w:val="center"/>
            <w:hideMark/>
          </w:tcPr>
          <w:p w14:paraId="7AB7854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w:t>
            </w:r>
          </w:p>
        </w:tc>
        <w:tc>
          <w:tcPr>
            <w:tcW w:w="0" w:type="auto"/>
            <w:vAlign w:val="center"/>
            <w:hideMark/>
          </w:tcPr>
          <w:p w14:paraId="6D80D1C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w:t>
            </w:r>
          </w:p>
        </w:tc>
        <w:tc>
          <w:tcPr>
            <w:tcW w:w="0" w:type="auto"/>
            <w:vAlign w:val="center"/>
            <w:hideMark/>
          </w:tcPr>
          <w:p w14:paraId="01FCA92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w:t>
            </w:r>
          </w:p>
        </w:tc>
        <w:tc>
          <w:tcPr>
            <w:tcW w:w="0" w:type="auto"/>
            <w:vAlign w:val="center"/>
            <w:hideMark/>
          </w:tcPr>
          <w:p w14:paraId="54F2A36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7B74470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w:t>
            </w:r>
          </w:p>
        </w:tc>
        <w:tc>
          <w:tcPr>
            <w:tcW w:w="0" w:type="auto"/>
            <w:vAlign w:val="center"/>
            <w:hideMark/>
          </w:tcPr>
          <w:p w14:paraId="36D6558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c>
          <w:tcPr>
            <w:tcW w:w="0" w:type="auto"/>
            <w:vAlign w:val="center"/>
            <w:hideMark/>
          </w:tcPr>
          <w:p w14:paraId="579CD31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29</w:t>
            </w:r>
          </w:p>
        </w:tc>
        <w:tc>
          <w:tcPr>
            <w:tcW w:w="0" w:type="auto"/>
            <w:vAlign w:val="center"/>
            <w:hideMark/>
          </w:tcPr>
          <w:p w14:paraId="365A330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9</w:t>
            </w:r>
          </w:p>
        </w:tc>
        <w:tc>
          <w:tcPr>
            <w:tcW w:w="0" w:type="auto"/>
            <w:vAlign w:val="center"/>
            <w:hideMark/>
          </w:tcPr>
          <w:p w14:paraId="3D63828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r>
      <w:tr w:rsidR="005446D2" w:rsidRPr="005446D2" w14:paraId="01D7183B" w14:textId="77777777">
        <w:trPr>
          <w:tblCellSpacing w:w="15" w:type="dxa"/>
        </w:trPr>
        <w:tc>
          <w:tcPr>
            <w:tcW w:w="0" w:type="auto"/>
            <w:vAlign w:val="center"/>
            <w:hideMark/>
          </w:tcPr>
          <w:p w14:paraId="3289737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05/16/2024</w:t>
            </w:r>
          </w:p>
        </w:tc>
        <w:tc>
          <w:tcPr>
            <w:tcW w:w="0" w:type="auto"/>
            <w:vAlign w:val="center"/>
            <w:hideMark/>
          </w:tcPr>
          <w:p w14:paraId="5E20130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10:05</w:t>
            </w:r>
          </w:p>
        </w:tc>
        <w:tc>
          <w:tcPr>
            <w:tcW w:w="0" w:type="auto"/>
            <w:vAlign w:val="center"/>
            <w:hideMark/>
          </w:tcPr>
          <w:p w14:paraId="0F87734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Utumbi</w:t>
            </w:r>
          </w:p>
        </w:tc>
        <w:tc>
          <w:tcPr>
            <w:tcW w:w="0" w:type="auto"/>
            <w:vAlign w:val="center"/>
            <w:hideMark/>
          </w:tcPr>
          <w:p w14:paraId="5A5E1BF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6762F2B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Mackerel</w:t>
            </w:r>
          </w:p>
        </w:tc>
        <w:tc>
          <w:tcPr>
            <w:tcW w:w="0" w:type="auto"/>
            <w:vAlign w:val="center"/>
            <w:hideMark/>
          </w:tcPr>
          <w:p w14:paraId="5A076F7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6A4B04A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5AFEB39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783C8CC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45F1C83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20</w:t>
            </w:r>
          </w:p>
        </w:tc>
        <w:tc>
          <w:tcPr>
            <w:tcW w:w="0" w:type="auto"/>
            <w:vAlign w:val="center"/>
            <w:hideMark/>
          </w:tcPr>
          <w:p w14:paraId="679A039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5.80</w:t>
            </w:r>
          </w:p>
        </w:tc>
        <w:tc>
          <w:tcPr>
            <w:tcW w:w="0" w:type="auto"/>
            <w:vAlign w:val="center"/>
            <w:hideMark/>
          </w:tcPr>
          <w:p w14:paraId="1A88F1D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29</w:t>
            </w:r>
          </w:p>
        </w:tc>
        <w:tc>
          <w:tcPr>
            <w:tcW w:w="0" w:type="auto"/>
            <w:vAlign w:val="center"/>
            <w:hideMark/>
          </w:tcPr>
          <w:p w14:paraId="12B2256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w:t>
            </w:r>
          </w:p>
        </w:tc>
        <w:tc>
          <w:tcPr>
            <w:tcW w:w="0" w:type="auto"/>
            <w:vAlign w:val="center"/>
            <w:hideMark/>
          </w:tcPr>
          <w:p w14:paraId="57520D5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r>
      <w:tr w:rsidR="005446D2" w:rsidRPr="005446D2" w14:paraId="3CB511C4" w14:textId="77777777">
        <w:trPr>
          <w:tblCellSpacing w:w="15" w:type="dxa"/>
        </w:trPr>
        <w:tc>
          <w:tcPr>
            <w:tcW w:w="0" w:type="auto"/>
            <w:vAlign w:val="center"/>
            <w:hideMark/>
          </w:tcPr>
          <w:p w14:paraId="33C93D7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05/15/2024</w:t>
            </w:r>
          </w:p>
        </w:tc>
        <w:tc>
          <w:tcPr>
            <w:tcW w:w="0" w:type="auto"/>
            <w:vAlign w:val="center"/>
            <w:hideMark/>
          </w:tcPr>
          <w:p w14:paraId="4A46DFC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n/a</w:t>
            </w:r>
          </w:p>
        </w:tc>
        <w:tc>
          <w:tcPr>
            <w:tcW w:w="0" w:type="auto"/>
            <w:vAlign w:val="center"/>
            <w:hideMark/>
          </w:tcPr>
          <w:p w14:paraId="1C02FFC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Milimani</w:t>
            </w:r>
          </w:p>
        </w:tc>
        <w:tc>
          <w:tcPr>
            <w:tcW w:w="0" w:type="auto"/>
            <w:vAlign w:val="center"/>
            <w:hideMark/>
          </w:tcPr>
          <w:p w14:paraId="3A1C2BA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65C3406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Mackerel</w:t>
            </w:r>
          </w:p>
        </w:tc>
        <w:tc>
          <w:tcPr>
            <w:tcW w:w="0" w:type="auto"/>
            <w:vAlign w:val="center"/>
            <w:hideMark/>
          </w:tcPr>
          <w:p w14:paraId="0E8B1CC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w:t>
            </w:r>
          </w:p>
        </w:tc>
        <w:tc>
          <w:tcPr>
            <w:tcW w:w="0" w:type="auto"/>
            <w:vAlign w:val="center"/>
            <w:hideMark/>
          </w:tcPr>
          <w:p w14:paraId="09DC5C0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65C27E6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7178592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3100692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15</w:t>
            </w:r>
          </w:p>
        </w:tc>
        <w:tc>
          <w:tcPr>
            <w:tcW w:w="0" w:type="auto"/>
            <w:vAlign w:val="center"/>
            <w:hideMark/>
          </w:tcPr>
          <w:p w14:paraId="77CE19E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5.90</w:t>
            </w:r>
          </w:p>
        </w:tc>
        <w:tc>
          <w:tcPr>
            <w:tcW w:w="0" w:type="auto"/>
            <w:vAlign w:val="center"/>
            <w:hideMark/>
          </w:tcPr>
          <w:p w14:paraId="38C3FFD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28</w:t>
            </w:r>
          </w:p>
        </w:tc>
        <w:tc>
          <w:tcPr>
            <w:tcW w:w="0" w:type="auto"/>
            <w:vAlign w:val="center"/>
            <w:hideMark/>
          </w:tcPr>
          <w:p w14:paraId="5239D38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w:t>
            </w:r>
          </w:p>
        </w:tc>
        <w:tc>
          <w:tcPr>
            <w:tcW w:w="0" w:type="auto"/>
            <w:vAlign w:val="center"/>
            <w:hideMark/>
          </w:tcPr>
          <w:p w14:paraId="0F75FE9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Nicole video; start time not available in schedule</w:t>
            </w:r>
          </w:p>
        </w:tc>
      </w:tr>
      <w:tr w:rsidR="005446D2" w:rsidRPr="005446D2" w14:paraId="6E03F951" w14:textId="77777777">
        <w:trPr>
          <w:tblCellSpacing w:w="15" w:type="dxa"/>
        </w:trPr>
        <w:tc>
          <w:tcPr>
            <w:tcW w:w="0" w:type="auto"/>
            <w:vAlign w:val="center"/>
            <w:hideMark/>
          </w:tcPr>
          <w:p w14:paraId="0977726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02/23/2024</w:t>
            </w:r>
          </w:p>
        </w:tc>
        <w:tc>
          <w:tcPr>
            <w:tcW w:w="0" w:type="auto"/>
            <w:vAlign w:val="center"/>
            <w:hideMark/>
          </w:tcPr>
          <w:p w14:paraId="466CD05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n/a</w:t>
            </w:r>
          </w:p>
        </w:tc>
        <w:tc>
          <w:tcPr>
            <w:tcW w:w="0" w:type="auto"/>
            <w:vAlign w:val="center"/>
            <w:hideMark/>
          </w:tcPr>
          <w:p w14:paraId="57810A7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Chole Nursery</w:t>
            </w:r>
          </w:p>
        </w:tc>
        <w:tc>
          <w:tcPr>
            <w:tcW w:w="0" w:type="auto"/>
            <w:vAlign w:val="center"/>
            <w:hideMark/>
          </w:tcPr>
          <w:p w14:paraId="0C7B834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7967DA8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Mackerel</w:t>
            </w:r>
          </w:p>
        </w:tc>
        <w:tc>
          <w:tcPr>
            <w:tcW w:w="0" w:type="auto"/>
            <w:vAlign w:val="center"/>
            <w:hideMark/>
          </w:tcPr>
          <w:p w14:paraId="2038A0C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w:t>
            </w:r>
          </w:p>
        </w:tc>
        <w:tc>
          <w:tcPr>
            <w:tcW w:w="0" w:type="auto"/>
            <w:vAlign w:val="center"/>
            <w:hideMark/>
          </w:tcPr>
          <w:p w14:paraId="377BC8E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9</w:t>
            </w:r>
          </w:p>
        </w:tc>
        <w:tc>
          <w:tcPr>
            <w:tcW w:w="0" w:type="auto"/>
            <w:vAlign w:val="center"/>
            <w:hideMark/>
          </w:tcPr>
          <w:p w14:paraId="22D6457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1134BFE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2FB1CAB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6</w:t>
            </w:r>
          </w:p>
        </w:tc>
        <w:tc>
          <w:tcPr>
            <w:tcW w:w="0" w:type="auto"/>
            <w:vAlign w:val="center"/>
            <w:hideMark/>
          </w:tcPr>
          <w:p w14:paraId="52B9CBB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5.20</w:t>
            </w:r>
          </w:p>
        </w:tc>
        <w:tc>
          <w:tcPr>
            <w:tcW w:w="0" w:type="auto"/>
            <w:vAlign w:val="center"/>
            <w:hideMark/>
          </w:tcPr>
          <w:p w14:paraId="3CC9A03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c>
          <w:tcPr>
            <w:tcW w:w="0" w:type="auto"/>
            <w:vAlign w:val="center"/>
            <w:hideMark/>
          </w:tcPr>
          <w:p w14:paraId="1E13812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9</w:t>
            </w:r>
          </w:p>
        </w:tc>
        <w:tc>
          <w:tcPr>
            <w:tcW w:w="0" w:type="auto"/>
            <w:vAlign w:val="center"/>
            <w:hideMark/>
          </w:tcPr>
          <w:p w14:paraId="6D4E404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Nicole video; start time not available in schedule</w:t>
            </w:r>
          </w:p>
        </w:tc>
      </w:tr>
      <w:tr w:rsidR="005446D2" w:rsidRPr="005446D2" w14:paraId="241D9527" w14:textId="77777777">
        <w:trPr>
          <w:tblCellSpacing w:w="15" w:type="dxa"/>
        </w:trPr>
        <w:tc>
          <w:tcPr>
            <w:tcW w:w="0" w:type="auto"/>
            <w:vAlign w:val="center"/>
            <w:hideMark/>
          </w:tcPr>
          <w:p w14:paraId="2980946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lastRenderedPageBreak/>
              <w:t>12/12/2025</w:t>
            </w:r>
          </w:p>
        </w:tc>
        <w:tc>
          <w:tcPr>
            <w:tcW w:w="0" w:type="auto"/>
            <w:vAlign w:val="center"/>
            <w:hideMark/>
          </w:tcPr>
          <w:p w14:paraId="44CB317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n/a</w:t>
            </w:r>
          </w:p>
        </w:tc>
        <w:tc>
          <w:tcPr>
            <w:tcW w:w="0" w:type="auto"/>
            <w:vAlign w:val="center"/>
            <w:hideMark/>
          </w:tcPr>
          <w:p w14:paraId="4235F64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Chole Nursery</w:t>
            </w:r>
          </w:p>
        </w:tc>
        <w:tc>
          <w:tcPr>
            <w:tcW w:w="0" w:type="auto"/>
            <w:vAlign w:val="center"/>
            <w:hideMark/>
          </w:tcPr>
          <w:p w14:paraId="2B35DD4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4C76E4A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Mackerel</w:t>
            </w:r>
          </w:p>
        </w:tc>
        <w:tc>
          <w:tcPr>
            <w:tcW w:w="0" w:type="auto"/>
            <w:vAlign w:val="center"/>
            <w:hideMark/>
          </w:tcPr>
          <w:p w14:paraId="082FB2A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w:t>
            </w:r>
          </w:p>
        </w:tc>
        <w:tc>
          <w:tcPr>
            <w:tcW w:w="0" w:type="auto"/>
            <w:vAlign w:val="center"/>
            <w:hideMark/>
          </w:tcPr>
          <w:p w14:paraId="28E5FA3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9</w:t>
            </w:r>
          </w:p>
        </w:tc>
        <w:tc>
          <w:tcPr>
            <w:tcW w:w="0" w:type="auto"/>
            <w:vAlign w:val="center"/>
            <w:hideMark/>
          </w:tcPr>
          <w:p w14:paraId="19BD4E1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0E6901E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6D7B9E7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w:t>
            </w:r>
          </w:p>
        </w:tc>
        <w:tc>
          <w:tcPr>
            <w:tcW w:w="0" w:type="auto"/>
            <w:vAlign w:val="center"/>
            <w:hideMark/>
          </w:tcPr>
          <w:p w14:paraId="3A7B0C0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5.20</w:t>
            </w:r>
          </w:p>
        </w:tc>
        <w:tc>
          <w:tcPr>
            <w:tcW w:w="0" w:type="auto"/>
            <w:vAlign w:val="center"/>
            <w:hideMark/>
          </w:tcPr>
          <w:p w14:paraId="1D88550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28</w:t>
            </w:r>
          </w:p>
        </w:tc>
        <w:tc>
          <w:tcPr>
            <w:tcW w:w="0" w:type="auto"/>
            <w:vAlign w:val="center"/>
            <w:hideMark/>
          </w:tcPr>
          <w:p w14:paraId="123214F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w:t>
            </w:r>
          </w:p>
        </w:tc>
        <w:tc>
          <w:tcPr>
            <w:tcW w:w="0" w:type="auto"/>
            <w:vAlign w:val="center"/>
            <w:hideMark/>
          </w:tcPr>
          <w:p w14:paraId="265BA03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Nicole video; start time not available in schedule</w:t>
            </w:r>
          </w:p>
        </w:tc>
      </w:tr>
      <w:tr w:rsidR="005446D2" w:rsidRPr="005446D2" w14:paraId="3646E11C" w14:textId="77777777">
        <w:trPr>
          <w:tblCellSpacing w:w="15" w:type="dxa"/>
        </w:trPr>
        <w:tc>
          <w:tcPr>
            <w:tcW w:w="0" w:type="auto"/>
            <w:vAlign w:val="center"/>
            <w:hideMark/>
          </w:tcPr>
          <w:p w14:paraId="1DEFBDB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11/26/2024</w:t>
            </w:r>
          </w:p>
        </w:tc>
        <w:tc>
          <w:tcPr>
            <w:tcW w:w="0" w:type="auto"/>
            <w:vAlign w:val="center"/>
            <w:hideMark/>
          </w:tcPr>
          <w:p w14:paraId="114E6A2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n/a</w:t>
            </w:r>
          </w:p>
        </w:tc>
        <w:tc>
          <w:tcPr>
            <w:tcW w:w="0" w:type="auto"/>
            <w:vAlign w:val="center"/>
            <w:hideMark/>
          </w:tcPr>
          <w:p w14:paraId="084A3A8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Chole Nursery</w:t>
            </w:r>
          </w:p>
        </w:tc>
        <w:tc>
          <w:tcPr>
            <w:tcW w:w="0" w:type="auto"/>
            <w:vAlign w:val="center"/>
            <w:hideMark/>
          </w:tcPr>
          <w:p w14:paraId="22B2F10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w:t>
            </w:r>
          </w:p>
        </w:tc>
        <w:tc>
          <w:tcPr>
            <w:tcW w:w="0" w:type="auto"/>
            <w:vAlign w:val="center"/>
            <w:hideMark/>
          </w:tcPr>
          <w:p w14:paraId="45D6748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Mackerel</w:t>
            </w:r>
          </w:p>
        </w:tc>
        <w:tc>
          <w:tcPr>
            <w:tcW w:w="0" w:type="auto"/>
            <w:vAlign w:val="center"/>
            <w:hideMark/>
          </w:tcPr>
          <w:p w14:paraId="4F418C6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20B5179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5E56446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2E8B3A1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2E40B5A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6</w:t>
            </w:r>
          </w:p>
        </w:tc>
        <w:tc>
          <w:tcPr>
            <w:tcW w:w="0" w:type="auto"/>
            <w:vAlign w:val="center"/>
            <w:hideMark/>
          </w:tcPr>
          <w:p w14:paraId="0384FEE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5.00</w:t>
            </w:r>
          </w:p>
        </w:tc>
        <w:tc>
          <w:tcPr>
            <w:tcW w:w="0" w:type="auto"/>
            <w:vAlign w:val="center"/>
            <w:hideMark/>
          </w:tcPr>
          <w:p w14:paraId="2034228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30</w:t>
            </w:r>
          </w:p>
        </w:tc>
        <w:tc>
          <w:tcPr>
            <w:tcW w:w="0" w:type="auto"/>
            <w:vAlign w:val="center"/>
            <w:hideMark/>
          </w:tcPr>
          <w:p w14:paraId="0B1DBF3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9</w:t>
            </w:r>
          </w:p>
        </w:tc>
        <w:tc>
          <w:tcPr>
            <w:tcW w:w="0" w:type="auto"/>
            <w:vAlign w:val="center"/>
            <w:hideMark/>
          </w:tcPr>
          <w:p w14:paraId="0F3D1B2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Nicole video; start time not available in schedule</w:t>
            </w:r>
          </w:p>
        </w:tc>
      </w:tr>
      <w:tr w:rsidR="005446D2" w:rsidRPr="005446D2" w14:paraId="71C7A284" w14:textId="77777777">
        <w:trPr>
          <w:tblCellSpacing w:w="15" w:type="dxa"/>
        </w:trPr>
        <w:tc>
          <w:tcPr>
            <w:tcW w:w="0" w:type="auto"/>
            <w:vAlign w:val="center"/>
            <w:hideMark/>
          </w:tcPr>
          <w:p w14:paraId="5836CF6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01/08/2024</w:t>
            </w:r>
          </w:p>
        </w:tc>
        <w:tc>
          <w:tcPr>
            <w:tcW w:w="0" w:type="auto"/>
            <w:vAlign w:val="center"/>
            <w:hideMark/>
          </w:tcPr>
          <w:p w14:paraId="49BE9EC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n/a</w:t>
            </w:r>
          </w:p>
        </w:tc>
        <w:tc>
          <w:tcPr>
            <w:tcW w:w="0" w:type="auto"/>
            <w:vAlign w:val="center"/>
            <w:hideMark/>
          </w:tcPr>
          <w:p w14:paraId="30DDBFF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Chole Nursery</w:t>
            </w:r>
          </w:p>
        </w:tc>
        <w:tc>
          <w:tcPr>
            <w:tcW w:w="0" w:type="auto"/>
            <w:vAlign w:val="center"/>
            <w:hideMark/>
          </w:tcPr>
          <w:p w14:paraId="461921E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L</w:t>
            </w:r>
          </w:p>
        </w:tc>
        <w:tc>
          <w:tcPr>
            <w:tcW w:w="0" w:type="auto"/>
            <w:vAlign w:val="center"/>
            <w:hideMark/>
          </w:tcPr>
          <w:p w14:paraId="4D36218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Control</w:t>
            </w:r>
          </w:p>
        </w:tc>
        <w:tc>
          <w:tcPr>
            <w:tcW w:w="0" w:type="auto"/>
            <w:vAlign w:val="center"/>
            <w:hideMark/>
          </w:tcPr>
          <w:p w14:paraId="30B077D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7CF1E6A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672B021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77FD043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w:t>
            </w:r>
          </w:p>
        </w:tc>
        <w:tc>
          <w:tcPr>
            <w:tcW w:w="0" w:type="auto"/>
            <w:vAlign w:val="center"/>
            <w:hideMark/>
          </w:tcPr>
          <w:p w14:paraId="4097076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5</w:t>
            </w:r>
          </w:p>
        </w:tc>
        <w:tc>
          <w:tcPr>
            <w:tcW w:w="0" w:type="auto"/>
            <w:vAlign w:val="center"/>
            <w:hideMark/>
          </w:tcPr>
          <w:p w14:paraId="7D048D7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3.80</w:t>
            </w:r>
          </w:p>
        </w:tc>
        <w:tc>
          <w:tcPr>
            <w:tcW w:w="0" w:type="auto"/>
            <w:vAlign w:val="center"/>
            <w:hideMark/>
          </w:tcPr>
          <w:p w14:paraId="32B479F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c>
          <w:tcPr>
            <w:tcW w:w="0" w:type="auto"/>
            <w:vAlign w:val="center"/>
            <w:hideMark/>
          </w:tcPr>
          <w:p w14:paraId="50B7709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w:t>
            </w:r>
          </w:p>
        </w:tc>
        <w:tc>
          <w:tcPr>
            <w:tcW w:w="0" w:type="auto"/>
            <w:vAlign w:val="center"/>
            <w:hideMark/>
          </w:tcPr>
          <w:p w14:paraId="286625D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Nicole video; only 32min, poor visibility</w:t>
            </w:r>
          </w:p>
        </w:tc>
      </w:tr>
      <w:tr w:rsidR="005446D2" w:rsidRPr="005446D2" w14:paraId="7246EE52" w14:textId="77777777">
        <w:trPr>
          <w:tblCellSpacing w:w="15" w:type="dxa"/>
        </w:trPr>
        <w:tc>
          <w:tcPr>
            <w:tcW w:w="0" w:type="auto"/>
            <w:vAlign w:val="center"/>
            <w:hideMark/>
          </w:tcPr>
          <w:p w14:paraId="12B29F3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01/06/2024</w:t>
            </w:r>
          </w:p>
        </w:tc>
        <w:tc>
          <w:tcPr>
            <w:tcW w:w="0" w:type="auto"/>
            <w:vAlign w:val="center"/>
            <w:hideMark/>
          </w:tcPr>
          <w:p w14:paraId="69938F3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n/a</w:t>
            </w:r>
          </w:p>
        </w:tc>
        <w:tc>
          <w:tcPr>
            <w:tcW w:w="0" w:type="auto"/>
            <w:vAlign w:val="center"/>
            <w:hideMark/>
          </w:tcPr>
          <w:p w14:paraId="5CEB448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Chole Nursery</w:t>
            </w:r>
          </w:p>
        </w:tc>
        <w:tc>
          <w:tcPr>
            <w:tcW w:w="0" w:type="auto"/>
            <w:vAlign w:val="center"/>
            <w:hideMark/>
          </w:tcPr>
          <w:p w14:paraId="48B16E7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L</w:t>
            </w:r>
          </w:p>
        </w:tc>
        <w:tc>
          <w:tcPr>
            <w:tcW w:w="0" w:type="auto"/>
            <w:vAlign w:val="center"/>
            <w:hideMark/>
          </w:tcPr>
          <w:p w14:paraId="59E7F9F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Mackerel</w:t>
            </w:r>
          </w:p>
        </w:tc>
        <w:tc>
          <w:tcPr>
            <w:tcW w:w="0" w:type="auto"/>
            <w:vAlign w:val="center"/>
            <w:hideMark/>
          </w:tcPr>
          <w:p w14:paraId="336D42B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w:t>
            </w:r>
          </w:p>
        </w:tc>
        <w:tc>
          <w:tcPr>
            <w:tcW w:w="0" w:type="auto"/>
            <w:vAlign w:val="center"/>
            <w:hideMark/>
          </w:tcPr>
          <w:p w14:paraId="01A4182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2</w:t>
            </w:r>
          </w:p>
        </w:tc>
        <w:tc>
          <w:tcPr>
            <w:tcW w:w="0" w:type="auto"/>
            <w:vAlign w:val="center"/>
            <w:hideMark/>
          </w:tcPr>
          <w:p w14:paraId="0F3E7AB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6AF57D7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w:t>
            </w:r>
          </w:p>
        </w:tc>
        <w:tc>
          <w:tcPr>
            <w:tcW w:w="0" w:type="auto"/>
            <w:vAlign w:val="center"/>
            <w:hideMark/>
          </w:tcPr>
          <w:p w14:paraId="66DB272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6</w:t>
            </w:r>
          </w:p>
        </w:tc>
        <w:tc>
          <w:tcPr>
            <w:tcW w:w="0" w:type="auto"/>
            <w:vAlign w:val="center"/>
            <w:hideMark/>
          </w:tcPr>
          <w:p w14:paraId="007A724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4.00</w:t>
            </w:r>
          </w:p>
        </w:tc>
        <w:tc>
          <w:tcPr>
            <w:tcW w:w="0" w:type="auto"/>
            <w:vAlign w:val="center"/>
            <w:hideMark/>
          </w:tcPr>
          <w:p w14:paraId="747E65C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tc>
        <w:tc>
          <w:tcPr>
            <w:tcW w:w="0" w:type="auto"/>
            <w:vAlign w:val="center"/>
            <w:hideMark/>
          </w:tcPr>
          <w:p w14:paraId="301383A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8</w:t>
            </w:r>
          </w:p>
        </w:tc>
        <w:tc>
          <w:tcPr>
            <w:tcW w:w="0" w:type="auto"/>
            <w:vAlign w:val="center"/>
            <w:hideMark/>
          </w:tcPr>
          <w:p w14:paraId="77AE3C2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Nicole video; fish not cut</w:t>
            </w:r>
          </w:p>
        </w:tc>
      </w:tr>
    </w:tbl>
    <w:p w14:paraId="2631C2B1" w14:textId="77777777" w:rsidR="005446D2" w:rsidRPr="005446D2" w:rsidRDefault="005446D2" w:rsidP="005446D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5446D2">
        <w:rPr>
          <w:rFonts w:ascii="Times New Roman" w:eastAsia="Times New Roman" w:hAnsi="Times New Roman" w:cs="Times New Roman"/>
          <w:b/>
          <w:bCs/>
          <w:kern w:val="36"/>
          <w:sz w:val="48"/>
          <w:szCs w:val="48"/>
          <w:lang w:eastAsia="de-DE"/>
          <w14:ligatures w14:val="none"/>
        </w:rPr>
        <w:t>Appendix B: Annotation Protocol</w:t>
      </w:r>
    </w:p>
    <w:p w14:paraId="5E06C05D"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Video Processing</w:t>
      </w:r>
    </w:p>
    <w:p w14:paraId="440E953D"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Videos were recorded using GoPro HERO 8, 9, and 10 cameras. The cameras recorded sound, but audio was removed during video processing before annotation. The video clips were merged into deployment files, speed and colour were not altered, and the resulting videos were uploaded to BIIGLE for annotation.</w:t>
      </w:r>
    </w:p>
    <w:p w14:paraId="7E801CBF"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Annotation Process</w:t>
      </w:r>
    </w:p>
    <w:p w14:paraId="13DBD88E"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All annotations were performed using BIIGLE. Two key types of annotations were used:</w:t>
      </w:r>
    </w:p>
    <w:p w14:paraId="740F7B27"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b/>
          <w:bCs/>
          <w:kern w:val="0"/>
          <w:lang w:eastAsia="de-DE"/>
          <w14:ligatures w14:val="none"/>
        </w:rPr>
        <w:t>First Seen.</w:t>
      </w:r>
      <w:r w:rsidRPr="005446D2">
        <w:rPr>
          <w:rFonts w:ascii="Times New Roman" w:eastAsia="Times New Roman" w:hAnsi="Times New Roman" w:cs="Times New Roman"/>
          <w:kern w:val="0"/>
          <w:lang w:eastAsia="de-DE"/>
          <w14:ligatures w14:val="none"/>
        </w:rPr>
        <w:t xml:space="preserve"> When a species was spotted for the first time, it was annotated. If multiple individuals appeared simultaneously, they were all marked as "first seen." A short time window of a few seconds was used to define this event.</w:t>
      </w:r>
    </w:p>
    <w:p w14:paraId="10F47085"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b/>
          <w:bCs/>
          <w:kern w:val="0"/>
          <w:lang w:eastAsia="de-DE"/>
          <w14:ligatures w14:val="none"/>
        </w:rPr>
        <w:lastRenderedPageBreak/>
        <w:t>MaxN (Maximum Number).</w:t>
      </w:r>
      <w:r w:rsidRPr="005446D2">
        <w:rPr>
          <w:rFonts w:ascii="Times New Roman" w:eastAsia="Times New Roman" w:hAnsi="Times New Roman" w:cs="Times New Roman"/>
          <w:kern w:val="0"/>
          <w:lang w:eastAsia="de-DE"/>
          <w14:ligatures w14:val="none"/>
        </w:rPr>
        <w:t xml:space="preserve"> This annotation recorded the highest number of individuals of a species in a single frame. Any individuals appearing between the "first seen" event and the MaxN event were not annotated.</w:t>
      </w:r>
    </w:p>
    <w:p w14:paraId="0C8D60C8"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Identification Process</w:t>
      </w:r>
    </w:p>
    <w:p w14:paraId="26C6908E"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To ensure accuracy, a practice video was annotated separately by both the researcher and Nicole Schröter. The results had to match. Ongoing communication with Nicole Schröter was maintained for quality control. The goal was to identify all individuals at the species level. If species identification was not possible, the next higher taxonomic level was used, following the same annotation rules (First Seen, MaxN). Identification resources included iNaturalist, WORMS, Indo-Pacific tropical reef fish literature, and consultation with Nicole Schröter.</w:t>
      </w:r>
    </w:p>
    <w:p w14:paraId="2AA45E65"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Handling Unclear Identifications</w:t>
      </w:r>
    </w:p>
    <w:p w14:paraId="7EC6151D"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Due to the complex nature of coral reefs, the background often contained blurry or indistinct fish, which were not annotated. The threshold for when a fish was too blurry or distant to be identified was decided in consultation with Nicole Schröter. Fish in the foreground that could not be identified immediately were temporarily marked as "unidentified" and could potentially be identified later.</w:t>
      </w:r>
    </w:p>
    <w:p w14:paraId="1025043B"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Behavioural Categories</w:t>
      </w:r>
    </w:p>
    <w:p w14:paraId="7720074C"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b/>
          <w:bCs/>
          <w:kern w:val="0"/>
          <w:lang w:eastAsia="de-DE"/>
          <w14:ligatures w14:val="none"/>
        </w:rPr>
        <w:t>Feeding.</w:t>
      </w:r>
      <w:r w:rsidRPr="005446D2">
        <w:rPr>
          <w:rFonts w:ascii="Times New Roman" w:eastAsia="Times New Roman" w:hAnsi="Times New Roman" w:cs="Times New Roman"/>
          <w:kern w:val="0"/>
          <w:lang w:eastAsia="de-DE"/>
          <w14:ligatures w14:val="none"/>
        </w:rPr>
        <w:t xml:space="preserve"> A fish was classified as feeding only when visible contact with the bait and actual uptake or biting of the bait were observed. Individuals feeding simultaneously were annotated separately, following the individual-level procedure used for MaxN.</w:t>
      </w:r>
    </w:p>
    <w:p w14:paraId="22C4F3D6"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Three behavioural categories were added to the annotations:</w:t>
      </w:r>
    </w:p>
    <w:p w14:paraId="78CB0AB7"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b/>
          <w:bCs/>
          <w:kern w:val="0"/>
          <w:lang w:eastAsia="de-DE"/>
          <w14:ligatures w14:val="none"/>
        </w:rPr>
        <w:t>Feeding.</w:t>
      </w:r>
      <w:r w:rsidRPr="005446D2">
        <w:rPr>
          <w:rFonts w:ascii="Times New Roman" w:eastAsia="Times New Roman" w:hAnsi="Times New Roman" w:cs="Times New Roman"/>
          <w:kern w:val="0"/>
          <w:lang w:eastAsia="de-DE"/>
          <w14:ligatures w14:val="none"/>
        </w:rPr>
        <w:t xml:space="preserve"> Fish actively trying to eat the bait or attempting to access it were classified as "feeding."</w:t>
      </w:r>
    </w:p>
    <w:p w14:paraId="2067149B"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b/>
          <w:bCs/>
          <w:kern w:val="0"/>
          <w:lang w:eastAsia="de-DE"/>
          <w14:ligatures w14:val="none"/>
        </w:rPr>
        <w:t>Interested.</w:t>
      </w:r>
      <w:r w:rsidRPr="005446D2">
        <w:rPr>
          <w:rFonts w:ascii="Times New Roman" w:eastAsia="Times New Roman" w:hAnsi="Times New Roman" w:cs="Times New Roman"/>
          <w:kern w:val="0"/>
          <w:lang w:eastAsia="de-DE"/>
          <w14:ligatures w14:val="none"/>
        </w:rPr>
        <w:t xml:space="preserve"> Fish that circled the bait basket curiously, revisited the bait, or were attracted by other fish near the bait were marked as "interested."</w:t>
      </w:r>
    </w:p>
    <w:p w14:paraId="2D8E372E"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Behavioural annotations (Feeding, Interested) were treated as comments rather than primary taxonomic annotations. Feeding-event duration was not measured. Feeding and interest were recorded separately from MaxN and First Seen for each species, and simultaneously feeding individuals were annotated separately using the same individual-level procedure as MaxN. All videos were annotated by Max Romes. Quality control was provided through expert review, particularly consultation with Nicole Schröter, and through independent annotation of a practice video by both observers before the main annotation. Environmental factors such as strong currents or poor visibility were noted separately.</w:t>
      </w:r>
    </w:p>
    <w:p w14:paraId="43E7B461"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b/>
          <w:bCs/>
          <w:kern w:val="0"/>
          <w:lang w:eastAsia="de-DE"/>
          <w14:ligatures w14:val="none"/>
        </w:rPr>
        <w:t>Uninterested.</w:t>
      </w:r>
      <w:r w:rsidRPr="005446D2">
        <w:rPr>
          <w:rFonts w:ascii="Times New Roman" w:eastAsia="Times New Roman" w:hAnsi="Times New Roman" w:cs="Times New Roman"/>
          <w:kern w:val="0"/>
          <w:lang w:eastAsia="de-DE"/>
          <w14:ligatures w14:val="none"/>
        </w:rPr>
        <w:t xml:space="preserve"> Fish that swam past the bait basket without showing interest, stayed far away, or were territorial species associated with surrounding corals were marked as "uninterested." Uninterested fish were annotated without extra behavioural information, making their presence comparable across different videos from the same site.</w:t>
      </w:r>
    </w:p>
    <w:p w14:paraId="2AFFD0D2"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lastRenderedPageBreak/>
        <w:t>Additional Notes</w:t>
      </w:r>
    </w:p>
    <w:p w14:paraId="32FACB20"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Behavioural annotations (Feeding, Interested) were considered comments rather than primary annotations. These behaviours were recorded separately from MaxN and First Seen for the species. For example: MaxN Green Damsel = 9, MaxN Green Damsel Interested = 3, MaxN Green Damsel Feeding = 2. Environmental factors such as strong currents or poor visibility were noted separately.</w:t>
      </w:r>
    </w:p>
    <w:p w14:paraId="5A4F655D" w14:textId="77777777" w:rsidR="005446D2" w:rsidRPr="005446D2" w:rsidRDefault="005446D2" w:rsidP="005446D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5446D2">
        <w:rPr>
          <w:rFonts w:ascii="Times New Roman" w:eastAsia="Times New Roman" w:hAnsi="Times New Roman" w:cs="Times New Roman"/>
          <w:b/>
          <w:bCs/>
          <w:kern w:val="36"/>
          <w:sz w:val="48"/>
          <w:szCs w:val="48"/>
          <w:lang w:eastAsia="de-DE"/>
          <w14:ligatures w14:val="none"/>
        </w:rPr>
        <w:t>Appendix C: Reef Fish Feeding Ecology</w:t>
      </w:r>
    </w:p>
    <w:p w14:paraId="32F0795A"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following table provides a provisional functional classification of reef fish families and groups encountered in the study. Classifications should be checked against the exact species-level records used in the final dataset, because family-level categories can conceal substantial interspecific and ontogenetic variation. Functional feeding groups in reef-fish studies are commonly assigned using FishBase together with species-specific dietary studies, and broader trophic categories should therefore be treated as analytical groupings rather than as complete descriptions of every species (Froese &amp; Pauly, n.d.; Ferreira et al., 2004; Bellwood et al., 2006). FishBase is listed as a taxonomic reference, but species-specific dietary sources are still required before this table is used as a definitive basis for trophic classification. The broad herbivore classification of surgeonfishes, rabbitfishes, and parrotfishes is supported by dietary and feeding studies, but even these groups include variation in feeding mode and diet (Froese &amp; Pauly, n.d.; Bruggemann et al., 1994; Lefèvre &amp; Bellwood, 2011). ​</w:t>
      </w:r>
    </w:p>
    <w:p w14:paraId="4E6C3FFF"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b/>
          <w:bCs/>
          <w:kern w:val="0"/>
          <w:lang w:eastAsia="de-DE"/>
          <w14:ligatures w14:val="none"/>
        </w:rPr>
        <w:t>Legend</w:t>
      </w:r>
      <w:r w:rsidRPr="005446D2">
        <w:rPr>
          <w:rFonts w:ascii="Times New Roman" w:eastAsia="Times New Roman" w:hAnsi="Times New Roman" w:cs="Times New Roman"/>
          <w:kern w:val="0"/>
          <w:lang w:eastAsia="de-DE"/>
          <w14:ligatures w14:val="none"/>
        </w:rPr>
        <w:t xml:space="preserve"> </w:t>
      </w:r>
      <w:r w:rsidRPr="005446D2">
        <w:rPr>
          <w:rFonts w:ascii="Segoe UI Emoji" w:eastAsia="Times New Roman" w:hAnsi="Segoe UI Emoji" w:cs="Segoe UI Emoji"/>
          <w:kern w:val="0"/>
          <w:lang w:eastAsia="de-DE"/>
          <w14:ligatures w14:val="none"/>
        </w:rPr>
        <w:t>🟢</w:t>
      </w:r>
      <w:r w:rsidRPr="005446D2">
        <w:rPr>
          <w:rFonts w:ascii="Times New Roman" w:eastAsia="Times New Roman" w:hAnsi="Times New Roman" w:cs="Times New Roman"/>
          <w:kern w:val="0"/>
          <w:lang w:eastAsia="de-DE"/>
          <w14:ligatures w14:val="none"/>
        </w:rPr>
        <w:t xml:space="preserve"> = Primarily algae | </w:t>
      </w:r>
      <w:r w:rsidRPr="005446D2">
        <w:rPr>
          <w:rFonts w:ascii="Segoe UI Emoji" w:eastAsia="Times New Roman" w:hAnsi="Segoe UI Emoji" w:cs="Segoe UI Emoji"/>
          <w:kern w:val="0"/>
          <w:lang w:eastAsia="de-DE"/>
          <w14:ligatures w14:val="none"/>
        </w:rPr>
        <w:t>🔵</w:t>
      </w:r>
      <w:r w:rsidRPr="005446D2">
        <w:rPr>
          <w:rFonts w:ascii="Times New Roman" w:eastAsia="Times New Roman" w:hAnsi="Times New Roman" w:cs="Times New Roman"/>
          <w:kern w:val="0"/>
          <w:lang w:eastAsia="de-DE"/>
          <w14:ligatures w14:val="none"/>
        </w:rPr>
        <w:t xml:space="preserve"> = Primarily fish | </w:t>
      </w:r>
      <w:r w:rsidRPr="005446D2">
        <w:rPr>
          <w:rFonts w:ascii="Segoe UI Emoji" w:eastAsia="Times New Roman" w:hAnsi="Segoe UI Emoji" w:cs="Segoe UI Emoji"/>
          <w:kern w:val="0"/>
          <w:lang w:eastAsia="de-DE"/>
          <w14:ligatures w14:val="none"/>
        </w:rPr>
        <w:t>🟠</w:t>
      </w:r>
      <w:r w:rsidRPr="005446D2">
        <w:rPr>
          <w:rFonts w:ascii="Times New Roman" w:eastAsia="Times New Roman" w:hAnsi="Times New Roman" w:cs="Times New Roman"/>
          <w:kern w:val="0"/>
          <w:lang w:eastAsia="de-DE"/>
          <w14:ligatures w14:val="none"/>
        </w:rPr>
        <w:t xml:space="preserve"> = Primarily invertebrates | </w:t>
      </w:r>
      <w:r w:rsidRPr="005446D2">
        <w:rPr>
          <w:rFonts w:ascii="Segoe UI Emoji" w:eastAsia="Times New Roman" w:hAnsi="Segoe UI Emoji" w:cs="Segoe UI Emoji"/>
          <w:kern w:val="0"/>
          <w:lang w:eastAsia="de-DE"/>
          <w14:ligatures w14:val="none"/>
        </w:rPr>
        <w:t>🟣</w:t>
      </w:r>
      <w:r w:rsidRPr="005446D2">
        <w:rPr>
          <w:rFonts w:ascii="Times New Roman" w:eastAsia="Times New Roman" w:hAnsi="Times New Roman" w:cs="Times New Roman"/>
          <w:kern w:val="0"/>
          <w:lang w:eastAsia="de-DE"/>
          <w14:ligatures w14:val="none"/>
        </w:rPr>
        <w:t xml:space="preserve"> = Primarily plankton | </w:t>
      </w:r>
      <w:r w:rsidRPr="005446D2">
        <w:rPr>
          <w:rFonts w:ascii="Segoe UI Emoji" w:eastAsia="Times New Roman" w:hAnsi="Segoe UI Emoji" w:cs="Segoe UI Emoji"/>
          <w:kern w:val="0"/>
          <w:lang w:eastAsia="de-DE"/>
          <w14:ligatures w14:val="none"/>
        </w:rPr>
        <w:t>🟡</w:t>
      </w:r>
      <w:r w:rsidRPr="005446D2">
        <w:rPr>
          <w:rFonts w:ascii="Times New Roman" w:eastAsia="Times New Roman" w:hAnsi="Times New Roman" w:cs="Times New Roman"/>
          <w:kern w:val="0"/>
          <w:lang w:eastAsia="de-DE"/>
          <w14:ligatures w14:val="none"/>
        </w:rPr>
        <w:t xml:space="preserve"> = Opportunistic / omnivorous | </w:t>
      </w:r>
      <w:r w:rsidRPr="005446D2">
        <w:rPr>
          <w:rFonts w:ascii="Segoe UI Emoji" w:eastAsia="Times New Roman" w:hAnsi="Segoe UI Emoji" w:cs="Segoe UI Emoji"/>
          <w:kern w:val="0"/>
          <w:lang w:eastAsia="de-DE"/>
          <w14:ligatures w14:val="none"/>
        </w:rPr>
        <w:t>⚠️</w:t>
      </w:r>
      <w:r w:rsidRPr="005446D2">
        <w:rPr>
          <w:rFonts w:ascii="Times New Roman" w:eastAsia="Times New Roman" w:hAnsi="Times New Roman" w:cs="Times New Roman"/>
          <w:kern w:val="0"/>
          <w:lang w:eastAsia="de-DE"/>
          <w14:ligatures w14:val="none"/>
        </w:rPr>
        <w:t xml:space="preserve"> = Strong variation within group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4"/>
        <w:gridCol w:w="2132"/>
        <w:gridCol w:w="1253"/>
        <w:gridCol w:w="2583"/>
      </w:tblGrid>
      <w:tr w:rsidR="005446D2" w:rsidRPr="005446D2" w14:paraId="11B03F3F" w14:textId="77777777">
        <w:trPr>
          <w:tblHeader/>
          <w:tblCellSpacing w:w="15" w:type="dxa"/>
        </w:trPr>
        <w:tc>
          <w:tcPr>
            <w:tcW w:w="0" w:type="auto"/>
            <w:vAlign w:val="center"/>
            <w:hideMark/>
          </w:tcPr>
          <w:p w14:paraId="29DFEC5C"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Group / Family</w:t>
            </w:r>
          </w:p>
        </w:tc>
        <w:tc>
          <w:tcPr>
            <w:tcW w:w="0" w:type="auto"/>
            <w:vAlign w:val="center"/>
            <w:hideMark/>
          </w:tcPr>
          <w:p w14:paraId="0E7B4D48"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Primary Food</w:t>
            </w:r>
          </w:p>
        </w:tc>
        <w:tc>
          <w:tcPr>
            <w:tcW w:w="0" w:type="auto"/>
            <w:vAlign w:val="center"/>
            <w:hideMark/>
          </w:tcPr>
          <w:p w14:paraId="2B507E0D"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Trophic Class</w:t>
            </w:r>
          </w:p>
        </w:tc>
        <w:tc>
          <w:tcPr>
            <w:tcW w:w="0" w:type="auto"/>
            <w:vAlign w:val="center"/>
            <w:hideMark/>
          </w:tcPr>
          <w:p w14:paraId="4A0089B8"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Notes</w:t>
            </w:r>
          </w:p>
        </w:tc>
      </w:tr>
      <w:tr w:rsidR="005446D2" w:rsidRPr="005446D2" w14:paraId="0635C616" w14:textId="77777777">
        <w:trPr>
          <w:tblCellSpacing w:w="15" w:type="dxa"/>
        </w:trPr>
        <w:tc>
          <w:tcPr>
            <w:tcW w:w="0" w:type="auto"/>
            <w:vAlign w:val="center"/>
            <w:hideMark/>
          </w:tcPr>
          <w:p w14:paraId="317720D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Blennies (Blenniidae)</w:t>
            </w:r>
          </w:p>
        </w:tc>
        <w:tc>
          <w:tcPr>
            <w:tcW w:w="0" w:type="auto"/>
            <w:vAlign w:val="center"/>
            <w:hideMark/>
          </w:tcPr>
          <w:p w14:paraId="4233A07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Microalgae, detritus</w:t>
            </w:r>
          </w:p>
        </w:tc>
        <w:tc>
          <w:tcPr>
            <w:tcW w:w="0" w:type="auto"/>
            <w:vAlign w:val="center"/>
            <w:hideMark/>
          </w:tcPr>
          <w:p w14:paraId="51A0A0B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1A428D5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Mostly herbivorous, some invertivores</w:t>
            </w:r>
          </w:p>
        </w:tc>
      </w:tr>
      <w:tr w:rsidR="005446D2" w:rsidRPr="005446D2" w14:paraId="2D46B6BA" w14:textId="77777777">
        <w:trPr>
          <w:tblCellSpacing w:w="15" w:type="dxa"/>
        </w:trPr>
        <w:tc>
          <w:tcPr>
            <w:tcW w:w="0" w:type="auto"/>
            <w:vAlign w:val="center"/>
            <w:hideMark/>
          </w:tcPr>
          <w:p w14:paraId="57FCEE4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Cardinalfishes (Apogonidae)</w:t>
            </w:r>
          </w:p>
        </w:tc>
        <w:tc>
          <w:tcPr>
            <w:tcW w:w="0" w:type="auto"/>
            <w:vAlign w:val="center"/>
            <w:hideMark/>
          </w:tcPr>
          <w:p w14:paraId="1D4E84D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Zooplankton</w:t>
            </w:r>
          </w:p>
        </w:tc>
        <w:tc>
          <w:tcPr>
            <w:tcW w:w="0" w:type="auto"/>
            <w:vAlign w:val="center"/>
            <w:hideMark/>
          </w:tcPr>
          <w:p w14:paraId="684B24E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25D3112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Nocturnal</w:t>
            </w:r>
          </w:p>
        </w:tc>
      </w:tr>
      <w:tr w:rsidR="005446D2" w:rsidRPr="005446D2" w14:paraId="6237517F" w14:textId="77777777">
        <w:trPr>
          <w:tblCellSpacing w:w="15" w:type="dxa"/>
        </w:trPr>
        <w:tc>
          <w:tcPr>
            <w:tcW w:w="0" w:type="auto"/>
            <w:vAlign w:val="center"/>
            <w:hideMark/>
          </w:tcPr>
          <w:p w14:paraId="0CDCCD1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Cephalopoda</w:t>
            </w:r>
          </w:p>
        </w:tc>
        <w:tc>
          <w:tcPr>
            <w:tcW w:w="0" w:type="auto"/>
            <w:vAlign w:val="center"/>
            <w:hideMark/>
          </w:tcPr>
          <w:p w14:paraId="0DB3FAA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Crustaceans, fish, mollusks</w:t>
            </w:r>
          </w:p>
        </w:tc>
        <w:tc>
          <w:tcPr>
            <w:tcW w:w="0" w:type="auto"/>
            <w:vAlign w:val="center"/>
            <w:hideMark/>
          </w:tcPr>
          <w:p w14:paraId="4CA41E6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4F2F3CA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Active predators</w:t>
            </w:r>
          </w:p>
        </w:tc>
      </w:tr>
      <w:tr w:rsidR="005446D2" w:rsidRPr="005446D2" w14:paraId="60E70B3A" w14:textId="77777777">
        <w:trPr>
          <w:tblCellSpacing w:w="15" w:type="dxa"/>
        </w:trPr>
        <w:tc>
          <w:tcPr>
            <w:tcW w:w="0" w:type="auto"/>
            <w:vAlign w:val="center"/>
            <w:hideMark/>
          </w:tcPr>
          <w:p w14:paraId="7F3E6C1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Angelfishes (Pomacanthidae)</w:t>
            </w:r>
          </w:p>
        </w:tc>
        <w:tc>
          <w:tcPr>
            <w:tcW w:w="0" w:type="auto"/>
            <w:vAlign w:val="center"/>
            <w:hideMark/>
          </w:tcPr>
          <w:p w14:paraId="18C6CC3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Sponges, algae</w:t>
            </w:r>
          </w:p>
        </w:tc>
        <w:tc>
          <w:tcPr>
            <w:tcW w:w="0" w:type="auto"/>
            <w:vAlign w:val="center"/>
            <w:hideMark/>
          </w:tcPr>
          <w:p w14:paraId="1D9408B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r w:rsidRPr="005446D2">
              <w:rPr>
                <w:rFonts w:ascii="Times New Roman" w:eastAsia="Times New Roman" w:hAnsi="Times New Roman" w:cs="Times New Roman"/>
                <w:kern w:val="0"/>
                <w:lang w:eastAsia="de-DE"/>
                <w14:ligatures w14:val="none"/>
              </w:rPr>
              <w:t xml:space="preserve"> </w:t>
            </w:r>
            <w:r w:rsidRPr="005446D2">
              <w:rPr>
                <w:rFonts w:ascii="Segoe UI Emoji" w:eastAsia="Times New Roman" w:hAnsi="Segoe UI Emoji" w:cs="Segoe UI Emoji"/>
                <w:kern w:val="0"/>
                <w:lang w:eastAsia="de-DE"/>
                <w14:ligatures w14:val="none"/>
              </w:rPr>
              <w:t>⚠️</w:t>
            </w:r>
          </w:p>
        </w:tc>
        <w:tc>
          <w:tcPr>
            <w:tcW w:w="0" w:type="auto"/>
            <w:vAlign w:val="center"/>
            <w:hideMark/>
          </w:tcPr>
          <w:p w14:paraId="531ED53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Species- and age-dependent</w:t>
            </w:r>
          </w:p>
        </w:tc>
      </w:tr>
      <w:tr w:rsidR="005446D2" w:rsidRPr="005446D2" w14:paraId="60BAB69A" w14:textId="77777777">
        <w:trPr>
          <w:tblCellSpacing w:w="15" w:type="dxa"/>
        </w:trPr>
        <w:tc>
          <w:tcPr>
            <w:tcW w:w="0" w:type="auto"/>
            <w:vAlign w:val="center"/>
            <w:hideMark/>
          </w:tcPr>
          <w:p w14:paraId="1AA6A54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Batfishes (Ephippidae)</w:t>
            </w:r>
          </w:p>
        </w:tc>
        <w:tc>
          <w:tcPr>
            <w:tcW w:w="0" w:type="auto"/>
            <w:vAlign w:val="center"/>
            <w:hideMark/>
          </w:tcPr>
          <w:p w14:paraId="061EB21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Algae, invertebrates</w:t>
            </w:r>
          </w:p>
        </w:tc>
        <w:tc>
          <w:tcPr>
            <w:tcW w:w="0" w:type="auto"/>
            <w:vAlign w:val="center"/>
            <w:hideMark/>
          </w:tcPr>
          <w:p w14:paraId="62A3D3E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42054F2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Juveniles often planktivorous</w:t>
            </w:r>
          </w:p>
        </w:tc>
      </w:tr>
      <w:tr w:rsidR="005446D2" w:rsidRPr="005446D2" w14:paraId="4D0460C0" w14:textId="77777777">
        <w:trPr>
          <w:tblCellSpacing w:w="15" w:type="dxa"/>
        </w:trPr>
        <w:tc>
          <w:tcPr>
            <w:tcW w:w="0" w:type="auto"/>
            <w:vAlign w:val="center"/>
            <w:hideMark/>
          </w:tcPr>
          <w:p w14:paraId="75FC228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Butterflyfishes (Chaetodontidae)</w:t>
            </w:r>
          </w:p>
        </w:tc>
        <w:tc>
          <w:tcPr>
            <w:tcW w:w="0" w:type="auto"/>
            <w:vAlign w:val="center"/>
            <w:hideMark/>
          </w:tcPr>
          <w:p w14:paraId="64C6C86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Coral polyps, invertebrates</w:t>
            </w:r>
          </w:p>
        </w:tc>
        <w:tc>
          <w:tcPr>
            <w:tcW w:w="0" w:type="auto"/>
            <w:vAlign w:val="center"/>
            <w:hideMark/>
          </w:tcPr>
          <w:p w14:paraId="3901F19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r w:rsidRPr="005446D2">
              <w:rPr>
                <w:rFonts w:ascii="Times New Roman" w:eastAsia="Times New Roman" w:hAnsi="Times New Roman" w:cs="Times New Roman"/>
                <w:kern w:val="0"/>
                <w:lang w:eastAsia="de-DE"/>
                <w14:ligatures w14:val="none"/>
              </w:rPr>
              <w:t xml:space="preserve"> </w:t>
            </w:r>
            <w:r w:rsidRPr="005446D2">
              <w:rPr>
                <w:rFonts w:ascii="Segoe UI Emoji" w:eastAsia="Times New Roman" w:hAnsi="Segoe UI Emoji" w:cs="Segoe UI Emoji"/>
                <w:kern w:val="0"/>
                <w:lang w:eastAsia="de-DE"/>
                <w14:ligatures w14:val="none"/>
              </w:rPr>
              <w:t>🔵</w:t>
            </w:r>
            <w:r w:rsidRPr="005446D2">
              <w:rPr>
                <w:rFonts w:ascii="Times New Roman" w:eastAsia="Times New Roman" w:hAnsi="Times New Roman" w:cs="Times New Roman"/>
                <w:kern w:val="0"/>
                <w:lang w:eastAsia="de-DE"/>
                <w14:ligatures w14:val="none"/>
              </w:rPr>
              <w:t xml:space="preserve"> </w:t>
            </w:r>
            <w:r w:rsidRPr="005446D2">
              <w:rPr>
                <w:rFonts w:ascii="Segoe UI Emoji" w:eastAsia="Times New Roman" w:hAnsi="Segoe UI Emoji" w:cs="Segoe UI Emoji"/>
                <w:kern w:val="0"/>
                <w:lang w:eastAsia="de-DE"/>
                <w14:ligatures w14:val="none"/>
              </w:rPr>
              <w:t>⚠️</w:t>
            </w:r>
          </w:p>
        </w:tc>
        <w:tc>
          <w:tcPr>
            <w:tcW w:w="0" w:type="auto"/>
            <w:vAlign w:val="center"/>
            <w:hideMark/>
          </w:tcPr>
          <w:p w14:paraId="1A9E7BE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Many corallivores</w:t>
            </w:r>
          </w:p>
        </w:tc>
      </w:tr>
      <w:tr w:rsidR="005446D2" w:rsidRPr="005446D2" w14:paraId="35BA57EF" w14:textId="77777777">
        <w:trPr>
          <w:tblCellSpacing w:w="15" w:type="dxa"/>
        </w:trPr>
        <w:tc>
          <w:tcPr>
            <w:tcW w:w="0" w:type="auto"/>
            <w:vAlign w:val="center"/>
            <w:hideMark/>
          </w:tcPr>
          <w:p w14:paraId="3C008E0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Eels (Muraenidae)</w:t>
            </w:r>
          </w:p>
        </w:tc>
        <w:tc>
          <w:tcPr>
            <w:tcW w:w="0" w:type="auto"/>
            <w:vAlign w:val="center"/>
            <w:hideMark/>
          </w:tcPr>
          <w:p w14:paraId="7C565C9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Fish, crustaceans</w:t>
            </w:r>
          </w:p>
        </w:tc>
        <w:tc>
          <w:tcPr>
            <w:tcW w:w="0" w:type="auto"/>
            <w:vAlign w:val="center"/>
            <w:hideMark/>
          </w:tcPr>
          <w:p w14:paraId="182A0A5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1FDB28D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Nocturnal predators</w:t>
            </w:r>
          </w:p>
        </w:tc>
      </w:tr>
      <w:tr w:rsidR="005446D2" w:rsidRPr="005446D2" w14:paraId="10B9F179" w14:textId="77777777">
        <w:trPr>
          <w:tblCellSpacing w:w="15" w:type="dxa"/>
        </w:trPr>
        <w:tc>
          <w:tcPr>
            <w:tcW w:w="0" w:type="auto"/>
            <w:vAlign w:val="center"/>
            <w:hideMark/>
          </w:tcPr>
          <w:p w14:paraId="48CC3C8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Elongate sand and burrow dwellers</w:t>
            </w:r>
          </w:p>
        </w:tc>
        <w:tc>
          <w:tcPr>
            <w:tcW w:w="0" w:type="auto"/>
            <w:vAlign w:val="center"/>
            <w:hideMark/>
          </w:tcPr>
          <w:p w14:paraId="5E3AAC3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Worms, crustaceans</w:t>
            </w:r>
          </w:p>
        </w:tc>
        <w:tc>
          <w:tcPr>
            <w:tcW w:w="0" w:type="auto"/>
            <w:vAlign w:val="center"/>
            <w:hideMark/>
          </w:tcPr>
          <w:p w14:paraId="0BED4AB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29572F2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Sediment feeders</w:t>
            </w:r>
          </w:p>
        </w:tc>
      </w:tr>
      <w:tr w:rsidR="005446D2" w:rsidRPr="005446D2" w14:paraId="0447D6B0" w14:textId="77777777">
        <w:trPr>
          <w:tblCellSpacing w:w="15" w:type="dxa"/>
        </w:trPr>
        <w:tc>
          <w:tcPr>
            <w:tcW w:w="0" w:type="auto"/>
            <w:vAlign w:val="center"/>
            <w:hideMark/>
          </w:tcPr>
          <w:p w14:paraId="487168C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Gobies (Gobiidae)</w:t>
            </w:r>
          </w:p>
        </w:tc>
        <w:tc>
          <w:tcPr>
            <w:tcW w:w="0" w:type="auto"/>
            <w:vAlign w:val="center"/>
            <w:hideMark/>
          </w:tcPr>
          <w:p w14:paraId="41CE630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Algae, plankton, invertebrates</w:t>
            </w:r>
          </w:p>
        </w:tc>
        <w:tc>
          <w:tcPr>
            <w:tcW w:w="0" w:type="auto"/>
            <w:vAlign w:val="center"/>
            <w:hideMark/>
          </w:tcPr>
          <w:p w14:paraId="25B8F1B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r w:rsidRPr="005446D2">
              <w:rPr>
                <w:rFonts w:ascii="Times New Roman" w:eastAsia="Times New Roman" w:hAnsi="Times New Roman" w:cs="Times New Roman"/>
                <w:kern w:val="0"/>
                <w:lang w:eastAsia="de-DE"/>
                <w14:ligatures w14:val="none"/>
              </w:rPr>
              <w:t xml:space="preserve"> </w:t>
            </w:r>
            <w:r w:rsidRPr="005446D2">
              <w:rPr>
                <w:rFonts w:ascii="Segoe UI Emoji" w:eastAsia="Times New Roman" w:hAnsi="Segoe UI Emoji" w:cs="Segoe UI Emoji"/>
                <w:kern w:val="0"/>
                <w:lang w:eastAsia="de-DE"/>
                <w14:ligatures w14:val="none"/>
              </w:rPr>
              <w:t>⚠️</w:t>
            </w:r>
          </w:p>
        </w:tc>
        <w:tc>
          <w:tcPr>
            <w:tcW w:w="0" w:type="auto"/>
            <w:vAlign w:val="center"/>
            <w:hideMark/>
          </w:tcPr>
          <w:p w14:paraId="431E810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Highly diverse</w:t>
            </w:r>
          </w:p>
        </w:tc>
      </w:tr>
      <w:tr w:rsidR="005446D2" w:rsidRPr="005446D2" w14:paraId="0CED314A" w14:textId="77777777">
        <w:trPr>
          <w:tblCellSpacing w:w="15" w:type="dxa"/>
        </w:trPr>
        <w:tc>
          <w:tcPr>
            <w:tcW w:w="0" w:type="auto"/>
            <w:vAlign w:val="center"/>
            <w:hideMark/>
          </w:tcPr>
          <w:p w14:paraId="5303D0D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Groupers (Serranidae, large)</w:t>
            </w:r>
          </w:p>
        </w:tc>
        <w:tc>
          <w:tcPr>
            <w:tcW w:w="0" w:type="auto"/>
            <w:vAlign w:val="center"/>
            <w:hideMark/>
          </w:tcPr>
          <w:p w14:paraId="546EA23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Fish, cephalopods</w:t>
            </w:r>
          </w:p>
        </w:tc>
        <w:tc>
          <w:tcPr>
            <w:tcW w:w="0" w:type="auto"/>
            <w:vAlign w:val="center"/>
            <w:hideMark/>
          </w:tcPr>
          <w:p w14:paraId="3351EBF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68D6A10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Top predators</w:t>
            </w:r>
          </w:p>
        </w:tc>
      </w:tr>
      <w:tr w:rsidR="005446D2" w:rsidRPr="005446D2" w14:paraId="08F499EE" w14:textId="77777777">
        <w:trPr>
          <w:tblCellSpacing w:w="15" w:type="dxa"/>
        </w:trPr>
        <w:tc>
          <w:tcPr>
            <w:tcW w:w="0" w:type="auto"/>
            <w:vAlign w:val="center"/>
            <w:hideMark/>
          </w:tcPr>
          <w:p w14:paraId="028894E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lastRenderedPageBreak/>
              <w:t>Hawkfishes (Cirrhitidae)</w:t>
            </w:r>
          </w:p>
        </w:tc>
        <w:tc>
          <w:tcPr>
            <w:tcW w:w="0" w:type="auto"/>
            <w:vAlign w:val="center"/>
            <w:hideMark/>
          </w:tcPr>
          <w:p w14:paraId="4CC49A5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Crustaceans, small fish</w:t>
            </w:r>
          </w:p>
        </w:tc>
        <w:tc>
          <w:tcPr>
            <w:tcW w:w="0" w:type="auto"/>
            <w:vAlign w:val="center"/>
            <w:hideMark/>
          </w:tcPr>
          <w:p w14:paraId="2D62A9B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3D15D0B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Ambush predators</w:t>
            </w:r>
          </w:p>
        </w:tc>
      </w:tr>
      <w:tr w:rsidR="005446D2" w:rsidRPr="005446D2" w14:paraId="0135B013" w14:textId="77777777">
        <w:trPr>
          <w:tblCellSpacing w:w="15" w:type="dxa"/>
        </w:trPr>
        <w:tc>
          <w:tcPr>
            <w:tcW w:w="0" w:type="auto"/>
            <w:vAlign w:val="center"/>
            <w:hideMark/>
          </w:tcPr>
          <w:p w14:paraId="2AC201B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Grunts (Haemulidae)</w:t>
            </w:r>
          </w:p>
        </w:tc>
        <w:tc>
          <w:tcPr>
            <w:tcW w:w="0" w:type="auto"/>
            <w:vAlign w:val="center"/>
            <w:hideMark/>
          </w:tcPr>
          <w:p w14:paraId="6FC7F96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Benthos (worms, crustaceans)</w:t>
            </w:r>
          </w:p>
        </w:tc>
        <w:tc>
          <w:tcPr>
            <w:tcW w:w="0" w:type="auto"/>
            <w:vAlign w:val="center"/>
            <w:hideMark/>
          </w:tcPr>
          <w:p w14:paraId="65B6F7C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374C326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Juveniles partly cleaners</w:t>
            </w:r>
          </w:p>
        </w:tc>
      </w:tr>
      <w:tr w:rsidR="005446D2" w:rsidRPr="005446D2" w14:paraId="7201DB7C" w14:textId="77777777">
        <w:trPr>
          <w:tblCellSpacing w:w="15" w:type="dxa"/>
        </w:trPr>
        <w:tc>
          <w:tcPr>
            <w:tcW w:w="0" w:type="auto"/>
            <w:vAlign w:val="center"/>
            <w:hideMark/>
          </w:tcPr>
          <w:p w14:paraId="03B06D8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Moorish Idol (Zanclidae)</w:t>
            </w:r>
          </w:p>
        </w:tc>
        <w:tc>
          <w:tcPr>
            <w:tcW w:w="0" w:type="auto"/>
            <w:vAlign w:val="center"/>
            <w:hideMark/>
          </w:tcPr>
          <w:p w14:paraId="2267408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Sponges, tunicates</w:t>
            </w:r>
          </w:p>
        </w:tc>
        <w:tc>
          <w:tcPr>
            <w:tcW w:w="0" w:type="auto"/>
            <w:vAlign w:val="center"/>
            <w:hideMark/>
          </w:tcPr>
          <w:p w14:paraId="6E22F72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4E71777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Dietary specialist</w:t>
            </w:r>
          </w:p>
        </w:tc>
      </w:tr>
      <w:tr w:rsidR="005446D2" w:rsidRPr="005446D2" w14:paraId="7569B3F6" w14:textId="77777777">
        <w:trPr>
          <w:tblCellSpacing w:w="15" w:type="dxa"/>
        </w:trPr>
        <w:tc>
          <w:tcPr>
            <w:tcW w:w="0" w:type="auto"/>
            <w:vAlign w:val="center"/>
            <w:hideMark/>
          </w:tcPr>
          <w:p w14:paraId="4C4E258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Rabbitfishes (Siganidae)</w:t>
            </w:r>
          </w:p>
        </w:tc>
        <w:tc>
          <w:tcPr>
            <w:tcW w:w="0" w:type="auto"/>
            <w:vAlign w:val="center"/>
            <w:hideMark/>
          </w:tcPr>
          <w:p w14:paraId="6D025AB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Macroalgae</w:t>
            </w:r>
          </w:p>
        </w:tc>
        <w:tc>
          <w:tcPr>
            <w:tcW w:w="0" w:type="auto"/>
            <w:vAlign w:val="center"/>
            <w:hideMark/>
          </w:tcPr>
          <w:p w14:paraId="0E5F4B4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78D7447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Key herbivores</w:t>
            </w:r>
          </w:p>
        </w:tc>
      </w:tr>
      <w:tr w:rsidR="005446D2" w:rsidRPr="005446D2" w14:paraId="2B22854D" w14:textId="77777777">
        <w:trPr>
          <w:tblCellSpacing w:w="15" w:type="dxa"/>
        </w:trPr>
        <w:tc>
          <w:tcPr>
            <w:tcW w:w="0" w:type="auto"/>
            <w:vAlign w:val="center"/>
            <w:hideMark/>
          </w:tcPr>
          <w:p w14:paraId="7329C99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Surgeonfishes (Acanthuridae)</w:t>
            </w:r>
          </w:p>
        </w:tc>
        <w:tc>
          <w:tcPr>
            <w:tcW w:w="0" w:type="auto"/>
            <w:vAlign w:val="center"/>
            <w:hideMark/>
          </w:tcPr>
          <w:p w14:paraId="2527B55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Algae, detritus</w:t>
            </w:r>
          </w:p>
        </w:tc>
        <w:tc>
          <w:tcPr>
            <w:tcW w:w="0" w:type="auto"/>
            <w:vAlign w:val="center"/>
            <w:hideMark/>
          </w:tcPr>
          <w:p w14:paraId="7F64C4C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r w:rsidRPr="005446D2">
              <w:rPr>
                <w:rFonts w:ascii="Times New Roman" w:eastAsia="Times New Roman" w:hAnsi="Times New Roman" w:cs="Times New Roman"/>
                <w:kern w:val="0"/>
                <w:lang w:eastAsia="de-DE"/>
                <w14:ligatures w14:val="none"/>
              </w:rPr>
              <w:t xml:space="preserve"> </w:t>
            </w:r>
            <w:r w:rsidRPr="005446D2">
              <w:rPr>
                <w:rFonts w:ascii="Segoe UI Emoji" w:eastAsia="Times New Roman" w:hAnsi="Segoe UI Emoji" w:cs="Segoe UI Emoji"/>
                <w:kern w:val="0"/>
                <w:lang w:eastAsia="de-DE"/>
                <w14:ligatures w14:val="none"/>
              </w:rPr>
              <w:t>⚠️</w:t>
            </w:r>
          </w:p>
        </w:tc>
        <w:tc>
          <w:tcPr>
            <w:tcW w:w="0" w:type="auto"/>
            <w:vAlign w:val="center"/>
            <w:hideMark/>
          </w:tcPr>
          <w:p w14:paraId="57DF433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Some planktivorous</w:t>
            </w:r>
          </w:p>
        </w:tc>
      </w:tr>
      <w:tr w:rsidR="005446D2" w:rsidRPr="005446D2" w14:paraId="12312D5B" w14:textId="77777777">
        <w:trPr>
          <w:tblCellSpacing w:w="15" w:type="dxa"/>
        </w:trPr>
        <w:tc>
          <w:tcPr>
            <w:tcW w:w="0" w:type="auto"/>
            <w:vAlign w:val="center"/>
            <w:hideMark/>
          </w:tcPr>
          <w:p w14:paraId="6660992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Frogfishes (Antennariidae)</w:t>
            </w:r>
          </w:p>
        </w:tc>
        <w:tc>
          <w:tcPr>
            <w:tcW w:w="0" w:type="auto"/>
            <w:vAlign w:val="center"/>
            <w:hideMark/>
          </w:tcPr>
          <w:p w14:paraId="22E0B0F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Fish</w:t>
            </w:r>
          </w:p>
        </w:tc>
        <w:tc>
          <w:tcPr>
            <w:tcW w:w="0" w:type="auto"/>
            <w:vAlign w:val="center"/>
            <w:hideMark/>
          </w:tcPr>
          <w:p w14:paraId="20F1728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69C3A8D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Highly specialized</w:t>
            </w:r>
          </w:p>
        </w:tc>
      </w:tr>
      <w:tr w:rsidR="005446D2" w:rsidRPr="005446D2" w14:paraId="17D062D1" w14:textId="77777777">
        <w:trPr>
          <w:tblCellSpacing w:w="15" w:type="dxa"/>
        </w:trPr>
        <w:tc>
          <w:tcPr>
            <w:tcW w:w="0" w:type="auto"/>
            <w:vAlign w:val="center"/>
            <w:hideMark/>
          </w:tcPr>
          <w:p w14:paraId="03A5A91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Scorpionfishes and Lionfishes (Scorpaenidae)</w:t>
            </w:r>
          </w:p>
        </w:tc>
        <w:tc>
          <w:tcPr>
            <w:tcW w:w="0" w:type="auto"/>
            <w:vAlign w:val="center"/>
            <w:hideMark/>
          </w:tcPr>
          <w:p w14:paraId="0554B79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Fish, crustaceans</w:t>
            </w:r>
          </w:p>
        </w:tc>
        <w:tc>
          <w:tcPr>
            <w:tcW w:w="0" w:type="auto"/>
            <w:vAlign w:val="center"/>
            <w:hideMark/>
          </w:tcPr>
          <w:p w14:paraId="1E12F1D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57D4BFD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Ambush predators</w:t>
            </w:r>
          </w:p>
        </w:tc>
      </w:tr>
      <w:tr w:rsidR="005446D2" w:rsidRPr="005446D2" w14:paraId="7D0AB1AE" w14:textId="77777777">
        <w:trPr>
          <w:tblCellSpacing w:w="15" w:type="dxa"/>
        </w:trPr>
        <w:tc>
          <w:tcPr>
            <w:tcW w:w="0" w:type="auto"/>
            <w:vAlign w:val="center"/>
            <w:hideMark/>
          </w:tcPr>
          <w:p w14:paraId="306B98E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Stonefishes (Synanceiidae)</w:t>
            </w:r>
          </w:p>
        </w:tc>
        <w:tc>
          <w:tcPr>
            <w:tcW w:w="0" w:type="auto"/>
            <w:vAlign w:val="center"/>
            <w:hideMark/>
          </w:tcPr>
          <w:p w14:paraId="2AD4EF5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Fish</w:t>
            </w:r>
          </w:p>
        </w:tc>
        <w:tc>
          <w:tcPr>
            <w:tcW w:w="0" w:type="auto"/>
            <w:vAlign w:val="center"/>
            <w:hideMark/>
          </w:tcPr>
          <w:p w14:paraId="45EEC34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73C58EF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Venomous predators</w:t>
            </w:r>
          </w:p>
        </w:tc>
      </w:tr>
      <w:tr w:rsidR="005446D2" w:rsidRPr="005446D2" w14:paraId="629724CF" w14:textId="77777777">
        <w:trPr>
          <w:tblCellSpacing w:w="15" w:type="dxa"/>
        </w:trPr>
        <w:tc>
          <w:tcPr>
            <w:tcW w:w="0" w:type="auto"/>
            <w:vAlign w:val="center"/>
            <w:hideMark/>
          </w:tcPr>
          <w:p w14:paraId="1E4F6E8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Boxfishes (Ostraciidae)</w:t>
            </w:r>
          </w:p>
        </w:tc>
        <w:tc>
          <w:tcPr>
            <w:tcW w:w="0" w:type="auto"/>
            <w:vAlign w:val="center"/>
            <w:hideMark/>
          </w:tcPr>
          <w:p w14:paraId="684EFBF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Algae, invertebrates</w:t>
            </w:r>
          </w:p>
        </w:tc>
        <w:tc>
          <w:tcPr>
            <w:tcW w:w="0" w:type="auto"/>
            <w:vAlign w:val="center"/>
            <w:hideMark/>
          </w:tcPr>
          <w:p w14:paraId="3924256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3ABC3DA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Omnivorous</w:t>
            </w:r>
          </w:p>
        </w:tc>
      </w:tr>
      <w:tr w:rsidR="005446D2" w:rsidRPr="005446D2" w14:paraId="17F4679D" w14:textId="77777777">
        <w:trPr>
          <w:tblCellSpacing w:w="15" w:type="dxa"/>
        </w:trPr>
        <w:tc>
          <w:tcPr>
            <w:tcW w:w="0" w:type="auto"/>
            <w:vAlign w:val="center"/>
            <w:hideMark/>
          </w:tcPr>
          <w:p w14:paraId="5B6C08E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Cornetfishes (Fistulariidae)</w:t>
            </w:r>
          </w:p>
        </w:tc>
        <w:tc>
          <w:tcPr>
            <w:tcW w:w="0" w:type="auto"/>
            <w:vAlign w:val="center"/>
            <w:hideMark/>
          </w:tcPr>
          <w:p w14:paraId="5A9EF28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Fish</w:t>
            </w:r>
          </w:p>
        </w:tc>
        <w:tc>
          <w:tcPr>
            <w:tcW w:w="0" w:type="auto"/>
            <w:vAlign w:val="center"/>
            <w:hideMark/>
          </w:tcPr>
          <w:p w14:paraId="1ECB89C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0172460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Open-water hunters</w:t>
            </w:r>
          </w:p>
        </w:tc>
      </w:tr>
      <w:tr w:rsidR="005446D2" w:rsidRPr="005446D2" w14:paraId="7E08B26F" w14:textId="77777777">
        <w:trPr>
          <w:tblCellSpacing w:w="15" w:type="dxa"/>
        </w:trPr>
        <w:tc>
          <w:tcPr>
            <w:tcW w:w="0" w:type="auto"/>
            <w:vAlign w:val="center"/>
            <w:hideMark/>
          </w:tcPr>
          <w:p w14:paraId="16379DF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Filefishes (Monacanthidae)</w:t>
            </w:r>
          </w:p>
        </w:tc>
        <w:tc>
          <w:tcPr>
            <w:tcW w:w="0" w:type="auto"/>
            <w:vAlign w:val="center"/>
            <w:hideMark/>
          </w:tcPr>
          <w:p w14:paraId="6EB31CD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Algae, corals, invertebrates</w:t>
            </w:r>
          </w:p>
        </w:tc>
        <w:tc>
          <w:tcPr>
            <w:tcW w:w="0" w:type="auto"/>
            <w:vAlign w:val="center"/>
            <w:hideMark/>
          </w:tcPr>
          <w:p w14:paraId="6865ACE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r w:rsidRPr="005446D2">
              <w:rPr>
                <w:rFonts w:ascii="Times New Roman" w:eastAsia="Times New Roman" w:hAnsi="Times New Roman" w:cs="Times New Roman"/>
                <w:kern w:val="0"/>
                <w:lang w:eastAsia="de-DE"/>
                <w14:ligatures w14:val="none"/>
              </w:rPr>
              <w:t xml:space="preserve"> </w:t>
            </w:r>
            <w:r w:rsidRPr="005446D2">
              <w:rPr>
                <w:rFonts w:ascii="Segoe UI Emoji" w:eastAsia="Times New Roman" w:hAnsi="Segoe UI Emoji" w:cs="Segoe UI Emoji"/>
                <w:kern w:val="0"/>
                <w:lang w:eastAsia="de-DE"/>
                <w14:ligatures w14:val="none"/>
              </w:rPr>
              <w:t>⚠️</w:t>
            </w:r>
          </w:p>
        </w:tc>
        <w:tc>
          <w:tcPr>
            <w:tcW w:w="0" w:type="auto"/>
            <w:vAlign w:val="center"/>
            <w:hideMark/>
          </w:tcPr>
          <w:p w14:paraId="1FA7A8F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Highly species-specific</w:t>
            </w:r>
          </w:p>
        </w:tc>
      </w:tr>
      <w:tr w:rsidR="005446D2" w:rsidRPr="005446D2" w14:paraId="3243BBDF" w14:textId="77777777">
        <w:trPr>
          <w:tblCellSpacing w:w="15" w:type="dxa"/>
        </w:trPr>
        <w:tc>
          <w:tcPr>
            <w:tcW w:w="0" w:type="auto"/>
            <w:vAlign w:val="center"/>
            <w:hideMark/>
          </w:tcPr>
          <w:p w14:paraId="2EB255D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Goatfishes (Mullidae)</w:t>
            </w:r>
          </w:p>
        </w:tc>
        <w:tc>
          <w:tcPr>
            <w:tcW w:w="0" w:type="auto"/>
            <w:vAlign w:val="center"/>
            <w:hideMark/>
          </w:tcPr>
          <w:p w14:paraId="0A9318C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Worms, crustaceans</w:t>
            </w:r>
          </w:p>
        </w:tc>
        <w:tc>
          <w:tcPr>
            <w:tcW w:w="0" w:type="auto"/>
            <w:vAlign w:val="center"/>
            <w:hideMark/>
          </w:tcPr>
          <w:p w14:paraId="4829782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79F4754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Sediment searchers</w:t>
            </w:r>
          </w:p>
        </w:tc>
      </w:tr>
      <w:tr w:rsidR="005446D2" w:rsidRPr="005446D2" w14:paraId="6A0B9F45" w14:textId="77777777">
        <w:trPr>
          <w:tblCellSpacing w:w="15" w:type="dxa"/>
        </w:trPr>
        <w:tc>
          <w:tcPr>
            <w:tcW w:w="0" w:type="auto"/>
            <w:vAlign w:val="center"/>
            <w:hideMark/>
          </w:tcPr>
          <w:p w14:paraId="6B8B31C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Porcupinefishes (Diodontidae)</w:t>
            </w:r>
          </w:p>
        </w:tc>
        <w:tc>
          <w:tcPr>
            <w:tcW w:w="0" w:type="auto"/>
            <w:vAlign w:val="center"/>
            <w:hideMark/>
          </w:tcPr>
          <w:p w14:paraId="5600877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Hard-shelled invertebrates</w:t>
            </w:r>
          </w:p>
        </w:tc>
        <w:tc>
          <w:tcPr>
            <w:tcW w:w="0" w:type="auto"/>
            <w:vAlign w:val="center"/>
            <w:hideMark/>
          </w:tcPr>
          <w:p w14:paraId="6D5AA03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48C288E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Sea urchin specialists</w:t>
            </w:r>
          </w:p>
        </w:tc>
      </w:tr>
      <w:tr w:rsidR="005446D2" w:rsidRPr="005446D2" w14:paraId="3A9F9878" w14:textId="77777777">
        <w:trPr>
          <w:tblCellSpacing w:w="15" w:type="dxa"/>
        </w:trPr>
        <w:tc>
          <w:tcPr>
            <w:tcW w:w="0" w:type="auto"/>
            <w:vAlign w:val="center"/>
            <w:hideMark/>
          </w:tcPr>
          <w:p w14:paraId="5AEA1C9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Puffers (Tetraodontidae)</w:t>
            </w:r>
          </w:p>
        </w:tc>
        <w:tc>
          <w:tcPr>
            <w:tcW w:w="0" w:type="auto"/>
            <w:vAlign w:val="center"/>
            <w:hideMark/>
          </w:tcPr>
          <w:p w14:paraId="6257B6B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Invertebrates, algae</w:t>
            </w:r>
          </w:p>
        </w:tc>
        <w:tc>
          <w:tcPr>
            <w:tcW w:w="0" w:type="auto"/>
            <w:vAlign w:val="center"/>
            <w:hideMark/>
          </w:tcPr>
          <w:p w14:paraId="5A09F0A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4A625D3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Omnivorous</w:t>
            </w:r>
          </w:p>
        </w:tc>
      </w:tr>
      <w:tr w:rsidR="005446D2" w:rsidRPr="005446D2" w14:paraId="1B5AE31C" w14:textId="77777777">
        <w:trPr>
          <w:tblCellSpacing w:w="15" w:type="dxa"/>
        </w:trPr>
        <w:tc>
          <w:tcPr>
            <w:tcW w:w="0" w:type="auto"/>
            <w:vAlign w:val="center"/>
            <w:hideMark/>
          </w:tcPr>
          <w:p w14:paraId="17A90CF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Sweepers (Pempheridae)</w:t>
            </w:r>
          </w:p>
        </w:tc>
        <w:tc>
          <w:tcPr>
            <w:tcW w:w="0" w:type="auto"/>
            <w:vAlign w:val="center"/>
            <w:hideMark/>
          </w:tcPr>
          <w:p w14:paraId="4B63EDC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Zooplankton</w:t>
            </w:r>
          </w:p>
        </w:tc>
        <w:tc>
          <w:tcPr>
            <w:tcW w:w="0" w:type="auto"/>
            <w:vAlign w:val="center"/>
            <w:hideMark/>
          </w:tcPr>
          <w:p w14:paraId="53A590A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11AC558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Nocturnal</w:t>
            </w:r>
          </w:p>
        </w:tc>
      </w:tr>
      <w:tr w:rsidR="005446D2" w:rsidRPr="005446D2" w14:paraId="22820106" w14:textId="77777777">
        <w:trPr>
          <w:tblCellSpacing w:w="15" w:type="dxa"/>
        </w:trPr>
        <w:tc>
          <w:tcPr>
            <w:tcW w:w="0" w:type="auto"/>
            <w:vAlign w:val="center"/>
            <w:hideMark/>
          </w:tcPr>
          <w:p w14:paraId="08C7575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Triggerfishes (Balistidae)</w:t>
            </w:r>
          </w:p>
        </w:tc>
        <w:tc>
          <w:tcPr>
            <w:tcW w:w="0" w:type="auto"/>
            <w:vAlign w:val="center"/>
            <w:hideMark/>
          </w:tcPr>
          <w:p w14:paraId="626E072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Sea urchins, mollusks</w:t>
            </w:r>
          </w:p>
        </w:tc>
        <w:tc>
          <w:tcPr>
            <w:tcW w:w="0" w:type="auto"/>
            <w:vAlign w:val="center"/>
            <w:hideMark/>
          </w:tcPr>
          <w:p w14:paraId="32157AF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7D1B7C7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Bioeroders</w:t>
            </w:r>
          </w:p>
        </w:tc>
      </w:tr>
      <w:tr w:rsidR="005446D2" w:rsidRPr="005446D2" w14:paraId="2EB23FC2" w14:textId="77777777">
        <w:trPr>
          <w:tblCellSpacing w:w="15" w:type="dxa"/>
        </w:trPr>
        <w:tc>
          <w:tcPr>
            <w:tcW w:w="0" w:type="auto"/>
            <w:vAlign w:val="center"/>
            <w:hideMark/>
          </w:tcPr>
          <w:p w14:paraId="706E145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Trumpetfishes (Aulostomidae)</w:t>
            </w:r>
          </w:p>
        </w:tc>
        <w:tc>
          <w:tcPr>
            <w:tcW w:w="0" w:type="auto"/>
            <w:vAlign w:val="center"/>
            <w:hideMark/>
          </w:tcPr>
          <w:p w14:paraId="4A0EA97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Fish</w:t>
            </w:r>
          </w:p>
        </w:tc>
        <w:tc>
          <w:tcPr>
            <w:tcW w:w="0" w:type="auto"/>
            <w:vAlign w:val="center"/>
            <w:hideMark/>
          </w:tcPr>
          <w:p w14:paraId="2F890BA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37901CE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Stalk hunters</w:t>
            </w:r>
          </w:p>
        </w:tc>
      </w:tr>
      <w:tr w:rsidR="005446D2" w:rsidRPr="005446D2" w14:paraId="6BA0EAA1" w14:textId="77777777">
        <w:trPr>
          <w:tblCellSpacing w:w="15" w:type="dxa"/>
        </w:trPr>
        <w:tc>
          <w:tcPr>
            <w:tcW w:w="0" w:type="auto"/>
            <w:vAlign w:val="center"/>
            <w:hideMark/>
          </w:tcPr>
          <w:p w14:paraId="0744CDE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Parrotfishes (Scaridae)</w:t>
            </w:r>
          </w:p>
        </w:tc>
        <w:tc>
          <w:tcPr>
            <w:tcW w:w="0" w:type="auto"/>
            <w:vAlign w:val="center"/>
            <w:hideMark/>
          </w:tcPr>
          <w:p w14:paraId="759B8A8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Algae and calcareous substrate</w:t>
            </w:r>
          </w:p>
        </w:tc>
        <w:tc>
          <w:tcPr>
            <w:tcW w:w="0" w:type="auto"/>
            <w:vAlign w:val="center"/>
            <w:hideMark/>
          </w:tcPr>
          <w:p w14:paraId="6B1F448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29959C7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Bioerosion and sand production</w:t>
            </w:r>
          </w:p>
        </w:tc>
      </w:tr>
      <w:tr w:rsidR="005446D2" w:rsidRPr="005446D2" w14:paraId="1FE2DDD1" w14:textId="77777777">
        <w:trPr>
          <w:tblCellSpacing w:w="15" w:type="dxa"/>
        </w:trPr>
        <w:tc>
          <w:tcPr>
            <w:tcW w:w="0" w:type="auto"/>
            <w:vAlign w:val="center"/>
            <w:hideMark/>
          </w:tcPr>
          <w:p w14:paraId="17561B6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Pipefishes and Seahorses (Syngnathidae)</w:t>
            </w:r>
          </w:p>
        </w:tc>
        <w:tc>
          <w:tcPr>
            <w:tcW w:w="0" w:type="auto"/>
            <w:vAlign w:val="center"/>
            <w:hideMark/>
          </w:tcPr>
          <w:p w14:paraId="5D66DEA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Zooplankton</w:t>
            </w:r>
          </w:p>
        </w:tc>
        <w:tc>
          <w:tcPr>
            <w:tcW w:w="0" w:type="auto"/>
            <w:vAlign w:val="center"/>
            <w:hideMark/>
          </w:tcPr>
          <w:p w14:paraId="4E79173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167BA12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Micropredators</w:t>
            </w:r>
          </w:p>
        </w:tc>
      </w:tr>
      <w:tr w:rsidR="005446D2" w:rsidRPr="005446D2" w14:paraId="3D958E74" w14:textId="77777777">
        <w:trPr>
          <w:tblCellSpacing w:w="15" w:type="dxa"/>
        </w:trPr>
        <w:tc>
          <w:tcPr>
            <w:tcW w:w="0" w:type="auto"/>
            <w:vAlign w:val="center"/>
            <w:hideMark/>
          </w:tcPr>
          <w:p w14:paraId="5D6463A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Bigeyes (Priacanthidae)</w:t>
            </w:r>
          </w:p>
        </w:tc>
        <w:tc>
          <w:tcPr>
            <w:tcW w:w="0" w:type="auto"/>
            <w:vAlign w:val="center"/>
            <w:hideMark/>
          </w:tcPr>
          <w:p w14:paraId="6F50F25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Fish, invertebrates</w:t>
            </w:r>
          </w:p>
        </w:tc>
        <w:tc>
          <w:tcPr>
            <w:tcW w:w="0" w:type="auto"/>
            <w:vAlign w:val="center"/>
            <w:hideMark/>
          </w:tcPr>
          <w:p w14:paraId="0F6E9FB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21F1354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Nocturnal</w:t>
            </w:r>
          </w:p>
        </w:tc>
      </w:tr>
      <w:tr w:rsidR="005446D2" w:rsidRPr="005446D2" w14:paraId="343E5C24" w14:textId="77777777">
        <w:trPr>
          <w:tblCellSpacing w:w="15" w:type="dxa"/>
        </w:trPr>
        <w:tc>
          <w:tcPr>
            <w:tcW w:w="0" w:type="auto"/>
            <w:vAlign w:val="center"/>
            <w:hideMark/>
          </w:tcPr>
          <w:p w14:paraId="2D86D1A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Soldierfishes and Squirrelfishes (Holocentridae)</w:t>
            </w:r>
          </w:p>
        </w:tc>
        <w:tc>
          <w:tcPr>
            <w:tcW w:w="0" w:type="auto"/>
            <w:vAlign w:val="center"/>
            <w:hideMark/>
          </w:tcPr>
          <w:p w14:paraId="2826DC6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Crustaceans</w:t>
            </w:r>
          </w:p>
        </w:tc>
        <w:tc>
          <w:tcPr>
            <w:tcW w:w="0" w:type="auto"/>
            <w:vAlign w:val="center"/>
            <w:hideMark/>
          </w:tcPr>
          <w:p w14:paraId="75E1126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568B2CB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Nocturnal</w:t>
            </w:r>
          </w:p>
        </w:tc>
      </w:tr>
      <w:tr w:rsidR="005446D2" w:rsidRPr="005446D2" w14:paraId="4B39B255" w14:textId="77777777">
        <w:trPr>
          <w:tblCellSpacing w:w="15" w:type="dxa"/>
        </w:trPr>
        <w:tc>
          <w:tcPr>
            <w:tcW w:w="0" w:type="auto"/>
            <w:vAlign w:val="center"/>
            <w:hideMark/>
          </w:tcPr>
          <w:p w14:paraId="5761A2C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Sharks and Rays</w:t>
            </w:r>
          </w:p>
        </w:tc>
        <w:tc>
          <w:tcPr>
            <w:tcW w:w="0" w:type="auto"/>
            <w:vAlign w:val="center"/>
            <w:hideMark/>
          </w:tcPr>
          <w:p w14:paraId="57AD792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Fish, benthos, plankton</w:t>
            </w:r>
          </w:p>
        </w:tc>
        <w:tc>
          <w:tcPr>
            <w:tcW w:w="0" w:type="auto"/>
            <w:vAlign w:val="center"/>
            <w:hideMark/>
          </w:tcPr>
          <w:p w14:paraId="350D284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r w:rsidRPr="005446D2">
              <w:rPr>
                <w:rFonts w:ascii="Times New Roman" w:eastAsia="Times New Roman" w:hAnsi="Times New Roman" w:cs="Times New Roman"/>
                <w:kern w:val="0"/>
                <w:lang w:eastAsia="de-DE"/>
                <w14:ligatures w14:val="none"/>
              </w:rPr>
              <w:t xml:space="preserve"> </w:t>
            </w:r>
            <w:r w:rsidRPr="005446D2">
              <w:rPr>
                <w:rFonts w:ascii="Segoe UI Emoji" w:eastAsia="Times New Roman" w:hAnsi="Segoe UI Emoji" w:cs="Segoe UI Emoji"/>
                <w:kern w:val="0"/>
                <w:lang w:eastAsia="de-DE"/>
                <w14:ligatures w14:val="none"/>
              </w:rPr>
              <w:t>⚠️</w:t>
            </w:r>
          </w:p>
        </w:tc>
        <w:tc>
          <w:tcPr>
            <w:tcW w:w="0" w:type="auto"/>
            <w:vAlign w:val="center"/>
            <w:hideMark/>
          </w:tcPr>
          <w:p w14:paraId="54D0041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Strong variation among species</w:t>
            </w:r>
          </w:p>
        </w:tc>
      </w:tr>
      <w:tr w:rsidR="005446D2" w:rsidRPr="005446D2" w14:paraId="6D0D419A" w14:textId="77777777">
        <w:trPr>
          <w:tblCellSpacing w:w="15" w:type="dxa"/>
        </w:trPr>
        <w:tc>
          <w:tcPr>
            <w:tcW w:w="0" w:type="auto"/>
            <w:vAlign w:val="center"/>
            <w:hideMark/>
          </w:tcPr>
          <w:p w14:paraId="7F7B47C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Barracudas (Sphyraenidae)</w:t>
            </w:r>
          </w:p>
        </w:tc>
        <w:tc>
          <w:tcPr>
            <w:tcW w:w="0" w:type="auto"/>
            <w:vAlign w:val="center"/>
            <w:hideMark/>
          </w:tcPr>
          <w:p w14:paraId="377CD85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Fish</w:t>
            </w:r>
          </w:p>
        </w:tc>
        <w:tc>
          <w:tcPr>
            <w:tcW w:w="0" w:type="auto"/>
            <w:vAlign w:val="center"/>
            <w:hideMark/>
          </w:tcPr>
          <w:p w14:paraId="4B85171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4BD2B24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Fast predators</w:t>
            </w:r>
          </w:p>
        </w:tc>
      </w:tr>
      <w:tr w:rsidR="005446D2" w:rsidRPr="005446D2" w14:paraId="10574336" w14:textId="77777777">
        <w:trPr>
          <w:tblCellSpacing w:w="15" w:type="dxa"/>
        </w:trPr>
        <w:tc>
          <w:tcPr>
            <w:tcW w:w="0" w:type="auto"/>
            <w:vAlign w:val="center"/>
            <w:hideMark/>
          </w:tcPr>
          <w:p w14:paraId="309A908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Jacks and Trevallies (Carangidae)</w:t>
            </w:r>
          </w:p>
        </w:tc>
        <w:tc>
          <w:tcPr>
            <w:tcW w:w="0" w:type="auto"/>
            <w:vAlign w:val="center"/>
            <w:hideMark/>
          </w:tcPr>
          <w:p w14:paraId="34A868B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Fish</w:t>
            </w:r>
          </w:p>
        </w:tc>
        <w:tc>
          <w:tcPr>
            <w:tcW w:w="0" w:type="auto"/>
            <w:vAlign w:val="center"/>
            <w:hideMark/>
          </w:tcPr>
          <w:p w14:paraId="3BC6C34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533E192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Active hunters</w:t>
            </w:r>
          </w:p>
        </w:tc>
      </w:tr>
      <w:tr w:rsidR="005446D2" w:rsidRPr="005446D2" w14:paraId="2007C536" w14:textId="77777777">
        <w:trPr>
          <w:tblCellSpacing w:w="15" w:type="dxa"/>
        </w:trPr>
        <w:tc>
          <w:tcPr>
            <w:tcW w:w="0" w:type="auto"/>
            <w:vAlign w:val="center"/>
            <w:hideMark/>
          </w:tcPr>
          <w:p w14:paraId="7EBA2CE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Tunas and Mackerels (Scombridae)</w:t>
            </w:r>
          </w:p>
        </w:tc>
        <w:tc>
          <w:tcPr>
            <w:tcW w:w="0" w:type="auto"/>
            <w:vAlign w:val="center"/>
            <w:hideMark/>
          </w:tcPr>
          <w:p w14:paraId="4758B1C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Fish</w:t>
            </w:r>
          </w:p>
        </w:tc>
        <w:tc>
          <w:tcPr>
            <w:tcW w:w="0" w:type="auto"/>
            <w:vAlign w:val="center"/>
            <w:hideMark/>
          </w:tcPr>
          <w:p w14:paraId="30A89A2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4F2D830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Pelagic</w:t>
            </w:r>
          </w:p>
        </w:tc>
      </w:tr>
      <w:tr w:rsidR="005446D2" w:rsidRPr="005446D2" w14:paraId="360998B3" w14:textId="77777777">
        <w:trPr>
          <w:tblCellSpacing w:w="15" w:type="dxa"/>
        </w:trPr>
        <w:tc>
          <w:tcPr>
            <w:tcW w:w="0" w:type="auto"/>
            <w:vAlign w:val="center"/>
            <w:hideMark/>
          </w:tcPr>
          <w:p w14:paraId="6525682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Anthias (Anthiinae)</w:t>
            </w:r>
          </w:p>
        </w:tc>
        <w:tc>
          <w:tcPr>
            <w:tcW w:w="0" w:type="auto"/>
            <w:vAlign w:val="center"/>
            <w:hideMark/>
          </w:tcPr>
          <w:p w14:paraId="6719A19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Zooplankton</w:t>
            </w:r>
          </w:p>
        </w:tc>
        <w:tc>
          <w:tcPr>
            <w:tcW w:w="0" w:type="auto"/>
            <w:vAlign w:val="center"/>
            <w:hideMark/>
          </w:tcPr>
          <w:p w14:paraId="5D582C1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1AA138B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Reef planktivores</w:t>
            </w:r>
          </w:p>
        </w:tc>
      </w:tr>
      <w:tr w:rsidR="005446D2" w:rsidRPr="005446D2" w14:paraId="2C4E24F0" w14:textId="77777777">
        <w:trPr>
          <w:tblCellSpacing w:w="15" w:type="dxa"/>
        </w:trPr>
        <w:tc>
          <w:tcPr>
            <w:tcW w:w="0" w:type="auto"/>
            <w:vAlign w:val="center"/>
            <w:hideMark/>
          </w:tcPr>
          <w:p w14:paraId="2933EB2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Fusiliers (Caesionidae)</w:t>
            </w:r>
          </w:p>
        </w:tc>
        <w:tc>
          <w:tcPr>
            <w:tcW w:w="0" w:type="auto"/>
            <w:vAlign w:val="center"/>
            <w:hideMark/>
          </w:tcPr>
          <w:p w14:paraId="47D15F7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Zooplankton</w:t>
            </w:r>
          </w:p>
        </w:tc>
        <w:tc>
          <w:tcPr>
            <w:tcW w:w="0" w:type="auto"/>
            <w:vAlign w:val="center"/>
            <w:hideMark/>
          </w:tcPr>
          <w:p w14:paraId="4647E3F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4F0274F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Schooling fish</w:t>
            </w:r>
          </w:p>
        </w:tc>
      </w:tr>
      <w:tr w:rsidR="005446D2" w:rsidRPr="005446D2" w14:paraId="4A81FD02" w14:textId="77777777">
        <w:trPr>
          <w:tblCellSpacing w:w="15" w:type="dxa"/>
        </w:trPr>
        <w:tc>
          <w:tcPr>
            <w:tcW w:w="0" w:type="auto"/>
            <w:vAlign w:val="center"/>
            <w:hideMark/>
          </w:tcPr>
          <w:p w14:paraId="4CEBD2A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Coral Breams (Nemipteridae)</w:t>
            </w:r>
          </w:p>
        </w:tc>
        <w:tc>
          <w:tcPr>
            <w:tcW w:w="0" w:type="auto"/>
            <w:vAlign w:val="center"/>
            <w:hideMark/>
          </w:tcPr>
          <w:p w14:paraId="0DFDCEE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Benthos</w:t>
            </w:r>
          </w:p>
        </w:tc>
        <w:tc>
          <w:tcPr>
            <w:tcW w:w="0" w:type="auto"/>
            <w:vAlign w:val="center"/>
            <w:hideMark/>
          </w:tcPr>
          <w:p w14:paraId="5CF7332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12726B1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Near soft bottom</w:t>
            </w:r>
          </w:p>
        </w:tc>
      </w:tr>
      <w:tr w:rsidR="005446D2" w:rsidRPr="005446D2" w14:paraId="277BA09F" w14:textId="77777777">
        <w:trPr>
          <w:tblCellSpacing w:w="15" w:type="dxa"/>
        </w:trPr>
        <w:tc>
          <w:tcPr>
            <w:tcW w:w="0" w:type="auto"/>
            <w:vAlign w:val="center"/>
            <w:hideMark/>
          </w:tcPr>
          <w:p w14:paraId="77D4186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lastRenderedPageBreak/>
              <w:t>Emperors (Lethrinidae)</w:t>
            </w:r>
          </w:p>
        </w:tc>
        <w:tc>
          <w:tcPr>
            <w:tcW w:w="0" w:type="auto"/>
            <w:vAlign w:val="center"/>
            <w:hideMark/>
          </w:tcPr>
          <w:p w14:paraId="1EB9301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Invertebrates, fish</w:t>
            </w:r>
          </w:p>
        </w:tc>
        <w:tc>
          <w:tcPr>
            <w:tcW w:w="0" w:type="auto"/>
            <w:vAlign w:val="center"/>
            <w:hideMark/>
          </w:tcPr>
          <w:p w14:paraId="4176A1D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7F2AC95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Generalists</w:t>
            </w:r>
          </w:p>
        </w:tc>
      </w:tr>
      <w:tr w:rsidR="005446D2" w:rsidRPr="005446D2" w14:paraId="48D41DF2" w14:textId="77777777">
        <w:trPr>
          <w:tblCellSpacing w:w="15" w:type="dxa"/>
        </w:trPr>
        <w:tc>
          <w:tcPr>
            <w:tcW w:w="0" w:type="auto"/>
            <w:vAlign w:val="center"/>
            <w:hideMark/>
          </w:tcPr>
          <w:p w14:paraId="4CCDB14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Snappers (Lutjanidae)</w:t>
            </w:r>
          </w:p>
        </w:tc>
        <w:tc>
          <w:tcPr>
            <w:tcW w:w="0" w:type="auto"/>
            <w:vAlign w:val="center"/>
            <w:hideMark/>
          </w:tcPr>
          <w:p w14:paraId="0A16CF8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Fish, crustaceans</w:t>
            </w:r>
          </w:p>
        </w:tc>
        <w:tc>
          <w:tcPr>
            <w:tcW w:w="0" w:type="auto"/>
            <w:vAlign w:val="center"/>
            <w:hideMark/>
          </w:tcPr>
          <w:p w14:paraId="2823521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6E1222F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Nocturnal hunters</w:t>
            </w:r>
          </w:p>
        </w:tc>
      </w:tr>
      <w:tr w:rsidR="005446D2" w:rsidRPr="005446D2" w14:paraId="47E21489" w14:textId="77777777">
        <w:trPr>
          <w:tblCellSpacing w:w="15" w:type="dxa"/>
        </w:trPr>
        <w:tc>
          <w:tcPr>
            <w:tcW w:w="0" w:type="auto"/>
            <w:vAlign w:val="center"/>
            <w:hideMark/>
          </w:tcPr>
          <w:p w14:paraId="0C8D9A0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Damselfishes (Pomacentridae)</w:t>
            </w:r>
          </w:p>
        </w:tc>
        <w:tc>
          <w:tcPr>
            <w:tcW w:w="0" w:type="auto"/>
            <w:vAlign w:val="center"/>
            <w:hideMark/>
          </w:tcPr>
          <w:p w14:paraId="2F5A61C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Algae, plankton</w:t>
            </w:r>
          </w:p>
        </w:tc>
        <w:tc>
          <w:tcPr>
            <w:tcW w:w="0" w:type="auto"/>
            <w:vAlign w:val="center"/>
            <w:hideMark/>
          </w:tcPr>
          <w:p w14:paraId="3965A5F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r w:rsidRPr="005446D2">
              <w:rPr>
                <w:rFonts w:ascii="Times New Roman" w:eastAsia="Times New Roman" w:hAnsi="Times New Roman" w:cs="Times New Roman"/>
                <w:kern w:val="0"/>
                <w:lang w:eastAsia="de-DE"/>
                <w14:ligatures w14:val="none"/>
              </w:rPr>
              <w:t xml:space="preserve"> </w:t>
            </w:r>
            <w:r w:rsidRPr="005446D2">
              <w:rPr>
                <w:rFonts w:ascii="Segoe UI Emoji" w:eastAsia="Times New Roman" w:hAnsi="Segoe UI Emoji" w:cs="Segoe UI Emoji"/>
                <w:kern w:val="0"/>
                <w:lang w:eastAsia="de-DE"/>
                <w14:ligatures w14:val="none"/>
              </w:rPr>
              <w:t>⚠️</w:t>
            </w:r>
          </w:p>
        </w:tc>
        <w:tc>
          <w:tcPr>
            <w:tcW w:w="0" w:type="auto"/>
            <w:vAlign w:val="center"/>
            <w:hideMark/>
          </w:tcPr>
          <w:p w14:paraId="0B9E02E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Algae gardeners vs. planktivores</w:t>
            </w:r>
          </w:p>
        </w:tc>
      </w:tr>
      <w:tr w:rsidR="005446D2" w:rsidRPr="005446D2" w14:paraId="4E609018" w14:textId="77777777">
        <w:trPr>
          <w:tblCellSpacing w:w="15" w:type="dxa"/>
        </w:trPr>
        <w:tc>
          <w:tcPr>
            <w:tcW w:w="0" w:type="auto"/>
            <w:vAlign w:val="center"/>
            <w:hideMark/>
          </w:tcPr>
          <w:p w14:paraId="473AA39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Mantis Shrimp (Stomatopoda)</w:t>
            </w:r>
          </w:p>
        </w:tc>
        <w:tc>
          <w:tcPr>
            <w:tcW w:w="0" w:type="auto"/>
            <w:vAlign w:val="center"/>
            <w:hideMark/>
          </w:tcPr>
          <w:p w14:paraId="2FA286D6"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Crustaceans, fish</w:t>
            </w:r>
          </w:p>
        </w:tc>
        <w:tc>
          <w:tcPr>
            <w:tcW w:w="0" w:type="auto"/>
            <w:vAlign w:val="center"/>
            <w:hideMark/>
          </w:tcPr>
          <w:p w14:paraId="091B955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p>
        </w:tc>
        <w:tc>
          <w:tcPr>
            <w:tcW w:w="0" w:type="auto"/>
            <w:vAlign w:val="center"/>
            <w:hideMark/>
          </w:tcPr>
          <w:p w14:paraId="023BE22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Very aggressive predators</w:t>
            </w:r>
          </w:p>
        </w:tc>
      </w:tr>
      <w:tr w:rsidR="005446D2" w:rsidRPr="005446D2" w14:paraId="031F6F44" w14:textId="77777777">
        <w:trPr>
          <w:tblCellSpacing w:w="15" w:type="dxa"/>
        </w:trPr>
        <w:tc>
          <w:tcPr>
            <w:tcW w:w="0" w:type="auto"/>
            <w:vAlign w:val="center"/>
            <w:hideMark/>
          </w:tcPr>
          <w:p w14:paraId="6984C7F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Turtles (Cheloniidae)</w:t>
            </w:r>
          </w:p>
        </w:tc>
        <w:tc>
          <w:tcPr>
            <w:tcW w:w="0" w:type="auto"/>
            <w:vAlign w:val="center"/>
            <w:hideMark/>
          </w:tcPr>
          <w:p w14:paraId="25F7C75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Algae, sponges</w:t>
            </w:r>
          </w:p>
        </w:tc>
        <w:tc>
          <w:tcPr>
            <w:tcW w:w="0" w:type="auto"/>
            <w:vAlign w:val="center"/>
            <w:hideMark/>
          </w:tcPr>
          <w:p w14:paraId="2DA6229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r w:rsidRPr="005446D2">
              <w:rPr>
                <w:rFonts w:ascii="Times New Roman" w:eastAsia="Times New Roman" w:hAnsi="Times New Roman" w:cs="Times New Roman"/>
                <w:kern w:val="0"/>
                <w:lang w:eastAsia="de-DE"/>
                <w14:ligatures w14:val="none"/>
              </w:rPr>
              <w:t xml:space="preserve"> </w:t>
            </w:r>
            <w:r w:rsidRPr="005446D2">
              <w:rPr>
                <w:rFonts w:ascii="Segoe UI Emoji" w:eastAsia="Times New Roman" w:hAnsi="Segoe UI Emoji" w:cs="Segoe UI Emoji"/>
                <w:kern w:val="0"/>
                <w:lang w:eastAsia="de-DE"/>
                <w14:ligatures w14:val="none"/>
              </w:rPr>
              <w:t>⚠️</w:t>
            </w:r>
          </w:p>
        </w:tc>
        <w:tc>
          <w:tcPr>
            <w:tcW w:w="0" w:type="auto"/>
            <w:vAlign w:val="center"/>
            <w:hideMark/>
          </w:tcPr>
          <w:p w14:paraId="59894B6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Species-dependent</w:t>
            </w:r>
          </w:p>
        </w:tc>
      </w:tr>
      <w:tr w:rsidR="005446D2" w:rsidRPr="005446D2" w14:paraId="31854F19" w14:textId="77777777">
        <w:trPr>
          <w:tblCellSpacing w:w="15" w:type="dxa"/>
        </w:trPr>
        <w:tc>
          <w:tcPr>
            <w:tcW w:w="0" w:type="auto"/>
            <w:vAlign w:val="center"/>
            <w:hideMark/>
          </w:tcPr>
          <w:p w14:paraId="67FC2EE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Wrasses (Labridae)</w:t>
            </w:r>
          </w:p>
        </w:tc>
        <w:tc>
          <w:tcPr>
            <w:tcW w:w="0" w:type="auto"/>
            <w:vAlign w:val="center"/>
            <w:hideMark/>
          </w:tcPr>
          <w:p w14:paraId="50A17F9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Invertebrates, plankton</w:t>
            </w:r>
          </w:p>
        </w:tc>
        <w:tc>
          <w:tcPr>
            <w:tcW w:w="0" w:type="auto"/>
            <w:vAlign w:val="center"/>
            <w:hideMark/>
          </w:tcPr>
          <w:p w14:paraId="5EA96D0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Segoe UI Emoji" w:eastAsia="Times New Roman" w:hAnsi="Segoe UI Emoji" w:cs="Segoe UI Emoji"/>
                <w:kern w:val="0"/>
                <w:lang w:eastAsia="de-DE"/>
                <w14:ligatures w14:val="none"/>
              </w:rPr>
              <w:t>🟠🟣</w:t>
            </w:r>
            <w:r w:rsidRPr="005446D2">
              <w:rPr>
                <w:rFonts w:ascii="Times New Roman" w:eastAsia="Times New Roman" w:hAnsi="Times New Roman" w:cs="Times New Roman"/>
                <w:kern w:val="0"/>
                <w:lang w:eastAsia="de-DE"/>
                <w14:ligatures w14:val="none"/>
              </w:rPr>
              <w:t xml:space="preserve"> </w:t>
            </w:r>
            <w:r w:rsidRPr="005446D2">
              <w:rPr>
                <w:rFonts w:ascii="Segoe UI Emoji" w:eastAsia="Times New Roman" w:hAnsi="Segoe UI Emoji" w:cs="Segoe UI Emoji"/>
                <w:kern w:val="0"/>
                <w:lang w:eastAsia="de-DE"/>
                <w14:ligatures w14:val="none"/>
              </w:rPr>
              <w:t>⚠️</w:t>
            </w:r>
          </w:p>
        </w:tc>
        <w:tc>
          <w:tcPr>
            <w:tcW w:w="0" w:type="auto"/>
            <w:vAlign w:val="center"/>
            <w:hideMark/>
          </w:tcPr>
          <w:p w14:paraId="24C8417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Cleaners, hunters, few herbivorous</w:t>
            </w:r>
          </w:p>
        </w:tc>
      </w:tr>
    </w:tbl>
    <w:p w14:paraId="62384121" w14:textId="77777777" w:rsidR="005446D2" w:rsidRPr="005446D2" w:rsidRDefault="005446D2" w:rsidP="005446D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5446D2">
        <w:rPr>
          <w:rFonts w:ascii="Times New Roman" w:eastAsia="Times New Roman" w:hAnsi="Times New Roman" w:cs="Times New Roman"/>
          <w:b/>
          <w:bCs/>
          <w:kern w:val="36"/>
          <w:sz w:val="48"/>
          <w:szCs w:val="48"/>
          <w:lang w:eastAsia="de-DE"/>
          <w14:ligatures w14:val="none"/>
        </w:rPr>
        <w:t>Appendix D: Supplementary Statistical Results</w:t>
      </w:r>
    </w:p>
    <w:p w14:paraId="23278108"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This appendix contains the supplementary statistical material identified in </w:t>
      </w:r>
      <w:r w:rsidRPr="005446D2">
        <w:rPr>
          <w:rFonts w:ascii="Courier New" w:eastAsia="Times New Roman" w:hAnsi="Courier New" w:cs="Courier New"/>
          <w:kern w:val="0"/>
          <w:sz w:val="20"/>
          <w:szCs w:val="20"/>
          <w:lang w:eastAsia="de-DE"/>
          <w14:ligatures w14:val="none"/>
        </w:rPr>
        <w:t>Masterarbeit_Statistik</w:t>
      </w:r>
      <w:r w:rsidRPr="005446D2">
        <w:rPr>
          <w:rFonts w:ascii="Times New Roman" w:eastAsia="Times New Roman" w:hAnsi="Times New Roman" w:cs="Times New Roman"/>
          <w:kern w:val="0"/>
          <w:lang w:eastAsia="de-DE"/>
          <w14:ligatures w14:val="none"/>
        </w:rPr>
        <w:t xml:space="preserve"> as appropriate for the appendix. The inferentially central findings remain in the Results section, while the detailed comparisons, sensitivity checks, effect-size information, and supplementary plots are documented here.</w:t>
      </w:r>
    </w:p>
    <w:p w14:paraId="3D8DD4EA"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D.1 Assemblage composition: PERMANOVA and grouped contrasts</w:t>
      </w:r>
    </w:p>
    <w:p w14:paraId="052DFA04"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Table D1 summarises the global site-specific PERMANOVA results and the additional grouped fish-versus-algae contrast for the two primary reef sites. The Chole Nursery analysis represents a separate nursery experiment and is therefore not included in the grouped primary-reef contrast.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53"/>
        <w:gridCol w:w="1007"/>
        <w:gridCol w:w="847"/>
        <w:gridCol w:w="1565"/>
      </w:tblGrid>
      <w:tr w:rsidR="005446D2" w:rsidRPr="005446D2" w14:paraId="784F40D4" w14:textId="77777777">
        <w:trPr>
          <w:tblHeader/>
          <w:tblCellSpacing w:w="15" w:type="dxa"/>
        </w:trPr>
        <w:tc>
          <w:tcPr>
            <w:tcW w:w="0" w:type="auto"/>
            <w:vAlign w:val="center"/>
            <w:hideMark/>
          </w:tcPr>
          <w:p w14:paraId="4FDD193C"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Analysis</w:t>
            </w:r>
          </w:p>
        </w:tc>
        <w:tc>
          <w:tcPr>
            <w:tcW w:w="0" w:type="auto"/>
            <w:vAlign w:val="center"/>
            <w:hideMark/>
          </w:tcPr>
          <w:p w14:paraId="701DEBF5"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Milimani</w:t>
            </w:r>
          </w:p>
        </w:tc>
        <w:tc>
          <w:tcPr>
            <w:tcW w:w="0" w:type="auto"/>
            <w:vAlign w:val="center"/>
            <w:hideMark/>
          </w:tcPr>
          <w:p w14:paraId="46F21C0D"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Utumbi</w:t>
            </w:r>
          </w:p>
        </w:tc>
        <w:tc>
          <w:tcPr>
            <w:tcW w:w="0" w:type="auto"/>
            <w:vAlign w:val="center"/>
            <w:hideMark/>
          </w:tcPr>
          <w:p w14:paraId="512AF6EA"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Chole Nursery</w:t>
            </w:r>
          </w:p>
        </w:tc>
      </w:tr>
      <w:tr w:rsidR="005446D2" w:rsidRPr="005446D2" w14:paraId="554E1B30" w14:textId="77777777">
        <w:trPr>
          <w:tblCellSpacing w:w="15" w:type="dxa"/>
        </w:trPr>
        <w:tc>
          <w:tcPr>
            <w:tcW w:w="0" w:type="auto"/>
            <w:vAlign w:val="center"/>
            <w:hideMark/>
          </w:tcPr>
          <w:p w14:paraId="1376EC5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Global PERMANOVA, Jaccard presence/absence, p-value</w:t>
            </w:r>
          </w:p>
        </w:tc>
        <w:tc>
          <w:tcPr>
            <w:tcW w:w="0" w:type="auto"/>
            <w:vAlign w:val="center"/>
            <w:hideMark/>
          </w:tcPr>
          <w:p w14:paraId="5455B20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0.0242</w:t>
            </w:r>
          </w:p>
        </w:tc>
        <w:tc>
          <w:tcPr>
            <w:tcW w:w="0" w:type="auto"/>
            <w:vAlign w:val="center"/>
            <w:hideMark/>
          </w:tcPr>
          <w:p w14:paraId="769B8A0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0.0046</w:t>
            </w:r>
          </w:p>
        </w:tc>
        <w:tc>
          <w:tcPr>
            <w:tcW w:w="0" w:type="auto"/>
            <w:vAlign w:val="center"/>
            <w:hideMark/>
          </w:tcPr>
          <w:p w14:paraId="480A7C4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0.0016</w:t>
            </w:r>
          </w:p>
        </w:tc>
      </w:tr>
      <w:tr w:rsidR="005446D2" w:rsidRPr="005446D2" w14:paraId="55731BE3" w14:textId="77777777">
        <w:trPr>
          <w:tblCellSpacing w:w="15" w:type="dxa"/>
        </w:trPr>
        <w:tc>
          <w:tcPr>
            <w:tcW w:w="0" w:type="auto"/>
            <w:vAlign w:val="center"/>
            <w:hideMark/>
          </w:tcPr>
          <w:p w14:paraId="3075DC2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Grouped fish-versus-algae contrast, p-value</w:t>
            </w:r>
          </w:p>
        </w:tc>
        <w:tc>
          <w:tcPr>
            <w:tcW w:w="0" w:type="auto"/>
            <w:vAlign w:val="center"/>
            <w:hideMark/>
          </w:tcPr>
          <w:p w14:paraId="348B843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0.0080</w:t>
            </w:r>
          </w:p>
        </w:tc>
        <w:tc>
          <w:tcPr>
            <w:tcW w:w="0" w:type="auto"/>
            <w:vAlign w:val="center"/>
            <w:hideMark/>
          </w:tcPr>
          <w:p w14:paraId="675CB0E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0.0044</w:t>
            </w:r>
          </w:p>
        </w:tc>
        <w:tc>
          <w:tcPr>
            <w:tcW w:w="0" w:type="auto"/>
            <w:vAlign w:val="center"/>
            <w:hideMark/>
          </w:tcPr>
          <w:p w14:paraId="69FACC0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n/a</w:t>
            </w:r>
          </w:p>
        </w:tc>
      </w:tr>
    </w:tbl>
    <w:p w14:paraId="3C01B566"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complete site-specific pairwise comparison tables, overlap values, and bait-specific taxon lists belong in this appendix as the detailed PERMANOVA output. They are not reproduced here unless the corresponding complete export tables are available in the statistical source files.</w:t>
      </w:r>
    </w:p>
    <w:p w14:paraId="2898CD0B"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D.2 Herbivore MaxN analyses</w:t>
      </w:r>
    </w:p>
    <w:p w14:paraId="08FEE150"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Table D2 reports the a-priori herbivore-family result that is available in the statistical prioritisation document. The remaining family-level tests were retained as supplementary results because they did not produce Holm-significant algae-greater-than-fish effects at Milimani or Utumbi.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9"/>
        <w:gridCol w:w="1159"/>
        <w:gridCol w:w="1255"/>
        <w:gridCol w:w="1235"/>
        <w:gridCol w:w="827"/>
        <w:gridCol w:w="1491"/>
        <w:gridCol w:w="806"/>
      </w:tblGrid>
      <w:tr w:rsidR="005446D2" w:rsidRPr="005446D2" w14:paraId="46406ECA" w14:textId="77777777">
        <w:trPr>
          <w:tblHeader/>
          <w:tblCellSpacing w:w="15" w:type="dxa"/>
        </w:trPr>
        <w:tc>
          <w:tcPr>
            <w:tcW w:w="0" w:type="auto"/>
            <w:vAlign w:val="center"/>
            <w:hideMark/>
          </w:tcPr>
          <w:p w14:paraId="35166406"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lastRenderedPageBreak/>
              <w:t>Family or analysis</w:t>
            </w:r>
          </w:p>
        </w:tc>
        <w:tc>
          <w:tcPr>
            <w:tcW w:w="0" w:type="auto"/>
            <w:vAlign w:val="center"/>
            <w:hideMark/>
          </w:tcPr>
          <w:p w14:paraId="3708093B"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Site</w:t>
            </w:r>
          </w:p>
        </w:tc>
        <w:tc>
          <w:tcPr>
            <w:tcW w:w="0" w:type="auto"/>
            <w:vAlign w:val="center"/>
            <w:hideMark/>
          </w:tcPr>
          <w:p w14:paraId="4A56E81C"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Algae treatment</w:t>
            </w:r>
          </w:p>
        </w:tc>
        <w:tc>
          <w:tcPr>
            <w:tcW w:w="0" w:type="auto"/>
            <w:vAlign w:val="center"/>
            <w:hideMark/>
          </w:tcPr>
          <w:p w14:paraId="0313658C"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Fish treatment</w:t>
            </w:r>
          </w:p>
        </w:tc>
        <w:tc>
          <w:tcPr>
            <w:tcW w:w="0" w:type="auto"/>
            <w:vAlign w:val="center"/>
            <w:hideMark/>
          </w:tcPr>
          <w:p w14:paraId="1A2B6A81"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Raw p-value</w:t>
            </w:r>
          </w:p>
        </w:tc>
        <w:tc>
          <w:tcPr>
            <w:tcW w:w="0" w:type="auto"/>
            <w:vAlign w:val="center"/>
            <w:hideMark/>
          </w:tcPr>
          <w:p w14:paraId="0EA184A6"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Holm p-value</w:t>
            </w:r>
          </w:p>
        </w:tc>
        <w:tc>
          <w:tcPr>
            <w:tcW w:w="0" w:type="auto"/>
            <w:vAlign w:val="center"/>
            <w:hideMark/>
          </w:tcPr>
          <w:p w14:paraId="656A9E1B"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Cliff's Delta</w:t>
            </w:r>
          </w:p>
        </w:tc>
      </w:tr>
      <w:tr w:rsidR="005446D2" w:rsidRPr="005446D2" w14:paraId="65356701" w14:textId="77777777">
        <w:trPr>
          <w:tblCellSpacing w:w="15" w:type="dxa"/>
        </w:trPr>
        <w:tc>
          <w:tcPr>
            <w:tcW w:w="0" w:type="auto"/>
            <w:vAlign w:val="center"/>
            <w:hideMark/>
          </w:tcPr>
          <w:p w14:paraId="30E7145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Acanthuridae, a-priori comparison</w:t>
            </w:r>
          </w:p>
        </w:tc>
        <w:tc>
          <w:tcPr>
            <w:tcW w:w="0" w:type="auto"/>
            <w:vAlign w:val="center"/>
            <w:hideMark/>
          </w:tcPr>
          <w:p w14:paraId="2C037EE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Chole Nursery</w:t>
            </w:r>
          </w:p>
        </w:tc>
        <w:tc>
          <w:tcPr>
            <w:tcW w:w="0" w:type="auto"/>
            <w:vAlign w:val="center"/>
            <w:hideMark/>
          </w:tcPr>
          <w:p w14:paraId="1D2954F1"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Median MaxN = 22.0</w:t>
            </w:r>
          </w:p>
        </w:tc>
        <w:tc>
          <w:tcPr>
            <w:tcW w:w="0" w:type="auto"/>
            <w:vAlign w:val="center"/>
            <w:hideMark/>
          </w:tcPr>
          <w:p w14:paraId="55AC6B4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Median MaxN = 4.5</w:t>
            </w:r>
          </w:p>
        </w:tc>
        <w:tc>
          <w:tcPr>
            <w:tcW w:w="0" w:type="auto"/>
            <w:vAlign w:val="center"/>
            <w:hideMark/>
          </w:tcPr>
          <w:p w14:paraId="529C78C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0.0070</w:t>
            </w:r>
          </w:p>
        </w:tc>
        <w:tc>
          <w:tcPr>
            <w:tcW w:w="0" w:type="auto"/>
            <w:vAlign w:val="center"/>
            <w:hideMark/>
          </w:tcPr>
          <w:p w14:paraId="57D353E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0.0278</w:t>
            </w:r>
          </w:p>
        </w:tc>
        <w:tc>
          <w:tcPr>
            <w:tcW w:w="0" w:type="auto"/>
            <w:vAlign w:val="center"/>
            <w:hideMark/>
          </w:tcPr>
          <w:p w14:paraId="614668F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r>
      <w:tr w:rsidR="005446D2" w:rsidRPr="005446D2" w14:paraId="1F414BCD" w14:textId="77777777">
        <w:trPr>
          <w:tblCellSpacing w:w="15" w:type="dxa"/>
        </w:trPr>
        <w:tc>
          <w:tcPr>
            <w:tcW w:w="0" w:type="auto"/>
            <w:vAlign w:val="center"/>
            <w:hideMark/>
          </w:tcPr>
          <w:p w14:paraId="4CBD6FB3"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Siganidae, Scaridae, and Blenniidae, supplementary family tests</w:t>
            </w:r>
          </w:p>
        </w:tc>
        <w:tc>
          <w:tcPr>
            <w:tcW w:w="0" w:type="auto"/>
            <w:vAlign w:val="center"/>
            <w:hideMark/>
          </w:tcPr>
          <w:p w14:paraId="1A72F3C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Milimani and Utumbi</w:t>
            </w:r>
          </w:p>
        </w:tc>
        <w:tc>
          <w:tcPr>
            <w:tcW w:w="0" w:type="auto"/>
            <w:vAlign w:val="center"/>
            <w:hideMark/>
          </w:tcPr>
          <w:p w14:paraId="46FFEE2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n/a</w:t>
            </w:r>
          </w:p>
        </w:tc>
        <w:tc>
          <w:tcPr>
            <w:tcW w:w="0" w:type="auto"/>
            <w:vAlign w:val="center"/>
            <w:hideMark/>
          </w:tcPr>
          <w:p w14:paraId="635FBFC8"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n/a</w:t>
            </w:r>
          </w:p>
        </w:tc>
        <w:tc>
          <w:tcPr>
            <w:tcW w:w="0" w:type="auto"/>
            <w:vAlign w:val="center"/>
            <w:hideMark/>
          </w:tcPr>
          <w:p w14:paraId="6B4D3A4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n/a</w:t>
            </w:r>
          </w:p>
        </w:tc>
        <w:tc>
          <w:tcPr>
            <w:tcW w:w="0" w:type="auto"/>
            <w:vAlign w:val="center"/>
            <w:hideMark/>
          </w:tcPr>
          <w:p w14:paraId="0CC2128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No Holm-significant effect reported</w:t>
            </w:r>
          </w:p>
        </w:tc>
        <w:tc>
          <w:tcPr>
            <w:tcW w:w="0" w:type="auto"/>
            <w:vAlign w:val="center"/>
            <w:hideMark/>
          </w:tcPr>
          <w:p w14:paraId="0C4DC9B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n/a</w:t>
            </w:r>
          </w:p>
        </w:tc>
      </w:tr>
    </w:tbl>
    <w:p w14:paraId="2705BFC8"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complete family lists, including non-significant tests and all effect-size detail tables, should be included as supplementary tables once the underlying export is available. The summary above does not replace those complete tables.</w:t>
      </w:r>
    </w:p>
    <w:p w14:paraId="229B1A00"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D.3 Presence, intensity, and sensitivity analyses for Chole Nursery Acanthuridae</w:t>
      </w:r>
    </w:p>
    <w:p w14:paraId="33412A46"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additional analyses separate occurrence from abundance intensity and assess whether the focal result depends on a single video. The presence values were 1.0 versus 1.0, while the intensity component of the hurdle model was strongly differentiated. The leave-one-video-out analysis remained significant in every run.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5"/>
        <w:gridCol w:w="5470"/>
      </w:tblGrid>
      <w:tr w:rsidR="005446D2" w:rsidRPr="005446D2" w14:paraId="2A5C53F6" w14:textId="77777777">
        <w:trPr>
          <w:tblHeader/>
          <w:tblCellSpacing w:w="15" w:type="dxa"/>
        </w:trPr>
        <w:tc>
          <w:tcPr>
            <w:tcW w:w="0" w:type="auto"/>
            <w:vAlign w:val="center"/>
            <w:hideMark/>
          </w:tcPr>
          <w:p w14:paraId="65FF82B7"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Supplementary analysis</w:t>
            </w:r>
          </w:p>
        </w:tc>
        <w:tc>
          <w:tcPr>
            <w:tcW w:w="0" w:type="auto"/>
            <w:vAlign w:val="center"/>
            <w:hideMark/>
          </w:tcPr>
          <w:p w14:paraId="164684AB"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Result</w:t>
            </w:r>
          </w:p>
        </w:tc>
      </w:tr>
      <w:tr w:rsidR="005446D2" w:rsidRPr="005446D2" w14:paraId="1134DB0C" w14:textId="77777777">
        <w:trPr>
          <w:tblCellSpacing w:w="15" w:type="dxa"/>
        </w:trPr>
        <w:tc>
          <w:tcPr>
            <w:tcW w:w="0" w:type="auto"/>
            <w:vAlign w:val="center"/>
            <w:hideMark/>
          </w:tcPr>
          <w:p w14:paraId="330DD4E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Presence comparison</w:t>
            </w:r>
          </w:p>
        </w:tc>
        <w:tc>
          <w:tcPr>
            <w:tcW w:w="0" w:type="auto"/>
            <w:vAlign w:val="center"/>
            <w:hideMark/>
          </w:tcPr>
          <w:p w14:paraId="34ADF8F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No presence difference; presence values 1.0 versus 1.0</w:t>
            </w:r>
          </w:p>
        </w:tc>
      </w:tr>
      <w:tr w:rsidR="005446D2" w:rsidRPr="005446D2" w14:paraId="3BDF2FAC" w14:textId="77777777">
        <w:trPr>
          <w:tblCellSpacing w:w="15" w:type="dxa"/>
        </w:trPr>
        <w:tc>
          <w:tcPr>
            <w:tcW w:w="0" w:type="auto"/>
            <w:vAlign w:val="center"/>
            <w:hideMark/>
          </w:tcPr>
          <w:p w14:paraId="33C4217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Hurdle-model intensity component</w:t>
            </w:r>
          </w:p>
        </w:tc>
        <w:tc>
          <w:tcPr>
            <w:tcW w:w="0" w:type="auto"/>
            <w:vAlign w:val="center"/>
            <w:hideMark/>
          </w:tcPr>
          <w:p w14:paraId="0645B93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beta_log1p = 1.3477; p = 0.000002; q_BH = 0.000009</w:t>
            </w:r>
          </w:p>
        </w:tc>
      </w:tr>
      <w:tr w:rsidR="005446D2" w:rsidRPr="005446D2" w14:paraId="1BADECD4" w14:textId="77777777">
        <w:trPr>
          <w:tblCellSpacing w:w="15" w:type="dxa"/>
        </w:trPr>
        <w:tc>
          <w:tcPr>
            <w:tcW w:w="0" w:type="auto"/>
            <w:vAlign w:val="center"/>
            <w:hideMark/>
          </w:tcPr>
          <w:p w14:paraId="7C34B844"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Leave-one-video-out sensitivity</w:t>
            </w:r>
          </w:p>
        </w:tc>
        <w:tc>
          <w:tcPr>
            <w:tcW w:w="0" w:type="auto"/>
            <w:vAlign w:val="center"/>
            <w:hideMark/>
          </w:tcPr>
          <w:p w14:paraId="0D8E004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Significant in all runs; p-value range = 0.0079 to 0.0138</w:t>
            </w:r>
          </w:p>
        </w:tc>
      </w:tr>
    </w:tbl>
    <w:p w14:paraId="7A63419A"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complete hurdle-model output, including all model terms and diagnostics, belongs in this appendix as a supplementary statistical table.</w:t>
      </w:r>
    </w:p>
    <w:p w14:paraId="4CD8A0D0"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D.4 Herbivore feeding response</w:t>
      </w:r>
    </w:p>
    <w:p w14:paraId="2D9E2CBF"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Table D3 reports the site-specific feeding-rate comparison identified as supplementary statistical material. Feeding was analysed as an event-level response or rate, not as feeding duration.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8"/>
        <w:gridCol w:w="1361"/>
        <w:gridCol w:w="1311"/>
        <w:gridCol w:w="1081"/>
        <w:gridCol w:w="1114"/>
        <w:gridCol w:w="877"/>
        <w:gridCol w:w="2200"/>
      </w:tblGrid>
      <w:tr w:rsidR="005446D2" w:rsidRPr="005446D2" w14:paraId="5B6E2A63" w14:textId="77777777">
        <w:trPr>
          <w:tblHeader/>
          <w:tblCellSpacing w:w="15" w:type="dxa"/>
        </w:trPr>
        <w:tc>
          <w:tcPr>
            <w:tcW w:w="0" w:type="auto"/>
            <w:vAlign w:val="center"/>
            <w:hideMark/>
          </w:tcPr>
          <w:p w14:paraId="2827656B"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Site</w:t>
            </w:r>
          </w:p>
        </w:tc>
        <w:tc>
          <w:tcPr>
            <w:tcW w:w="0" w:type="auto"/>
            <w:vAlign w:val="center"/>
            <w:hideMark/>
          </w:tcPr>
          <w:p w14:paraId="0A6A7F09"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Mean feeding rate, algae</w:t>
            </w:r>
          </w:p>
        </w:tc>
        <w:tc>
          <w:tcPr>
            <w:tcW w:w="0" w:type="auto"/>
            <w:vAlign w:val="center"/>
            <w:hideMark/>
          </w:tcPr>
          <w:p w14:paraId="3298227C"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Mean feeding rate, fish</w:t>
            </w:r>
          </w:p>
        </w:tc>
        <w:tc>
          <w:tcPr>
            <w:tcW w:w="0" w:type="auto"/>
            <w:vAlign w:val="center"/>
            <w:hideMark/>
          </w:tcPr>
          <w:p w14:paraId="116FBAF4"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Raw p-value</w:t>
            </w:r>
          </w:p>
        </w:tc>
        <w:tc>
          <w:tcPr>
            <w:tcW w:w="0" w:type="auto"/>
            <w:vAlign w:val="center"/>
            <w:hideMark/>
          </w:tcPr>
          <w:p w14:paraId="0663D632"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Holm p-value</w:t>
            </w:r>
          </w:p>
        </w:tc>
        <w:tc>
          <w:tcPr>
            <w:tcW w:w="0" w:type="auto"/>
            <w:vAlign w:val="center"/>
            <w:hideMark/>
          </w:tcPr>
          <w:p w14:paraId="3F1CEE71"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Cliff's Delta</w:t>
            </w:r>
          </w:p>
        </w:tc>
        <w:tc>
          <w:tcPr>
            <w:tcW w:w="0" w:type="auto"/>
            <w:vAlign w:val="center"/>
            <w:hideMark/>
          </w:tcPr>
          <w:p w14:paraId="53F43A51" w14:textId="77777777" w:rsidR="005446D2" w:rsidRPr="005446D2" w:rsidRDefault="005446D2" w:rsidP="005446D2">
            <w:pPr>
              <w:spacing w:after="0" w:line="240" w:lineRule="auto"/>
              <w:jc w:val="center"/>
              <w:rPr>
                <w:rFonts w:ascii="Times New Roman" w:eastAsia="Times New Roman" w:hAnsi="Times New Roman" w:cs="Times New Roman"/>
                <w:b/>
                <w:bCs/>
                <w:kern w:val="0"/>
                <w:lang w:eastAsia="de-DE"/>
                <w14:ligatures w14:val="none"/>
              </w:rPr>
            </w:pPr>
            <w:r w:rsidRPr="005446D2">
              <w:rPr>
                <w:rFonts w:ascii="Times New Roman" w:eastAsia="Times New Roman" w:hAnsi="Times New Roman" w:cs="Times New Roman"/>
                <w:b/>
                <w:bCs/>
                <w:kern w:val="0"/>
                <w:lang w:eastAsia="de-DE"/>
                <w14:ligatures w14:val="none"/>
              </w:rPr>
              <w:t>Interpretation</w:t>
            </w:r>
          </w:p>
        </w:tc>
      </w:tr>
      <w:tr w:rsidR="005446D2" w:rsidRPr="005446D2" w14:paraId="4924B101" w14:textId="77777777">
        <w:trPr>
          <w:tblCellSpacing w:w="15" w:type="dxa"/>
        </w:trPr>
        <w:tc>
          <w:tcPr>
            <w:tcW w:w="0" w:type="auto"/>
            <w:vAlign w:val="center"/>
            <w:hideMark/>
          </w:tcPr>
          <w:p w14:paraId="2C5D068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Chole Nursery</w:t>
            </w:r>
          </w:p>
        </w:tc>
        <w:tc>
          <w:tcPr>
            <w:tcW w:w="0" w:type="auto"/>
            <w:vAlign w:val="center"/>
            <w:hideMark/>
          </w:tcPr>
          <w:p w14:paraId="07D179B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0.2038</w:t>
            </w:r>
          </w:p>
        </w:tc>
        <w:tc>
          <w:tcPr>
            <w:tcW w:w="0" w:type="auto"/>
            <w:vAlign w:val="center"/>
            <w:hideMark/>
          </w:tcPr>
          <w:p w14:paraId="0A36115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0.0000</w:t>
            </w:r>
          </w:p>
        </w:tc>
        <w:tc>
          <w:tcPr>
            <w:tcW w:w="0" w:type="auto"/>
            <w:vAlign w:val="center"/>
            <w:hideMark/>
          </w:tcPr>
          <w:p w14:paraId="5743ACC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0.005709</w:t>
            </w:r>
          </w:p>
        </w:tc>
        <w:tc>
          <w:tcPr>
            <w:tcW w:w="0" w:type="auto"/>
            <w:vAlign w:val="center"/>
            <w:hideMark/>
          </w:tcPr>
          <w:p w14:paraId="5A48A317"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0.017126</w:t>
            </w:r>
          </w:p>
        </w:tc>
        <w:tc>
          <w:tcPr>
            <w:tcW w:w="0" w:type="auto"/>
            <w:vAlign w:val="center"/>
            <w:hideMark/>
          </w:tcPr>
          <w:p w14:paraId="2FA57DC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1.0</w:t>
            </w:r>
          </w:p>
        </w:tc>
        <w:tc>
          <w:tcPr>
            <w:tcW w:w="0" w:type="auto"/>
            <w:vAlign w:val="center"/>
            <w:hideMark/>
          </w:tcPr>
          <w:p w14:paraId="7AD7F025"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Significant after Holm correction</w:t>
            </w:r>
          </w:p>
        </w:tc>
      </w:tr>
      <w:tr w:rsidR="005446D2" w:rsidRPr="005446D2" w14:paraId="754A5C65" w14:textId="77777777">
        <w:trPr>
          <w:tblCellSpacing w:w="15" w:type="dxa"/>
        </w:trPr>
        <w:tc>
          <w:tcPr>
            <w:tcW w:w="0" w:type="auto"/>
            <w:vAlign w:val="center"/>
            <w:hideMark/>
          </w:tcPr>
          <w:p w14:paraId="1FA74D0E"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Milimani</w:t>
            </w:r>
          </w:p>
        </w:tc>
        <w:tc>
          <w:tcPr>
            <w:tcW w:w="0" w:type="auto"/>
            <w:vAlign w:val="center"/>
            <w:hideMark/>
          </w:tcPr>
          <w:p w14:paraId="7043D5D2"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n/a</w:t>
            </w:r>
          </w:p>
        </w:tc>
        <w:tc>
          <w:tcPr>
            <w:tcW w:w="0" w:type="auto"/>
            <w:vAlign w:val="center"/>
            <w:hideMark/>
          </w:tcPr>
          <w:p w14:paraId="756EBAE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n/a</w:t>
            </w:r>
          </w:p>
        </w:tc>
        <w:tc>
          <w:tcPr>
            <w:tcW w:w="0" w:type="auto"/>
            <w:vAlign w:val="center"/>
            <w:hideMark/>
          </w:tcPr>
          <w:p w14:paraId="3405BD4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n/a</w:t>
            </w:r>
          </w:p>
        </w:tc>
        <w:tc>
          <w:tcPr>
            <w:tcW w:w="0" w:type="auto"/>
            <w:vAlign w:val="center"/>
            <w:hideMark/>
          </w:tcPr>
          <w:p w14:paraId="5B3B735B"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0.5510</w:t>
            </w:r>
          </w:p>
        </w:tc>
        <w:tc>
          <w:tcPr>
            <w:tcW w:w="0" w:type="auto"/>
            <w:vAlign w:val="center"/>
            <w:hideMark/>
          </w:tcPr>
          <w:p w14:paraId="12C5621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n/a</w:t>
            </w:r>
          </w:p>
        </w:tc>
        <w:tc>
          <w:tcPr>
            <w:tcW w:w="0" w:type="auto"/>
            <w:vAlign w:val="center"/>
            <w:hideMark/>
          </w:tcPr>
          <w:p w14:paraId="39510C1C"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Not significant after Holm correction</w:t>
            </w:r>
          </w:p>
        </w:tc>
      </w:tr>
      <w:tr w:rsidR="005446D2" w:rsidRPr="005446D2" w14:paraId="3A7953CE" w14:textId="77777777">
        <w:trPr>
          <w:tblCellSpacing w:w="15" w:type="dxa"/>
        </w:trPr>
        <w:tc>
          <w:tcPr>
            <w:tcW w:w="0" w:type="auto"/>
            <w:vAlign w:val="center"/>
            <w:hideMark/>
          </w:tcPr>
          <w:p w14:paraId="40C780CF"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Utumbi</w:t>
            </w:r>
          </w:p>
        </w:tc>
        <w:tc>
          <w:tcPr>
            <w:tcW w:w="0" w:type="auto"/>
            <w:vAlign w:val="center"/>
            <w:hideMark/>
          </w:tcPr>
          <w:p w14:paraId="40A55140"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n/a</w:t>
            </w:r>
          </w:p>
        </w:tc>
        <w:tc>
          <w:tcPr>
            <w:tcW w:w="0" w:type="auto"/>
            <w:vAlign w:val="center"/>
            <w:hideMark/>
          </w:tcPr>
          <w:p w14:paraId="212AEC1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n/a</w:t>
            </w:r>
          </w:p>
        </w:tc>
        <w:tc>
          <w:tcPr>
            <w:tcW w:w="0" w:type="auto"/>
            <w:vAlign w:val="center"/>
            <w:hideMark/>
          </w:tcPr>
          <w:p w14:paraId="06B071D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n/a</w:t>
            </w:r>
          </w:p>
        </w:tc>
        <w:tc>
          <w:tcPr>
            <w:tcW w:w="0" w:type="auto"/>
            <w:vAlign w:val="center"/>
            <w:hideMark/>
          </w:tcPr>
          <w:p w14:paraId="3A0C417D"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0.5510</w:t>
            </w:r>
          </w:p>
        </w:tc>
        <w:tc>
          <w:tcPr>
            <w:tcW w:w="0" w:type="auto"/>
            <w:vAlign w:val="center"/>
            <w:hideMark/>
          </w:tcPr>
          <w:p w14:paraId="03391FF9"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n/a</w:t>
            </w:r>
          </w:p>
        </w:tc>
        <w:tc>
          <w:tcPr>
            <w:tcW w:w="0" w:type="auto"/>
            <w:vAlign w:val="center"/>
            <w:hideMark/>
          </w:tcPr>
          <w:p w14:paraId="418C327A" w14:textId="77777777" w:rsidR="005446D2" w:rsidRPr="005446D2" w:rsidRDefault="005446D2" w:rsidP="005446D2">
            <w:pPr>
              <w:spacing w:after="0"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Not significant after Holm correction</w:t>
            </w:r>
          </w:p>
        </w:tc>
      </w:tr>
    </w:tbl>
    <w:p w14:paraId="5B90DC60"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lastRenderedPageBreak/>
        <w:t>The complete site-wise feeding-rate comparison tables, distribution plots, and intermediate statistics are designated as supplementary material for this appendix. They should be inserted from the corresponding statistical export when the full table is available.</w:t>
      </w:r>
    </w:p>
    <w:p w14:paraId="5F634735" w14:textId="77777777" w:rsidR="005446D2" w:rsidRPr="005446D2" w:rsidRDefault="005446D2" w:rsidP="005446D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446D2">
        <w:rPr>
          <w:rFonts w:ascii="Times New Roman" w:eastAsia="Times New Roman" w:hAnsi="Times New Roman" w:cs="Times New Roman"/>
          <w:b/>
          <w:bCs/>
          <w:kern w:val="0"/>
          <w:sz w:val="36"/>
          <w:szCs w:val="36"/>
          <w:lang w:eastAsia="de-DE"/>
          <w14:ligatures w14:val="none"/>
        </w:rPr>
        <w:t>D.5 Supplementary statistical material to be attached</w:t>
      </w:r>
    </w:p>
    <w:p w14:paraId="7EAFB183"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The following detailed outputs are assigned to Appendix D rather than to the main text:</w:t>
      </w:r>
    </w:p>
    <w:p w14:paraId="3539F90F" w14:textId="77777777" w:rsidR="005446D2" w:rsidRPr="005446D2" w:rsidRDefault="005446D2" w:rsidP="005446D2">
      <w:pPr>
        <w:numPr>
          <w:ilvl w:val="0"/>
          <w:numId w:val="3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Complete pairwise bait-comparison tables for each site.</w:t>
      </w:r>
    </w:p>
    <w:p w14:paraId="0C1481B4" w14:textId="77777777" w:rsidR="005446D2" w:rsidRPr="005446D2" w:rsidRDefault="005446D2" w:rsidP="005446D2">
      <w:pPr>
        <w:numPr>
          <w:ilvl w:val="0"/>
          <w:numId w:val="3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Site-specific overlap values and bait-specific taxon lists.</w:t>
      </w:r>
    </w:p>
    <w:p w14:paraId="09C09449" w14:textId="77777777" w:rsidR="005446D2" w:rsidRPr="005446D2" w:rsidRDefault="005446D2" w:rsidP="005446D2">
      <w:pPr>
        <w:numPr>
          <w:ilvl w:val="0"/>
          <w:numId w:val="3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Complete family-level herbivore tables, including non-significant tests.</w:t>
      </w:r>
    </w:p>
    <w:p w14:paraId="3C056958" w14:textId="77777777" w:rsidR="005446D2" w:rsidRPr="005446D2" w:rsidRDefault="005446D2" w:rsidP="005446D2">
      <w:pPr>
        <w:numPr>
          <w:ilvl w:val="0"/>
          <w:numId w:val="3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Complete effect-size tables.</w:t>
      </w:r>
    </w:p>
    <w:p w14:paraId="36A730FB" w14:textId="77777777" w:rsidR="005446D2" w:rsidRPr="005446D2" w:rsidRDefault="005446D2" w:rsidP="005446D2">
      <w:pPr>
        <w:numPr>
          <w:ilvl w:val="0"/>
          <w:numId w:val="3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Full hurdle-model output and diagnostics.</w:t>
      </w:r>
    </w:p>
    <w:p w14:paraId="470EE91F" w14:textId="77777777" w:rsidR="005446D2" w:rsidRPr="005446D2" w:rsidRDefault="005446D2" w:rsidP="005446D2">
      <w:pPr>
        <w:numPr>
          <w:ilvl w:val="0"/>
          <w:numId w:val="3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Complete leave-one-video-out sensitivity output.</w:t>
      </w:r>
    </w:p>
    <w:p w14:paraId="22121F3C" w14:textId="77777777" w:rsidR="005446D2" w:rsidRPr="005446D2" w:rsidRDefault="005446D2" w:rsidP="005446D2">
      <w:pPr>
        <w:numPr>
          <w:ilvl w:val="0"/>
          <w:numId w:val="3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Site-wise feeding-rate distributions, plots, and intermediate statistics.</w:t>
      </w:r>
    </w:p>
    <w:p w14:paraId="2C44F386" w14:textId="77777777" w:rsidR="005446D2" w:rsidRPr="005446D2" w:rsidRDefault="005446D2" w:rsidP="005446D2">
      <w:pPr>
        <w:numPr>
          <w:ilvl w:val="0"/>
          <w:numId w:val="3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Complete feeding-response comparison tables.</w:t>
      </w:r>
    </w:p>
    <w:p w14:paraId="6C3F3464"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This placement follows the prioritisation in </w:t>
      </w:r>
      <w:r w:rsidRPr="005446D2">
        <w:rPr>
          <w:rFonts w:ascii="Courier New" w:eastAsia="Times New Roman" w:hAnsi="Courier New" w:cs="Courier New"/>
          <w:kern w:val="0"/>
          <w:sz w:val="20"/>
          <w:szCs w:val="20"/>
          <w:lang w:eastAsia="de-DE"/>
          <w14:ligatures w14:val="none"/>
        </w:rPr>
        <w:t>Masterarbeit_Statistik</w:t>
      </w:r>
      <w:r w:rsidRPr="005446D2">
        <w:rPr>
          <w:rFonts w:ascii="Times New Roman" w:eastAsia="Times New Roman" w:hAnsi="Times New Roman" w:cs="Times New Roman"/>
          <w:kern w:val="0"/>
          <w:lang w:eastAsia="de-DE"/>
          <w14:ligatures w14:val="none"/>
        </w:rPr>
        <w:t>. The current thesis draft contains the exact summary values that are available in that document, but the raw statistical export tables and plots themselves still need to be attached if they are to appear as fully reproducible supplementary material.</w:t>
      </w:r>
    </w:p>
    <w:p w14:paraId="4FC9E2ED" w14:textId="77777777" w:rsidR="005446D2" w:rsidRPr="005446D2" w:rsidRDefault="005446D2" w:rsidP="005446D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5446D2">
        <w:rPr>
          <w:rFonts w:ascii="Times New Roman" w:eastAsia="Times New Roman" w:hAnsi="Times New Roman" w:cs="Times New Roman"/>
          <w:b/>
          <w:bCs/>
          <w:kern w:val="36"/>
          <w:sz w:val="48"/>
          <w:szCs w:val="48"/>
          <w:lang w:eastAsia="de-DE"/>
          <w14:ligatures w14:val="none"/>
        </w:rPr>
        <w:t>References</w:t>
      </w:r>
    </w:p>
    <w:p w14:paraId="0F138F05"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Anderson, M. J. (2001). A new method for non-parametric multivariate analysis of variance. </w:t>
      </w:r>
      <w:r w:rsidRPr="005446D2">
        <w:rPr>
          <w:rFonts w:ascii="Times New Roman" w:eastAsia="Times New Roman" w:hAnsi="Times New Roman" w:cs="Times New Roman"/>
          <w:i/>
          <w:iCs/>
          <w:kern w:val="0"/>
          <w:lang w:eastAsia="de-DE"/>
          <w14:ligatures w14:val="none"/>
        </w:rPr>
        <w:t>Austral Ecology, 26</w:t>
      </w:r>
      <w:r w:rsidRPr="005446D2">
        <w:rPr>
          <w:rFonts w:ascii="Times New Roman" w:eastAsia="Times New Roman" w:hAnsi="Times New Roman" w:cs="Times New Roman"/>
          <w:kern w:val="0"/>
          <w:lang w:eastAsia="de-DE"/>
          <w14:ligatures w14:val="none"/>
        </w:rPr>
        <w:t>, 32–46.</w:t>
      </w:r>
    </w:p>
    <w:p w14:paraId="7C625C06"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Anderson, M. J., Ellingsen, K. E., &amp; McArdle, B. H. (2006). Multivariate dispersion as a measure of beta diversity. </w:t>
      </w:r>
      <w:r w:rsidRPr="005446D2">
        <w:rPr>
          <w:rFonts w:ascii="Times New Roman" w:eastAsia="Times New Roman" w:hAnsi="Times New Roman" w:cs="Times New Roman"/>
          <w:i/>
          <w:iCs/>
          <w:kern w:val="0"/>
          <w:lang w:eastAsia="de-DE"/>
          <w14:ligatures w14:val="none"/>
        </w:rPr>
        <w:t>Ecology Letters, 9</w:t>
      </w:r>
      <w:r w:rsidRPr="005446D2">
        <w:rPr>
          <w:rFonts w:ascii="Times New Roman" w:eastAsia="Times New Roman" w:hAnsi="Times New Roman" w:cs="Times New Roman"/>
          <w:kern w:val="0"/>
          <w:lang w:eastAsia="de-DE"/>
          <w14:ligatures w14:val="none"/>
        </w:rPr>
        <w:t>, 683–693.</w:t>
      </w:r>
    </w:p>
    <w:p w14:paraId="64714EA2"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Bellwood, D. R., Hughes, T. P., Folke, C., &amp; Nyström, M. (2004). Confronting the coral reef crisis. </w:t>
      </w:r>
      <w:r w:rsidRPr="005446D2">
        <w:rPr>
          <w:rFonts w:ascii="Times New Roman" w:eastAsia="Times New Roman" w:hAnsi="Times New Roman" w:cs="Times New Roman"/>
          <w:i/>
          <w:iCs/>
          <w:kern w:val="0"/>
          <w:lang w:eastAsia="de-DE"/>
          <w14:ligatures w14:val="none"/>
        </w:rPr>
        <w:t>Nature, 429</w:t>
      </w:r>
      <w:r w:rsidRPr="005446D2">
        <w:rPr>
          <w:rFonts w:ascii="Times New Roman" w:eastAsia="Times New Roman" w:hAnsi="Times New Roman" w:cs="Times New Roman"/>
          <w:kern w:val="0"/>
          <w:lang w:eastAsia="de-DE"/>
          <w14:ligatures w14:val="none"/>
        </w:rPr>
        <w:t>, 827–833.</w:t>
      </w:r>
    </w:p>
    <w:p w14:paraId="69E291D0"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Bennett, S., &amp; Bellwood, D. R. (2011). Latitudinal variation in macroalgal consumption by fishes on the Great Barrier Reef. </w:t>
      </w:r>
      <w:r w:rsidRPr="005446D2">
        <w:rPr>
          <w:rFonts w:ascii="Times New Roman" w:eastAsia="Times New Roman" w:hAnsi="Times New Roman" w:cs="Times New Roman"/>
          <w:i/>
          <w:iCs/>
          <w:kern w:val="0"/>
          <w:lang w:eastAsia="de-DE"/>
          <w14:ligatures w14:val="none"/>
        </w:rPr>
        <w:t>Marine Ecology Progress Series, 426</w:t>
      </w:r>
      <w:r w:rsidRPr="005446D2">
        <w:rPr>
          <w:rFonts w:ascii="Times New Roman" w:eastAsia="Times New Roman" w:hAnsi="Times New Roman" w:cs="Times New Roman"/>
          <w:kern w:val="0"/>
          <w:lang w:eastAsia="de-DE"/>
          <w14:ligatures w14:val="none"/>
        </w:rPr>
        <w:t>, 241–252.</w:t>
      </w:r>
    </w:p>
    <w:p w14:paraId="3400C728"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Bond, T., McLean, D. L., Prince, J., Taylor, M. D., Partridge, J. C., &amp; Dudgeon, C. (2022). Baited remote underwater video sample less site attached fish species along a subsea pipeline compared to a remotely operated vehicle. </w:t>
      </w:r>
      <w:r w:rsidRPr="005446D2">
        <w:rPr>
          <w:rFonts w:ascii="Times New Roman" w:eastAsia="Times New Roman" w:hAnsi="Times New Roman" w:cs="Times New Roman"/>
          <w:i/>
          <w:iCs/>
          <w:kern w:val="0"/>
          <w:lang w:eastAsia="de-DE"/>
          <w14:ligatures w14:val="none"/>
        </w:rPr>
        <w:t>Marine and Freshwater Research, 73</w:t>
      </w:r>
      <w:r w:rsidRPr="005446D2">
        <w:rPr>
          <w:rFonts w:ascii="Times New Roman" w:eastAsia="Times New Roman" w:hAnsi="Times New Roman" w:cs="Times New Roman"/>
          <w:kern w:val="0"/>
          <w:lang w:eastAsia="de-DE"/>
          <w14:ligatures w14:val="none"/>
        </w:rPr>
        <w:t xml:space="preserve">, 915–930. </w:t>
      </w:r>
      <w:hyperlink r:id="rId5" w:history="1">
        <w:r w:rsidRPr="005446D2">
          <w:rPr>
            <w:rFonts w:ascii="Times New Roman" w:eastAsia="Times New Roman" w:hAnsi="Times New Roman" w:cs="Times New Roman"/>
            <w:color w:val="0000FF"/>
            <w:kern w:val="0"/>
            <w:u w:val="single"/>
            <w:lang w:eastAsia="de-DE"/>
            <w14:ligatures w14:val="none"/>
          </w:rPr>
          <w:t>https://doi.org/10.1071/MF21261</w:t>
        </w:r>
      </w:hyperlink>
    </w:p>
    <w:p w14:paraId="1CE52745"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Bruggemann, J. H., van Oppen, M. J. H., &amp; Breeman, A. M. (1994). Foraging by the stoplight parrotfish </w:t>
      </w:r>
      <w:r w:rsidRPr="005446D2">
        <w:rPr>
          <w:rFonts w:ascii="Times New Roman" w:eastAsia="Times New Roman" w:hAnsi="Times New Roman" w:cs="Times New Roman"/>
          <w:i/>
          <w:iCs/>
          <w:kern w:val="0"/>
          <w:lang w:eastAsia="de-DE"/>
          <w14:ligatures w14:val="none"/>
        </w:rPr>
        <w:t>Sparisoma viride</w:t>
      </w:r>
      <w:r w:rsidRPr="005446D2">
        <w:rPr>
          <w:rFonts w:ascii="Times New Roman" w:eastAsia="Times New Roman" w:hAnsi="Times New Roman" w:cs="Times New Roman"/>
          <w:kern w:val="0"/>
          <w:lang w:eastAsia="de-DE"/>
          <w14:ligatures w14:val="none"/>
        </w:rPr>
        <w:t xml:space="preserve">. I. Food selection in different, socially determined habitats. </w:t>
      </w:r>
      <w:r w:rsidRPr="005446D2">
        <w:rPr>
          <w:rFonts w:ascii="Times New Roman" w:eastAsia="Times New Roman" w:hAnsi="Times New Roman" w:cs="Times New Roman"/>
          <w:i/>
          <w:iCs/>
          <w:kern w:val="0"/>
          <w:lang w:eastAsia="de-DE"/>
          <w14:ligatures w14:val="none"/>
        </w:rPr>
        <w:t>Marine Ecology Progress Series, 106</w:t>
      </w:r>
      <w:r w:rsidRPr="005446D2">
        <w:rPr>
          <w:rFonts w:ascii="Times New Roman" w:eastAsia="Times New Roman" w:hAnsi="Times New Roman" w:cs="Times New Roman"/>
          <w:kern w:val="0"/>
          <w:lang w:eastAsia="de-DE"/>
          <w14:ligatures w14:val="none"/>
        </w:rPr>
        <w:t>, 41–55.</w:t>
      </w:r>
    </w:p>
    <w:p w14:paraId="1E203E76"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Burkepile, D. E., &amp; Hay, M. E. (2010). Impact of herbivore identity on algal succession and coral growth on a Caribbean reef. </w:t>
      </w:r>
      <w:r w:rsidRPr="005446D2">
        <w:rPr>
          <w:rFonts w:ascii="Times New Roman" w:eastAsia="Times New Roman" w:hAnsi="Times New Roman" w:cs="Times New Roman"/>
          <w:i/>
          <w:iCs/>
          <w:kern w:val="0"/>
          <w:lang w:eastAsia="de-DE"/>
          <w14:ligatures w14:val="none"/>
        </w:rPr>
        <w:t>PLoS ONE, 5</w:t>
      </w:r>
      <w:r w:rsidRPr="005446D2">
        <w:rPr>
          <w:rFonts w:ascii="Times New Roman" w:eastAsia="Times New Roman" w:hAnsi="Times New Roman" w:cs="Times New Roman"/>
          <w:kern w:val="0"/>
          <w:lang w:eastAsia="de-DE"/>
          <w14:ligatures w14:val="none"/>
        </w:rPr>
        <w:t xml:space="preserve">(1), e8963. </w:t>
      </w:r>
      <w:hyperlink r:id="rId6" w:history="1">
        <w:r w:rsidRPr="005446D2">
          <w:rPr>
            <w:rFonts w:ascii="Times New Roman" w:eastAsia="Times New Roman" w:hAnsi="Times New Roman" w:cs="Times New Roman"/>
            <w:color w:val="0000FF"/>
            <w:kern w:val="0"/>
            <w:u w:val="single"/>
            <w:lang w:eastAsia="de-DE"/>
            <w14:ligatures w14:val="none"/>
          </w:rPr>
          <w:t>https://doi.org/10.1371/journal.pone.0008963</w:t>
        </w:r>
      </w:hyperlink>
    </w:p>
    <w:p w14:paraId="5608F7C7"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Cappo, M., Speare, P., &amp; De'ath, G. (2004). Comparison of baited remote underwater video stations (BRUVS) and prawn (shrimp) trawls for assessments of fish biodiversity in inter-reefal areas of the Great Barrier Reef Marine Park. </w:t>
      </w:r>
      <w:r w:rsidRPr="005446D2">
        <w:rPr>
          <w:rFonts w:ascii="Times New Roman" w:eastAsia="Times New Roman" w:hAnsi="Times New Roman" w:cs="Times New Roman"/>
          <w:i/>
          <w:iCs/>
          <w:kern w:val="0"/>
          <w:lang w:eastAsia="de-DE"/>
          <w14:ligatures w14:val="none"/>
        </w:rPr>
        <w:t>Journal of Experimental Marine Biology and Ecology, 302</w:t>
      </w:r>
      <w:r w:rsidRPr="005446D2">
        <w:rPr>
          <w:rFonts w:ascii="Times New Roman" w:eastAsia="Times New Roman" w:hAnsi="Times New Roman" w:cs="Times New Roman"/>
          <w:kern w:val="0"/>
          <w:lang w:eastAsia="de-DE"/>
          <w14:ligatures w14:val="none"/>
        </w:rPr>
        <w:t>, 123–152.</w:t>
      </w:r>
    </w:p>
    <w:p w14:paraId="31166F00"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Cheal, A. J., Emslie, M. J., Currey-Randall, L. M., &amp; Heupel, M. R. (2021). Comparability and complementarity of reef fish measures from underwater visual census (UVC) and baited remote underwater video stations (BRUVS). </w:t>
      </w:r>
      <w:r w:rsidRPr="005446D2">
        <w:rPr>
          <w:rFonts w:ascii="Times New Roman" w:eastAsia="Times New Roman" w:hAnsi="Times New Roman" w:cs="Times New Roman"/>
          <w:i/>
          <w:iCs/>
          <w:kern w:val="0"/>
          <w:lang w:eastAsia="de-DE"/>
          <w14:ligatures w14:val="none"/>
        </w:rPr>
        <w:t xml:space="preserve">Journal of </w:t>
      </w:r>
      <w:r w:rsidRPr="005446D2">
        <w:rPr>
          <w:rFonts w:ascii="Times New Roman" w:eastAsia="Times New Roman" w:hAnsi="Times New Roman" w:cs="Times New Roman"/>
          <w:i/>
          <w:iCs/>
          <w:kern w:val="0"/>
          <w:lang w:eastAsia="de-DE"/>
          <w14:ligatures w14:val="none"/>
        </w:rPr>
        <w:lastRenderedPageBreak/>
        <w:t>Environmental Management, 289</w:t>
      </w:r>
      <w:r w:rsidRPr="005446D2">
        <w:rPr>
          <w:rFonts w:ascii="Times New Roman" w:eastAsia="Times New Roman" w:hAnsi="Times New Roman" w:cs="Times New Roman"/>
          <w:kern w:val="0"/>
          <w:lang w:eastAsia="de-DE"/>
          <w14:ligatures w14:val="none"/>
        </w:rPr>
        <w:t xml:space="preserve">, 112375. </w:t>
      </w:r>
      <w:hyperlink r:id="rId7" w:history="1">
        <w:r w:rsidRPr="005446D2">
          <w:rPr>
            <w:rFonts w:ascii="Times New Roman" w:eastAsia="Times New Roman" w:hAnsi="Times New Roman" w:cs="Times New Roman"/>
            <w:color w:val="0000FF"/>
            <w:kern w:val="0"/>
            <w:u w:val="single"/>
            <w:lang w:eastAsia="de-DE"/>
            <w14:ligatures w14:val="none"/>
          </w:rPr>
          <w:t>https://doi.org/10.1016/j.jenvman.2021.112375</w:t>
        </w:r>
      </w:hyperlink>
    </w:p>
    <w:p w14:paraId="44AD2772"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Chebaane, S., Engelen, A. H., Pais, M. P., Silva, R., Gizzi, F., Triay-Portella, R., Florido, M., &amp; Monteiro, J. G. (2024). Evaluating fish foraging behaviour on non-indigenous </w:t>
      </w:r>
      <w:r w:rsidRPr="005446D2">
        <w:rPr>
          <w:rFonts w:ascii="Times New Roman" w:eastAsia="Times New Roman" w:hAnsi="Times New Roman" w:cs="Times New Roman"/>
          <w:i/>
          <w:iCs/>
          <w:kern w:val="0"/>
          <w:lang w:eastAsia="de-DE"/>
          <w14:ligatures w14:val="none"/>
        </w:rPr>
        <w:t>Asparagopsis taxiformis</w:t>
      </w:r>
      <w:r w:rsidRPr="005446D2">
        <w:rPr>
          <w:rFonts w:ascii="Times New Roman" w:eastAsia="Times New Roman" w:hAnsi="Times New Roman" w:cs="Times New Roman"/>
          <w:kern w:val="0"/>
          <w:lang w:eastAsia="de-DE"/>
          <w14:ligatures w14:val="none"/>
        </w:rPr>
        <w:t xml:space="preserve"> using a remote video foraging system. </w:t>
      </w:r>
      <w:r w:rsidRPr="005446D2">
        <w:rPr>
          <w:rFonts w:ascii="Times New Roman" w:eastAsia="Times New Roman" w:hAnsi="Times New Roman" w:cs="Times New Roman"/>
          <w:i/>
          <w:iCs/>
          <w:kern w:val="0"/>
          <w:lang w:eastAsia="de-DE"/>
          <w14:ligatures w14:val="none"/>
        </w:rPr>
        <w:t>Marine Environmental Research, 202</w:t>
      </w:r>
      <w:r w:rsidRPr="005446D2">
        <w:rPr>
          <w:rFonts w:ascii="Times New Roman" w:eastAsia="Times New Roman" w:hAnsi="Times New Roman" w:cs="Times New Roman"/>
          <w:kern w:val="0"/>
          <w:lang w:eastAsia="de-DE"/>
          <w14:ligatures w14:val="none"/>
        </w:rPr>
        <w:t xml:space="preserve">, 106766. </w:t>
      </w:r>
      <w:hyperlink r:id="rId8" w:history="1">
        <w:r w:rsidRPr="005446D2">
          <w:rPr>
            <w:rFonts w:ascii="Times New Roman" w:eastAsia="Times New Roman" w:hAnsi="Times New Roman" w:cs="Times New Roman"/>
            <w:color w:val="0000FF"/>
            <w:kern w:val="0"/>
            <w:u w:val="single"/>
            <w:lang w:eastAsia="de-DE"/>
            <w14:ligatures w14:val="none"/>
          </w:rPr>
          <w:t>https://doi.org/10.1016/j.marenvres.2024.106766</w:t>
        </w:r>
      </w:hyperlink>
    </w:p>
    <w:p w14:paraId="41CF0F17"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Dorman, S. R., Harvey, E. S., &amp; Newman, S. J. (2012). Bait effects in sampling coral reef fish assemblages with stereo-BRUVs. </w:t>
      </w:r>
      <w:r w:rsidRPr="005446D2">
        <w:rPr>
          <w:rFonts w:ascii="Times New Roman" w:eastAsia="Times New Roman" w:hAnsi="Times New Roman" w:cs="Times New Roman"/>
          <w:i/>
          <w:iCs/>
          <w:kern w:val="0"/>
          <w:lang w:eastAsia="de-DE"/>
          <w14:ligatures w14:val="none"/>
        </w:rPr>
        <w:t>PLoS ONE, 7</w:t>
      </w:r>
      <w:r w:rsidRPr="005446D2">
        <w:rPr>
          <w:rFonts w:ascii="Times New Roman" w:eastAsia="Times New Roman" w:hAnsi="Times New Roman" w:cs="Times New Roman"/>
          <w:kern w:val="0"/>
          <w:lang w:eastAsia="de-DE"/>
          <w14:ligatures w14:val="none"/>
        </w:rPr>
        <w:t xml:space="preserve">(7), e41538. </w:t>
      </w:r>
      <w:hyperlink r:id="rId9" w:history="1">
        <w:r w:rsidRPr="005446D2">
          <w:rPr>
            <w:rFonts w:ascii="Times New Roman" w:eastAsia="Times New Roman" w:hAnsi="Times New Roman" w:cs="Times New Roman"/>
            <w:color w:val="0000FF"/>
            <w:kern w:val="0"/>
            <w:u w:val="single"/>
            <w:lang w:eastAsia="de-DE"/>
            <w14:ligatures w14:val="none"/>
          </w:rPr>
          <w:t>https://doi.org/10.1371/journal.pone.0041538</w:t>
        </w:r>
      </w:hyperlink>
    </w:p>
    <w:p w14:paraId="3F82B48E"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Dunlop, K. M., Scott, E. M., Parsons, D., &amp; Bailey, D. M. (2015). Do agonistic behaviours bias baited remote underwater video surveys of fish? </w:t>
      </w:r>
      <w:r w:rsidRPr="005446D2">
        <w:rPr>
          <w:rFonts w:ascii="Times New Roman" w:eastAsia="Times New Roman" w:hAnsi="Times New Roman" w:cs="Times New Roman"/>
          <w:i/>
          <w:iCs/>
          <w:kern w:val="0"/>
          <w:lang w:eastAsia="de-DE"/>
          <w14:ligatures w14:val="none"/>
        </w:rPr>
        <w:t>Marine Ecology, 36</w:t>
      </w:r>
      <w:r w:rsidRPr="005446D2">
        <w:rPr>
          <w:rFonts w:ascii="Times New Roman" w:eastAsia="Times New Roman" w:hAnsi="Times New Roman" w:cs="Times New Roman"/>
          <w:kern w:val="0"/>
          <w:lang w:eastAsia="de-DE"/>
          <w14:ligatures w14:val="none"/>
        </w:rPr>
        <w:t xml:space="preserve">(3), 810–818. </w:t>
      </w:r>
      <w:hyperlink r:id="rId10" w:history="1">
        <w:r w:rsidRPr="005446D2">
          <w:rPr>
            <w:rFonts w:ascii="Times New Roman" w:eastAsia="Times New Roman" w:hAnsi="Times New Roman" w:cs="Times New Roman"/>
            <w:color w:val="0000FF"/>
            <w:kern w:val="0"/>
            <w:u w:val="single"/>
            <w:lang w:eastAsia="de-DE"/>
            <w14:ligatures w14:val="none"/>
          </w:rPr>
          <w:t>https://doi.org/10.1111/maec.12185</w:t>
        </w:r>
      </w:hyperlink>
    </w:p>
    <w:p w14:paraId="14558534"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Eisele, M. H., Madrigal-Mora, S., &amp; Espinoza, M. (2021). Drivers of reef fish assemblages in an upwelling region from the Eastern Tropical Pacific Ocean. </w:t>
      </w:r>
      <w:r w:rsidRPr="005446D2">
        <w:rPr>
          <w:rFonts w:ascii="Times New Roman" w:eastAsia="Times New Roman" w:hAnsi="Times New Roman" w:cs="Times New Roman"/>
          <w:i/>
          <w:iCs/>
          <w:kern w:val="0"/>
          <w:lang w:eastAsia="de-DE"/>
          <w14:ligatures w14:val="none"/>
        </w:rPr>
        <w:t>Journal of Fish Biology, 98</w:t>
      </w:r>
      <w:r w:rsidRPr="005446D2">
        <w:rPr>
          <w:rFonts w:ascii="Times New Roman" w:eastAsia="Times New Roman" w:hAnsi="Times New Roman" w:cs="Times New Roman"/>
          <w:kern w:val="0"/>
          <w:lang w:eastAsia="de-DE"/>
          <w14:ligatures w14:val="none"/>
        </w:rPr>
        <w:t xml:space="preserve">, 1074–1090. </w:t>
      </w:r>
      <w:hyperlink r:id="rId11" w:history="1">
        <w:r w:rsidRPr="005446D2">
          <w:rPr>
            <w:rFonts w:ascii="Times New Roman" w:eastAsia="Times New Roman" w:hAnsi="Times New Roman" w:cs="Times New Roman"/>
            <w:color w:val="0000FF"/>
            <w:kern w:val="0"/>
            <w:u w:val="single"/>
            <w:lang w:eastAsia="de-DE"/>
            <w14:ligatures w14:val="none"/>
          </w:rPr>
          <w:t>https://doi.org/10.1111/jfb.14639</w:t>
        </w:r>
      </w:hyperlink>
    </w:p>
    <w:p w14:paraId="2FE3D8A9"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Froese, R., &amp; Pauly, D. (Eds.). (n.d.). </w:t>
      </w:r>
      <w:r w:rsidRPr="005446D2">
        <w:rPr>
          <w:rFonts w:ascii="Times New Roman" w:eastAsia="Times New Roman" w:hAnsi="Times New Roman" w:cs="Times New Roman"/>
          <w:i/>
          <w:iCs/>
          <w:kern w:val="0"/>
          <w:lang w:eastAsia="de-DE"/>
          <w14:ligatures w14:val="none"/>
        </w:rPr>
        <w:t>FishBase</w:t>
      </w:r>
      <w:r w:rsidRPr="005446D2">
        <w:rPr>
          <w:rFonts w:ascii="Times New Roman" w:eastAsia="Times New Roman" w:hAnsi="Times New Roman" w:cs="Times New Roman"/>
          <w:kern w:val="0"/>
          <w:lang w:eastAsia="de-DE"/>
          <w14:ligatures w14:val="none"/>
        </w:rPr>
        <w:t xml:space="preserve">. World Wide Web electronic publication. </w:t>
      </w:r>
      <w:hyperlink r:id="rId12" w:history="1">
        <w:r w:rsidRPr="005446D2">
          <w:rPr>
            <w:rFonts w:ascii="Times New Roman" w:eastAsia="Times New Roman" w:hAnsi="Times New Roman" w:cs="Times New Roman"/>
            <w:color w:val="0000FF"/>
            <w:kern w:val="0"/>
            <w:u w:val="single"/>
            <w:lang w:eastAsia="de-DE"/>
            <w14:ligatures w14:val="none"/>
          </w:rPr>
          <w:t>https://www.fishbase.org</w:t>
        </w:r>
      </w:hyperlink>
      <w:r w:rsidRPr="005446D2">
        <w:rPr>
          <w:rFonts w:ascii="Times New Roman" w:eastAsia="Times New Roman" w:hAnsi="Times New Roman" w:cs="Times New Roman"/>
          <w:kern w:val="0"/>
          <w:lang w:eastAsia="de-DE"/>
          <w14:ligatures w14:val="none"/>
        </w:rPr>
        <w:t xml:space="preserve"> (accessed 11 August 2026).</w:t>
      </w:r>
    </w:p>
    <w:p w14:paraId="52FB8AC8"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Ghazilou, A., Shokri, M. R., &amp; Gladstone, W. (2016). Animal v. plant-based bait: Does the bait type affect census of fish assemblages and trophic groups by baited remote underwater video (BRUV) systems? </w:t>
      </w:r>
      <w:r w:rsidRPr="005446D2">
        <w:rPr>
          <w:rFonts w:ascii="Times New Roman" w:eastAsia="Times New Roman" w:hAnsi="Times New Roman" w:cs="Times New Roman"/>
          <w:i/>
          <w:iCs/>
          <w:kern w:val="0"/>
          <w:lang w:eastAsia="de-DE"/>
          <w14:ligatures w14:val="none"/>
        </w:rPr>
        <w:t>Journal of Fish Biology, 88</w:t>
      </w:r>
      <w:r w:rsidRPr="005446D2">
        <w:rPr>
          <w:rFonts w:ascii="Times New Roman" w:eastAsia="Times New Roman" w:hAnsi="Times New Roman" w:cs="Times New Roman"/>
          <w:kern w:val="0"/>
          <w:lang w:eastAsia="de-DE"/>
          <w14:ligatures w14:val="none"/>
        </w:rPr>
        <w:t xml:space="preserve">(5), 1731–1745. </w:t>
      </w:r>
      <w:hyperlink r:id="rId13" w:history="1">
        <w:r w:rsidRPr="005446D2">
          <w:rPr>
            <w:rFonts w:ascii="Times New Roman" w:eastAsia="Times New Roman" w:hAnsi="Times New Roman" w:cs="Times New Roman"/>
            <w:color w:val="0000FF"/>
            <w:kern w:val="0"/>
            <w:u w:val="single"/>
            <w:lang w:eastAsia="de-DE"/>
            <w14:ligatures w14:val="none"/>
          </w:rPr>
          <w:t>https://doi.org/10.1111/jfb.12935</w:t>
        </w:r>
      </w:hyperlink>
    </w:p>
    <w:p w14:paraId="17080E20"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Grimmel, H. M. V., Bullock, R. W., Dedman, S. L., Guttridge, T. L., &amp; Bond, M. E. (2020). Assessment of faunal communities and habitat use within a shallow water system using non-invasive BRUVs methodology. </w:t>
      </w:r>
      <w:r w:rsidRPr="005446D2">
        <w:rPr>
          <w:rFonts w:ascii="Times New Roman" w:eastAsia="Times New Roman" w:hAnsi="Times New Roman" w:cs="Times New Roman"/>
          <w:i/>
          <w:iCs/>
          <w:kern w:val="0"/>
          <w:lang w:eastAsia="de-DE"/>
          <w14:ligatures w14:val="none"/>
        </w:rPr>
        <w:t>Aquaculture and Fisheries, 5</w:t>
      </w:r>
      <w:r w:rsidRPr="005446D2">
        <w:rPr>
          <w:rFonts w:ascii="Times New Roman" w:eastAsia="Times New Roman" w:hAnsi="Times New Roman" w:cs="Times New Roman"/>
          <w:kern w:val="0"/>
          <w:lang w:eastAsia="de-DE"/>
          <w14:ligatures w14:val="none"/>
        </w:rPr>
        <w:t xml:space="preserve">, 224–233. </w:t>
      </w:r>
      <w:hyperlink r:id="rId14" w:history="1">
        <w:r w:rsidRPr="005446D2">
          <w:rPr>
            <w:rFonts w:ascii="Times New Roman" w:eastAsia="Times New Roman" w:hAnsi="Times New Roman" w:cs="Times New Roman"/>
            <w:color w:val="0000FF"/>
            <w:kern w:val="0"/>
            <w:u w:val="single"/>
            <w:lang w:eastAsia="de-DE"/>
            <w14:ligatures w14:val="none"/>
          </w:rPr>
          <w:t>https://doi.org/10.1016/j.aaf.2019.12.005</w:t>
        </w:r>
      </w:hyperlink>
    </w:p>
    <w:p w14:paraId="2B129195"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Harvey, E. S., Cappo, M., Butler, J. J., Hall, N., &amp; Kendrick, G. A. (2007). Bait attraction affects the performance of remote underwater video stations in assessment of demersal fish community structure. </w:t>
      </w:r>
      <w:r w:rsidRPr="005446D2">
        <w:rPr>
          <w:rFonts w:ascii="Times New Roman" w:eastAsia="Times New Roman" w:hAnsi="Times New Roman" w:cs="Times New Roman"/>
          <w:i/>
          <w:iCs/>
          <w:kern w:val="0"/>
          <w:lang w:eastAsia="de-DE"/>
          <w14:ligatures w14:val="none"/>
        </w:rPr>
        <w:t>Marine Ecology Progress Series, 350</w:t>
      </w:r>
      <w:r w:rsidRPr="005446D2">
        <w:rPr>
          <w:rFonts w:ascii="Times New Roman" w:eastAsia="Times New Roman" w:hAnsi="Times New Roman" w:cs="Times New Roman"/>
          <w:kern w:val="0"/>
          <w:lang w:eastAsia="de-DE"/>
          <w14:ligatures w14:val="none"/>
        </w:rPr>
        <w:t>, 245–254.</w:t>
      </w:r>
    </w:p>
    <w:p w14:paraId="0267BE33"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Heagney, E. C., Lynch, T. P., Babcock, R. C., &amp; Suthers, I. M. (2007). Pelagic fish assemblages assessed using mid-water baited video: standardising fish counts using bait plume size. </w:t>
      </w:r>
      <w:r w:rsidRPr="005446D2">
        <w:rPr>
          <w:rFonts w:ascii="Times New Roman" w:eastAsia="Times New Roman" w:hAnsi="Times New Roman" w:cs="Times New Roman"/>
          <w:i/>
          <w:iCs/>
          <w:kern w:val="0"/>
          <w:lang w:eastAsia="de-DE"/>
          <w14:ligatures w14:val="none"/>
        </w:rPr>
        <w:t>Marine Ecology Progress Series, 350</w:t>
      </w:r>
      <w:r w:rsidRPr="005446D2">
        <w:rPr>
          <w:rFonts w:ascii="Times New Roman" w:eastAsia="Times New Roman" w:hAnsi="Times New Roman" w:cs="Times New Roman"/>
          <w:kern w:val="0"/>
          <w:lang w:eastAsia="de-DE"/>
          <w14:ligatures w14:val="none"/>
        </w:rPr>
        <w:t>, 255–266.</w:t>
      </w:r>
    </w:p>
    <w:p w14:paraId="60F85F6D"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Hoey, A. S., &amp; Bellwood, D. R. (2011). Suppression of herbivory by macroalgal density: a critical feedback on coral reefs? </w:t>
      </w:r>
      <w:r w:rsidRPr="005446D2">
        <w:rPr>
          <w:rFonts w:ascii="Times New Roman" w:eastAsia="Times New Roman" w:hAnsi="Times New Roman" w:cs="Times New Roman"/>
          <w:i/>
          <w:iCs/>
          <w:kern w:val="0"/>
          <w:lang w:eastAsia="de-DE"/>
          <w14:ligatures w14:val="none"/>
        </w:rPr>
        <w:t>Ecology Letters, 14</w:t>
      </w:r>
      <w:r w:rsidRPr="005446D2">
        <w:rPr>
          <w:rFonts w:ascii="Times New Roman" w:eastAsia="Times New Roman" w:hAnsi="Times New Roman" w:cs="Times New Roman"/>
          <w:kern w:val="0"/>
          <w:lang w:eastAsia="de-DE"/>
          <w14:ligatures w14:val="none"/>
        </w:rPr>
        <w:t xml:space="preserve">, 267–273. </w:t>
      </w:r>
      <w:hyperlink r:id="rId15" w:history="1">
        <w:r w:rsidRPr="005446D2">
          <w:rPr>
            <w:rFonts w:ascii="Times New Roman" w:eastAsia="Times New Roman" w:hAnsi="Times New Roman" w:cs="Times New Roman"/>
            <w:color w:val="0000FF"/>
            <w:kern w:val="0"/>
            <w:u w:val="single"/>
            <w:lang w:eastAsia="de-DE"/>
            <w14:ligatures w14:val="none"/>
          </w:rPr>
          <w:t>https://doi.org/10.1111/j.1461-0248.2010.01581.x</w:t>
        </w:r>
      </w:hyperlink>
    </w:p>
    <w:p w14:paraId="3371BB95"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Jessop, S. A., Saunders, B. J., Goetze, J. S., &amp; Harvey, E. S. (2022). A comparison of underwater visual census, baited, diver operated and remotely operated stereo-video for sampling shallow water reef fishes. </w:t>
      </w:r>
      <w:r w:rsidRPr="005446D2">
        <w:rPr>
          <w:rFonts w:ascii="Times New Roman" w:eastAsia="Times New Roman" w:hAnsi="Times New Roman" w:cs="Times New Roman"/>
          <w:i/>
          <w:iCs/>
          <w:kern w:val="0"/>
          <w:lang w:eastAsia="de-DE"/>
          <w14:ligatures w14:val="none"/>
        </w:rPr>
        <w:t>Estuarine, Coastal and Shelf Science, 276</w:t>
      </w:r>
      <w:r w:rsidRPr="005446D2">
        <w:rPr>
          <w:rFonts w:ascii="Times New Roman" w:eastAsia="Times New Roman" w:hAnsi="Times New Roman" w:cs="Times New Roman"/>
          <w:kern w:val="0"/>
          <w:lang w:eastAsia="de-DE"/>
          <w14:ligatures w14:val="none"/>
        </w:rPr>
        <w:t xml:space="preserve">, 108017. </w:t>
      </w:r>
      <w:hyperlink r:id="rId16" w:history="1">
        <w:r w:rsidRPr="005446D2">
          <w:rPr>
            <w:rFonts w:ascii="Times New Roman" w:eastAsia="Times New Roman" w:hAnsi="Times New Roman" w:cs="Times New Roman"/>
            <w:color w:val="0000FF"/>
            <w:kern w:val="0"/>
            <w:u w:val="single"/>
            <w:lang w:eastAsia="de-DE"/>
            <w14:ligatures w14:val="none"/>
          </w:rPr>
          <w:t>https://doi.org/10.1016/j.ecss.2022.108017</w:t>
        </w:r>
      </w:hyperlink>
    </w:p>
    <w:p w14:paraId="2D360B96"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Jones, R. E., Griffin, R. A., Herbert, R. J. H., &amp; Unsworth, R. K. F. (2021). Consistency is critical for the effective use of baited remote video. </w:t>
      </w:r>
      <w:r w:rsidRPr="005446D2">
        <w:rPr>
          <w:rFonts w:ascii="Times New Roman" w:eastAsia="Times New Roman" w:hAnsi="Times New Roman" w:cs="Times New Roman"/>
          <w:i/>
          <w:iCs/>
          <w:kern w:val="0"/>
          <w:lang w:eastAsia="de-DE"/>
          <w14:ligatures w14:val="none"/>
        </w:rPr>
        <w:t>Oceans, 2</w:t>
      </w:r>
      <w:r w:rsidRPr="005446D2">
        <w:rPr>
          <w:rFonts w:ascii="Times New Roman" w:eastAsia="Times New Roman" w:hAnsi="Times New Roman" w:cs="Times New Roman"/>
          <w:kern w:val="0"/>
          <w:lang w:eastAsia="de-DE"/>
          <w14:ligatures w14:val="none"/>
        </w:rPr>
        <w:t xml:space="preserve">(1), 215–232. </w:t>
      </w:r>
      <w:hyperlink r:id="rId17" w:history="1">
        <w:r w:rsidRPr="005446D2">
          <w:rPr>
            <w:rFonts w:ascii="Times New Roman" w:eastAsia="Times New Roman" w:hAnsi="Times New Roman" w:cs="Times New Roman"/>
            <w:color w:val="0000FF"/>
            <w:kern w:val="0"/>
            <w:u w:val="single"/>
            <w:lang w:eastAsia="de-DE"/>
            <w14:ligatures w14:val="none"/>
          </w:rPr>
          <w:t>https://doi.org/10.3390/oceans2010013</w:t>
        </w:r>
      </w:hyperlink>
    </w:p>
    <w:p w14:paraId="0D6745C6"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Langenkämper, D., Zurowietz, M., Schoening, T., &amp; Nattkemper, T. W. (2017). BIIGLE 2.0: Browsing and annotating large marine image collections. </w:t>
      </w:r>
      <w:r w:rsidRPr="005446D2">
        <w:rPr>
          <w:rFonts w:ascii="Times New Roman" w:eastAsia="Times New Roman" w:hAnsi="Times New Roman" w:cs="Times New Roman"/>
          <w:i/>
          <w:iCs/>
          <w:kern w:val="0"/>
          <w:lang w:eastAsia="de-DE"/>
          <w14:ligatures w14:val="none"/>
        </w:rPr>
        <w:t>Frontiers in Marine Science, 4</w:t>
      </w:r>
      <w:r w:rsidRPr="005446D2">
        <w:rPr>
          <w:rFonts w:ascii="Times New Roman" w:eastAsia="Times New Roman" w:hAnsi="Times New Roman" w:cs="Times New Roman"/>
          <w:kern w:val="0"/>
          <w:lang w:eastAsia="de-DE"/>
          <w14:ligatures w14:val="none"/>
        </w:rPr>
        <w:t xml:space="preserve">, 83. </w:t>
      </w:r>
      <w:hyperlink r:id="rId18" w:history="1">
        <w:r w:rsidRPr="005446D2">
          <w:rPr>
            <w:rFonts w:ascii="Times New Roman" w:eastAsia="Times New Roman" w:hAnsi="Times New Roman" w:cs="Times New Roman"/>
            <w:color w:val="0000FF"/>
            <w:kern w:val="0"/>
            <w:u w:val="single"/>
            <w:lang w:eastAsia="de-DE"/>
            <w14:ligatures w14:val="none"/>
          </w:rPr>
          <w:t>https://doi.org/10.3389/fmars.2017.00083</w:t>
        </w:r>
      </w:hyperlink>
    </w:p>
    <w:p w14:paraId="4DEC6CF5"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Langlois, T. J., Harvey, E. S., Fitzpatrick, B., Meeuwig, J. J., Shedrawi, G., &amp; Watson, D. L. (2010). Cost-efficient sampling of fish assemblages: comparison of baited video stations and diver video transects. </w:t>
      </w:r>
      <w:r w:rsidRPr="005446D2">
        <w:rPr>
          <w:rFonts w:ascii="Times New Roman" w:eastAsia="Times New Roman" w:hAnsi="Times New Roman" w:cs="Times New Roman"/>
          <w:i/>
          <w:iCs/>
          <w:kern w:val="0"/>
          <w:lang w:eastAsia="de-DE"/>
          <w14:ligatures w14:val="none"/>
        </w:rPr>
        <w:t>Aquatic Biology, 9</w:t>
      </w:r>
      <w:r w:rsidRPr="005446D2">
        <w:rPr>
          <w:rFonts w:ascii="Times New Roman" w:eastAsia="Times New Roman" w:hAnsi="Times New Roman" w:cs="Times New Roman"/>
          <w:kern w:val="0"/>
          <w:lang w:eastAsia="de-DE"/>
          <w14:ligatures w14:val="none"/>
        </w:rPr>
        <w:t xml:space="preserve">, 155–168. </w:t>
      </w:r>
      <w:hyperlink r:id="rId19" w:history="1">
        <w:r w:rsidRPr="005446D2">
          <w:rPr>
            <w:rFonts w:ascii="Times New Roman" w:eastAsia="Times New Roman" w:hAnsi="Times New Roman" w:cs="Times New Roman"/>
            <w:color w:val="0000FF"/>
            <w:kern w:val="0"/>
            <w:u w:val="single"/>
            <w:lang w:eastAsia="de-DE"/>
            <w14:ligatures w14:val="none"/>
          </w:rPr>
          <w:t>https://doi.org/10.3354/ab00235</w:t>
        </w:r>
      </w:hyperlink>
    </w:p>
    <w:p w14:paraId="021CDD68"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val="en-GB" w:eastAsia="de-DE"/>
          <w14:ligatures w14:val="none"/>
        </w:rPr>
        <w:t xml:space="preserve">Langlois, T., Goetze, J., Bond, T., Monk, J., Abesamis, R. A., Asher, J., Barrett, N., Bernard, A. T. F., Bouchet, P. J., Birt, M. J., Cappo, M., Currey-Randall, L. M., </w:t>
      </w:r>
      <w:r w:rsidRPr="005446D2">
        <w:rPr>
          <w:rFonts w:ascii="Times New Roman" w:eastAsia="Times New Roman" w:hAnsi="Times New Roman" w:cs="Times New Roman"/>
          <w:kern w:val="0"/>
          <w:lang w:val="en-GB" w:eastAsia="de-DE"/>
          <w14:ligatures w14:val="none"/>
        </w:rPr>
        <w:lastRenderedPageBreak/>
        <w:t xml:space="preserve">Driessen, D., Fairclough, D. V., Fullwood, L. A. F., Gibbons, B. A., Harasti, D., Heupel, M. R., Hicks, J., … Harvey, E. S. (2020). A field and video annotation guide for baited remote underwater stereo-video surveys of demersal fish assemblages. </w:t>
      </w:r>
      <w:r w:rsidRPr="005446D2">
        <w:rPr>
          <w:rFonts w:ascii="Times New Roman" w:eastAsia="Times New Roman" w:hAnsi="Times New Roman" w:cs="Times New Roman"/>
          <w:i/>
          <w:iCs/>
          <w:kern w:val="0"/>
          <w:lang w:eastAsia="de-DE"/>
          <w14:ligatures w14:val="none"/>
        </w:rPr>
        <w:t>Methods in Ecology and Evolution, 11</w:t>
      </w:r>
      <w:r w:rsidRPr="005446D2">
        <w:rPr>
          <w:rFonts w:ascii="Times New Roman" w:eastAsia="Times New Roman" w:hAnsi="Times New Roman" w:cs="Times New Roman"/>
          <w:kern w:val="0"/>
          <w:lang w:eastAsia="de-DE"/>
          <w14:ligatures w14:val="none"/>
        </w:rPr>
        <w:t xml:space="preserve">(11), 1401–1409. </w:t>
      </w:r>
      <w:hyperlink r:id="rId20" w:history="1">
        <w:r w:rsidRPr="005446D2">
          <w:rPr>
            <w:rFonts w:ascii="Times New Roman" w:eastAsia="Times New Roman" w:hAnsi="Times New Roman" w:cs="Times New Roman"/>
            <w:color w:val="0000FF"/>
            <w:kern w:val="0"/>
            <w:u w:val="single"/>
            <w:lang w:eastAsia="de-DE"/>
            <w14:ligatures w14:val="none"/>
          </w:rPr>
          <w:t>https://doi.org/10.1111/2041-210X.13470</w:t>
        </w:r>
      </w:hyperlink>
    </w:p>
    <w:p w14:paraId="28668F90"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val="en-GB" w:eastAsia="de-DE"/>
          <w14:ligatures w14:val="none"/>
        </w:rPr>
        <w:t xml:space="preserve">Lefèvre, C. D., &amp; Bellwood, D. R. (2011). Temporal variation in coral reef ecosystem processes: herbivory of macroalgae by fishes. </w:t>
      </w:r>
      <w:r w:rsidRPr="005446D2">
        <w:rPr>
          <w:rFonts w:ascii="Times New Roman" w:eastAsia="Times New Roman" w:hAnsi="Times New Roman" w:cs="Times New Roman"/>
          <w:i/>
          <w:iCs/>
          <w:kern w:val="0"/>
          <w:lang w:eastAsia="de-DE"/>
          <w14:ligatures w14:val="none"/>
        </w:rPr>
        <w:t>Marine Ecology Progress Series, 422</w:t>
      </w:r>
      <w:r w:rsidRPr="005446D2">
        <w:rPr>
          <w:rFonts w:ascii="Times New Roman" w:eastAsia="Times New Roman" w:hAnsi="Times New Roman" w:cs="Times New Roman"/>
          <w:kern w:val="0"/>
          <w:lang w:eastAsia="de-DE"/>
          <w14:ligatures w14:val="none"/>
        </w:rPr>
        <w:t>, 239–251.</w:t>
      </w:r>
    </w:p>
    <w:p w14:paraId="019E4450"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val="en-GB" w:eastAsia="de-DE"/>
          <w14:ligatures w14:val="none"/>
        </w:rPr>
        <w:t xml:space="preserve">Lindfield, S. J., Harvey, E. S., McIlwain, J. L., &amp; Halford, A. R. (2014). Silent fish surveys: Bubble-free diving highlights inaccuracies associated with SCUBA-based surveys in heavily fished areas. </w:t>
      </w:r>
      <w:r w:rsidRPr="005446D2">
        <w:rPr>
          <w:rFonts w:ascii="Times New Roman" w:eastAsia="Times New Roman" w:hAnsi="Times New Roman" w:cs="Times New Roman"/>
          <w:i/>
          <w:iCs/>
          <w:kern w:val="0"/>
          <w:lang w:eastAsia="de-DE"/>
          <w14:ligatures w14:val="none"/>
        </w:rPr>
        <w:t>Methods in Ecology and Evolution, 5</w:t>
      </w:r>
      <w:r w:rsidRPr="005446D2">
        <w:rPr>
          <w:rFonts w:ascii="Times New Roman" w:eastAsia="Times New Roman" w:hAnsi="Times New Roman" w:cs="Times New Roman"/>
          <w:kern w:val="0"/>
          <w:lang w:eastAsia="de-DE"/>
          <w14:ligatures w14:val="none"/>
        </w:rPr>
        <w:t xml:space="preserve">(10), 1061–1069. </w:t>
      </w:r>
      <w:hyperlink r:id="rId21" w:history="1">
        <w:r w:rsidRPr="005446D2">
          <w:rPr>
            <w:rFonts w:ascii="Times New Roman" w:eastAsia="Times New Roman" w:hAnsi="Times New Roman" w:cs="Times New Roman"/>
            <w:color w:val="0000FF"/>
            <w:kern w:val="0"/>
            <w:u w:val="single"/>
            <w:lang w:eastAsia="de-DE"/>
            <w14:ligatures w14:val="none"/>
          </w:rPr>
          <w:t>https://doi.org/10.1111/2041-210X.12262</w:t>
        </w:r>
      </w:hyperlink>
    </w:p>
    <w:p w14:paraId="2FAF4FA2"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val="en-GB" w:eastAsia="de-DE"/>
          <w14:ligatures w14:val="none"/>
        </w:rPr>
        <w:t xml:space="preserve">Logan, J. M., Young, M., Harvey, E. S., Schimel, A. C. G., &amp; Ierodiaconou, D. (2017). Combining underwater video methods improves effectiveness of demersal fish assemblage surveys across habitats. </w:t>
      </w:r>
      <w:r w:rsidRPr="005446D2">
        <w:rPr>
          <w:rFonts w:ascii="Times New Roman" w:eastAsia="Times New Roman" w:hAnsi="Times New Roman" w:cs="Times New Roman"/>
          <w:i/>
          <w:iCs/>
          <w:kern w:val="0"/>
          <w:lang w:eastAsia="de-DE"/>
          <w14:ligatures w14:val="none"/>
        </w:rPr>
        <w:t>Marine Ecology Progress Series, 582</w:t>
      </w:r>
      <w:r w:rsidRPr="005446D2">
        <w:rPr>
          <w:rFonts w:ascii="Times New Roman" w:eastAsia="Times New Roman" w:hAnsi="Times New Roman" w:cs="Times New Roman"/>
          <w:kern w:val="0"/>
          <w:lang w:eastAsia="de-DE"/>
          <w14:ligatures w14:val="none"/>
        </w:rPr>
        <w:t xml:space="preserve">, 181–200. </w:t>
      </w:r>
      <w:hyperlink r:id="rId22" w:history="1">
        <w:r w:rsidRPr="005446D2">
          <w:rPr>
            <w:rFonts w:ascii="Times New Roman" w:eastAsia="Times New Roman" w:hAnsi="Times New Roman" w:cs="Times New Roman"/>
            <w:color w:val="0000FF"/>
            <w:kern w:val="0"/>
            <w:u w:val="single"/>
            <w:lang w:eastAsia="de-DE"/>
            <w14:ligatures w14:val="none"/>
          </w:rPr>
          <w:t>https://doi.org/10.3354/meps12326</w:t>
        </w:r>
      </w:hyperlink>
    </w:p>
    <w:p w14:paraId="738ED7E3"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val="en-GB" w:eastAsia="de-DE"/>
          <w14:ligatures w14:val="none"/>
        </w:rPr>
        <w:t xml:space="preserve">Mallet, D., &amp; Pelletier, D. (2014). Underwater video techniques for observing coastal marine biodiversity: a review of sixty years of publications (1952–2012). </w:t>
      </w:r>
      <w:r w:rsidRPr="005446D2">
        <w:rPr>
          <w:rFonts w:ascii="Times New Roman" w:eastAsia="Times New Roman" w:hAnsi="Times New Roman" w:cs="Times New Roman"/>
          <w:i/>
          <w:iCs/>
          <w:kern w:val="0"/>
          <w:lang w:eastAsia="de-DE"/>
          <w14:ligatures w14:val="none"/>
        </w:rPr>
        <w:t>Fisheries Research, 154</w:t>
      </w:r>
      <w:r w:rsidRPr="005446D2">
        <w:rPr>
          <w:rFonts w:ascii="Times New Roman" w:eastAsia="Times New Roman" w:hAnsi="Times New Roman" w:cs="Times New Roman"/>
          <w:kern w:val="0"/>
          <w:lang w:eastAsia="de-DE"/>
          <w14:ligatures w14:val="none"/>
        </w:rPr>
        <w:t>, 44–62.</w:t>
      </w:r>
    </w:p>
    <w:p w14:paraId="49FD033B"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val="en-GB" w:eastAsia="de-DE"/>
          <w14:ligatures w14:val="none"/>
        </w:rPr>
        <w:t xml:space="preserve">McClanahan, T. R., Ateweberhan, M., Muhando, C., Maina, J., &amp; Mohammed, S. (2007). Western Indian Ocean coral communities: bleaching responses and susceptibility to extinction. </w:t>
      </w:r>
      <w:r w:rsidRPr="005446D2">
        <w:rPr>
          <w:rFonts w:ascii="Times New Roman" w:eastAsia="Times New Roman" w:hAnsi="Times New Roman" w:cs="Times New Roman"/>
          <w:i/>
          <w:iCs/>
          <w:kern w:val="0"/>
          <w:lang w:eastAsia="de-DE"/>
          <w14:ligatures w14:val="none"/>
        </w:rPr>
        <w:t>Marine Biology, 151</w:t>
      </w:r>
      <w:r w:rsidRPr="005446D2">
        <w:rPr>
          <w:rFonts w:ascii="Times New Roman" w:eastAsia="Times New Roman" w:hAnsi="Times New Roman" w:cs="Times New Roman"/>
          <w:kern w:val="0"/>
          <w:lang w:eastAsia="de-DE"/>
          <w14:ligatures w14:val="none"/>
        </w:rPr>
        <w:t>, 1089–1100.</w:t>
      </w:r>
    </w:p>
    <w:p w14:paraId="0A71D5EA"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McClanahan, T. R., Cinner, J., Kamukuru, A. T., Abunge, C., &amp; Ndagala, J. (2009). </w:t>
      </w:r>
      <w:r w:rsidRPr="005446D2">
        <w:rPr>
          <w:rFonts w:ascii="Times New Roman" w:eastAsia="Times New Roman" w:hAnsi="Times New Roman" w:cs="Times New Roman"/>
          <w:kern w:val="0"/>
          <w:lang w:val="en-GB" w:eastAsia="de-DE"/>
          <w14:ligatures w14:val="none"/>
        </w:rPr>
        <w:t xml:space="preserve">Management preferences, perceived benefits and conflicts among resource users and managers in the Mafia Island Marine Park, Tanzania. </w:t>
      </w:r>
      <w:r w:rsidRPr="005446D2">
        <w:rPr>
          <w:rFonts w:ascii="Times New Roman" w:eastAsia="Times New Roman" w:hAnsi="Times New Roman" w:cs="Times New Roman"/>
          <w:i/>
          <w:iCs/>
          <w:kern w:val="0"/>
          <w:lang w:eastAsia="de-DE"/>
          <w14:ligatures w14:val="none"/>
        </w:rPr>
        <w:t>Environmental Conservation, 35</w:t>
      </w:r>
      <w:r w:rsidRPr="005446D2">
        <w:rPr>
          <w:rFonts w:ascii="Times New Roman" w:eastAsia="Times New Roman" w:hAnsi="Times New Roman" w:cs="Times New Roman"/>
          <w:kern w:val="0"/>
          <w:lang w:eastAsia="de-DE"/>
          <w14:ligatures w14:val="none"/>
        </w:rPr>
        <w:t xml:space="preserve">(4), 340–350. </w:t>
      </w:r>
      <w:hyperlink r:id="rId23" w:history="1">
        <w:r w:rsidRPr="005446D2">
          <w:rPr>
            <w:rFonts w:ascii="Times New Roman" w:eastAsia="Times New Roman" w:hAnsi="Times New Roman" w:cs="Times New Roman"/>
            <w:color w:val="0000FF"/>
            <w:kern w:val="0"/>
            <w:u w:val="single"/>
            <w:lang w:eastAsia="de-DE"/>
            <w14:ligatures w14:val="none"/>
          </w:rPr>
          <w:t>https://doi.org/10.1017/S0376892908005250</w:t>
        </w:r>
      </w:hyperlink>
    </w:p>
    <w:p w14:paraId="4C281F90"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McClanahan, T. R. (2019). Coral reef fish communities, diversity, and their fisheries and biodiversity status in East Africa. </w:t>
      </w:r>
      <w:r w:rsidRPr="005446D2">
        <w:rPr>
          <w:rFonts w:ascii="Times New Roman" w:eastAsia="Times New Roman" w:hAnsi="Times New Roman" w:cs="Times New Roman"/>
          <w:i/>
          <w:iCs/>
          <w:kern w:val="0"/>
          <w:lang w:eastAsia="de-DE"/>
          <w14:ligatures w14:val="none"/>
        </w:rPr>
        <w:t>Marine Ecology Progress Series, 632</w:t>
      </w:r>
      <w:r w:rsidRPr="005446D2">
        <w:rPr>
          <w:rFonts w:ascii="Times New Roman" w:eastAsia="Times New Roman" w:hAnsi="Times New Roman" w:cs="Times New Roman"/>
          <w:kern w:val="0"/>
          <w:lang w:eastAsia="de-DE"/>
          <w14:ligatures w14:val="none"/>
        </w:rPr>
        <w:t xml:space="preserve">, 175–191. </w:t>
      </w:r>
      <w:hyperlink r:id="rId24" w:history="1">
        <w:r w:rsidRPr="005446D2">
          <w:rPr>
            <w:rFonts w:ascii="Times New Roman" w:eastAsia="Times New Roman" w:hAnsi="Times New Roman" w:cs="Times New Roman"/>
            <w:color w:val="0000FF"/>
            <w:kern w:val="0"/>
            <w:u w:val="single"/>
            <w:lang w:eastAsia="de-DE"/>
            <w14:ligatures w14:val="none"/>
          </w:rPr>
          <w:t>https://doi.org/10.3354/meps13153</w:t>
        </w:r>
      </w:hyperlink>
    </w:p>
    <w:p w14:paraId="3A4FC1F0"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Michael, P. J., Hyndes, G. A., Vanderklift, M. A., &amp; Vergés, A. (2013). Identity and behaviour of herbivorous fish influence large-scale spatial patterns of macroalgal herbivory in a coral reef. </w:t>
      </w:r>
      <w:r w:rsidRPr="005446D2">
        <w:rPr>
          <w:rFonts w:ascii="Times New Roman" w:eastAsia="Times New Roman" w:hAnsi="Times New Roman" w:cs="Times New Roman"/>
          <w:i/>
          <w:iCs/>
          <w:kern w:val="0"/>
          <w:lang w:eastAsia="de-DE"/>
          <w14:ligatures w14:val="none"/>
        </w:rPr>
        <w:t>Marine Ecology Progress Series, 482</w:t>
      </w:r>
      <w:r w:rsidRPr="005446D2">
        <w:rPr>
          <w:rFonts w:ascii="Times New Roman" w:eastAsia="Times New Roman" w:hAnsi="Times New Roman" w:cs="Times New Roman"/>
          <w:kern w:val="0"/>
          <w:lang w:eastAsia="de-DE"/>
          <w14:ligatures w14:val="none"/>
        </w:rPr>
        <w:t xml:space="preserve">, 227–240. </w:t>
      </w:r>
      <w:hyperlink r:id="rId25" w:history="1">
        <w:r w:rsidRPr="005446D2">
          <w:rPr>
            <w:rFonts w:ascii="Times New Roman" w:eastAsia="Times New Roman" w:hAnsi="Times New Roman" w:cs="Times New Roman"/>
            <w:color w:val="0000FF"/>
            <w:kern w:val="0"/>
            <w:u w:val="single"/>
            <w:lang w:eastAsia="de-DE"/>
            <w14:ligatures w14:val="none"/>
          </w:rPr>
          <w:t>https://doi.org/10.3354/meps10262</w:t>
        </w:r>
      </w:hyperlink>
    </w:p>
    <w:p w14:paraId="20CFD9DF"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Schramm, K. D., Marnane, M. J., Elsdon, T. S., Jones, C., Saunders, B. J., Goetze, J. S., Driessen, D., Fullwood, L. A. F., &amp; Harvey, E. S. (2020). A comparison of stereo-BRUVs and stereo-ROV techniques for sampling shallow water fish communities on and off pipelines. </w:t>
      </w:r>
      <w:r w:rsidRPr="005446D2">
        <w:rPr>
          <w:rFonts w:ascii="Times New Roman" w:eastAsia="Times New Roman" w:hAnsi="Times New Roman" w:cs="Times New Roman"/>
          <w:i/>
          <w:iCs/>
          <w:kern w:val="0"/>
          <w:lang w:eastAsia="de-DE"/>
          <w14:ligatures w14:val="none"/>
        </w:rPr>
        <w:t>Marine Environmental Research, 162</w:t>
      </w:r>
      <w:r w:rsidRPr="005446D2">
        <w:rPr>
          <w:rFonts w:ascii="Times New Roman" w:eastAsia="Times New Roman" w:hAnsi="Times New Roman" w:cs="Times New Roman"/>
          <w:kern w:val="0"/>
          <w:lang w:eastAsia="de-DE"/>
          <w14:ligatures w14:val="none"/>
        </w:rPr>
        <w:t xml:space="preserve">, 105198. </w:t>
      </w:r>
      <w:hyperlink r:id="rId26" w:history="1">
        <w:r w:rsidRPr="005446D2">
          <w:rPr>
            <w:rFonts w:ascii="Times New Roman" w:eastAsia="Times New Roman" w:hAnsi="Times New Roman" w:cs="Times New Roman"/>
            <w:color w:val="0000FF"/>
            <w:kern w:val="0"/>
            <w:u w:val="single"/>
            <w:lang w:eastAsia="de-DE"/>
            <w14:ligatures w14:val="none"/>
          </w:rPr>
          <w:t>https://doi.org/10.1016/j.marenvres.2020.105198</w:t>
        </w:r>
      </w:hyperlink>
    </w:p>
    <w:p w14:paraId="60E61700"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Sherman, C. S., Chin, A., Heupel, M. R., &amp; Simpfendorfer, C. A. (2018). Are we underestimating elasmobranch abundances on baited remote underwater video systems (BRUVS) using traditional metrics? </w:t>
      </w:r>
      <w:r w:rsidRPr="005446D2">
        <w:rPr>
          <w:rFonts w:ascii="Times New Roman" w:eastAsia="Times New Roman" w:hAnsi="Times New Roman" w:cs="Times New Roman"/>
          <w:i/>
          <w:iCs/>
          <w:kern w:val="0"/>
          <w:lang w:eastAsia="de-DE"/>
          <w14:ligatures w14:val="none"/>
        </w:rPr>
        <w:t>Journal of Experimental Marine Biology and Ecology, 503</w:t>
      </w:r>
      <w:r w:rsidRPr="005446D2">
        <w:rPr>
          <w:rFonts w:ascii="Times New Roman" w:eastAsia="Times New Roman" w:hAnsi="Times New Roman" w:cs="Times New Roman"/>
          <w:kern w:val="0"/>
          <w:lang w:eastAsia="de-DE"/>
          <w14:ligatures w14:val="none"/>
        </w:rPr>
        <w:t xml:space="preserve">, 80–85. </w:t>
      </w:r>
      <w:hyperlink r:id="rId27" w:history="1">
        <w:r w:rsidRPr="005446D2">
          <w:rPr>
            <w:rFonts w:ascii="Times New Roman" w:eastAsia="Times New Roman" w:hAnsi="Times New Roman" w:cs="Times New Roman"/>
            <w:color w:val="0000FF"/>
            <w:kern w:val="0"/>
            <w:u w:val="single"/>
            <w:lang w:eastAsia="de-DE"/>
            <w14:ligatures w14:val="none"/>
          </w:rPr>
          <w:t>https://doi.org/10.1016/j.jembe.2018.03.002</w:t>
        </w:r>
      </w:hyperlink>
    </w:p>
    <w:p w14:paraId="760D56C7"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Stobart, R. L., Jeffs, A. G., Hillman, J. R., &amp; Skelton, B. M. (2025). Assessing the use of remote underwater video (RUV) to identify fish and their feeding behaviour in New Zealand's Greenshell™ mussel farms. </w:t>
      </w:r>
      <w:r w:rsidRPr="005446D2">
        <w:rPr>
          <w:rFonts w:ascii="Times New Roman" w:eastAsia="Times New Roman" w:hAnsi="Times New Roman" w:cs="Times New Roman"/>
          <w:i/>
          <w:iCs/>
          <w:kern w:val="0"/>
          <w:lang w:eastAsia="de-DE"/>
          <w14:ligatures w14:val="none"/>
        </w:rPr>
        <w:t>Aquaculture, 596</w:t>
      </w:r>
      <w:r w:rsidRPr="005446D2">
        <w:rPr>
          <w:rFonts w:ascii="Times New Roman" w:eastAsia="Times New Roman" w:hAnsi="Times New Roman" w:cs="Times New Roman"/>
          <w:kern w:val="0"/>
          <w:lang w:eastAsia="de-DE"/>
          <w14:ligatures w14:val="none"/>
        </w:rPr>
        <w:t xml:space="preserve">, 741826. </w:t>
      </w:r>
      <w:hyperlink r:id="rId28" w:history="1">
        <w:r w:rsidRPr="005446D2">
          <w:rPr>
            <w:rFonts w:ascii="Times New Roman" w:eastAsia="Times New Roman" w:hAnsi="Times New Roman" w:cs="Times New Roman"/>
            <w:color w:val="0000FF"/>
            <w:kern w:val="0"/>
            <w:u w:val="single"/>
            <w:lang w:eastAsia="de-DE"/>
            <w14:ligatures w14:val="none"/>
          </w:rPr>
          <w:t>https://doi.org/10.1016/j.aquaculture.2024.741826</w:t>
        </w:r>
      </w:hyperlink>
    </w:p>
    <w:p w14:paraId="78C71331"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Stoner, A. W. (2004). Effects of environmental variables on fish feeding ecology: implications for the performance of baited fishing gear and stock assessment. </w:t>
      </w:r>
      <w:r w:rsidRPr="005446D2">
        <w:rPr>
          <w:rFonts w:ascii="Times New Roman" w:eastAsia="Times New Roman" w:hAnsi="Times New Roman" w:cs="Times New Roman"/>
          <w:i/>
          <w:iCs/>
          <w:kern w:val="0"/>
          <w:lang w:eastAsia="de-DE"/>
          <w14:ligatures w14:val="none"/>
        </w:rPr>
        <w:t>Journal of Fish Biology, 65</w:t>
      </w:r>
      <w:r w:rsidRPr="005446D2">
        <w:rPr>
          <w:rFonts w:ascii="Times New Roman" w:eastAsia="Times New Roman" w:hAnsi="Times New Roman" w:cs="Times New Roman"/>
          <w:kern w:val="0"/>
          <w:lang w:eastAsia="de-DE"/>
          <w14:ligatures w14:val="none"/>
        </w:rPr>
        <w:t xml:space="preserve">, 1445–1471. </w:t>
      </w:r>
      <w:hyperlink r:id="rId29" w:history="1">
        <w:r w:rsidRPr="005446D2">
          <w:rPr>
            <w:rFonts w:ascii="Times New Roman" w:eastAsia="Times New Roman" w:hAnsi="Times New Roman" w:cs="Times New Roman"/>
            <w:color w:val="0000FF"/>
            <w:kern w:val="0"/>
            <w:u w:val="single"/>
            <w:lang w:eastAsia="de-DE"/>
            <w14:ligatures w14:val="none"/>
          </w:rPr>
          <w:t>https://doi.org/10.1111/j.0022-1112.2004.00593.x</w:t>
        </w:r>
      </w:hyperlink>
    </w:p>
    <w:p w14:paraId="0838253B"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Taylor, M. D., Baker, J., &amp; Suthers, I. M. (2013). Tidal currents, sampling effort and baited remote underwater video (BRUV) surveys: Are we drawing the right </w:t>
      </w:r>
      <w:r w:rsidRPr="005446D2">
        <w:rPr>
          <w:rFonts w:ascii="Times New Roman" w:eastAsia="Times New Roman" w:hAnsi="Times New Roman" w:cs="Times New Roman"/>
          <w:kern w:val="0"/>
          <w:lang w:eastAsia="de-DE"/>
          <w14:ligatures w14:val="none"/>
        </w:rPr>
        <w:lastRenderedPageBreak/>
        <w:t xml:space="preserve">conclusions? </w:t>
      </w:r>
      <w:r w:rsidRPr="005446D2">
        <w:rPr>
          <w:rFonts w:ascii="Times New Roman" w:eastAsia="Times New Roman" w:hAnsi="Times New Roman" w:cs="Times New Roman"/>
          <w:i/>
          <w:iCs/>
          <w:kern w:val="0"/>
          <w:lang w:eastAsia="de-DE"/>
          <w14:ligatures w14:val="none"/>
        </w:rPr>
        <w:t>Fisheries Research, 140</w:t>
      </w:r>
      <w:r w:rsidRPr="005446D2">
        <w:rPr>
          <w:rFonts w:ascii="Times New Roman" w:eastAsia="Times New Roman" w:hAnsi="Times New Roman" w:cs="Times New Roman"/>
          <w:kern w:val="0"/>
          <w:lang w:eastAsia="de-DE"/>
          <w14:ligatures w14:val="none"/>
        </w:rPr>
        <w:t xml:space="preserve">, 96–104. </w:t>
      </w:r>
      <w:hyperlink r:id="rId30" w:history="1">
        <w:r w:rsidRPr="005446D2">
          <w:rPr>
            <w:rFonts w:ascii="Times New Roman" w:eastAsia="Times New Roman" w:hAnsi="Times New Roman" w:cs="Times New Roman"/>
            <w:color w:val="0000FF"/>
            <w:kern w:val="0"/>
            <w:u w:val="single"/>
            <w:lang w:eastAsia="de-DE"/>
            <w14:ligatures w14:val="none"/>
          </w:rPr>
          <w:t>https://doi.org/10.1016/j.fishres.2012.12.013</w:t>
        </w:r>
      </w:hyperlink>
    </w:p>
    <w:p w14:paraId="6CF90799"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Vergés, A., Bennett, S., &amp; Bellwood, D. R. (2012). Diversity among macroalgae-consuming fishes on coral reefs: A transcontinental comparison. </w:t>
      </w:r>
      <w:r w:rsidRPr="005446D2">
        <w:rPr>
          <w:rFonts w:ascii="Times New Roman" w:eastAsia="Times New Roman" w:hAnsi="Times New Roman" w:cs="Times New Roman"/>
          <w:i/>
          <w:iCs/>
          <w:kern w:val="0"/>
          <w:lang w:eastAsia="de-DE"/>
          <w14:ligatures w14:val="none"/>
        </w:rPr>
        <w:t>PLoS ONE, 7</w:t>
      </w:r>
      <w:r w:rsidRPr="005446D2">
        <w:rPr>
          <w:rFonts w:ascii="Times New Roman" w:eastAsia="Times New Roman" w:hAnsi="Times New Roman" w:cs="Times New Roman"/>
          <w:kern w:val="0"/>
          <w:lang w:eastAsia="de-DE"/>
          <w14:ligatures w14:val="none"/>
        </w:rPr>
        <w:t xml:space="preserve">(9), e45543. </w:t>
      </w:r>
      <w:hyperlink r:id="rId31" w:history="1">
        <w:r w:rsidRPr="005446D2">
          <w:rPr>
            <w:rFonts w:ascii="Times New Roman" w:eastAsia="Times New Roman" w:hAnsi="Times New Roman" w:cs="Times New Roman"/>
            <w:color w:val="0000FF"/>
            <w:kern w:val="0"/>
            <w:u w:val="single"/>
            <w:lang w:eastAsia="de-DE"/>
            <w14:ligatures w14:val="none"/>
          </w:rPr>
          <w:t>https://doi.org/10.1371/journal.pone.0045543</w:t>
        </w:r>
      </w:hyperlink>
    </w:p>
    <w:p w14:paraId="28A55725"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Watson, D. L., Harvey, E. S., Anderson, M. J., &amp; Kendrick, G. A. (2010). Assessing reef fish assemblage structure: how do different stereo-video techniques compare? </w:t>
      </w:r>
      <w:r w:rsidRPr="005446D2">
        <w:rPr>
          <w:rFonts w:ascii="Times New Roman" w:eastAsia="Times New Roman" w:hAnsi="Times New Roman" w:cs="Times New Roman"/>
          <w:i/>
          <w:iCs/>
          <w:kern w:val="0"/>
          <w:lang w:eastAsia="de-DE"/>
          <w14:ligatures w14:val="none"/>
        </w:rPr>
        <w:t>Marine Biology, 157</w:t>
      </w:r>
      <w:r w:rsidRPr="005446D2">
        <w:rPr>
          <w:rFonts w:ascii="Times New Roman" w:eastAsia="Times New Roman" w:hAnsi="Times New Roman" w:cs="Times New Roman"/>
          <w:kern w:val="0"/>
          <w:lang w:eastAsia="de-DE"/>
          <w14:ligatures w14:val="none"/>
        </w:rPr>
        <w:t>, 1237–1250.</w:t>
      </w:r>
    </w:p>
    <w:p w14:paraId="6A0CE2E8"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Whitmarsh, S. K., Fairweather, P. G., &amp; Huveneers, C. (2017). What is Big BRUVver up to? Methods and uses of baited underwater video. </w:t>
      </w:r>
      <w:r w:rsidRPr="005446D2">
        <w:rPr>
          <w:rFonts w:ascii="Times New Roman" w:eastAsia="Times New Roman" w:hAnsi="Times New Roman" w:cs="Times New Roman"/>
          <w:i/>
          <w:iCs/>
          <w:kern w:val="0"/>
          <w:lang w:eastAsia="de-DE"/>
          <w14:ligatures w14:val="none"/>
        </w:rPr>
        <w:t>Reviews in Fish Biology and Fisheries, 27</w:t>
      </w:r>
      <w:r w:rsidRPr="005446D2">
        <w:rPr>
          <w:rFonts w:ascii="Times New Roman" w:eastAsia="Times New Roman" w:hAnsi="Times New Roman" w:cs="Times New Roman"/>
          <w:kern w:val="0"/>
          <w:lang w:eastAsia="de-DE"/>
          <w14:ligatures w14:val="none"/>
        </w:rPr>
        <w:t xml:space="preserve">, 53–73. </w:t>
      </w:r>
      <w:hyperlink r:id="rId32" w:history="1">
        <w:r w:rsidRPr="005446D2">
          <w:rPr>
            <w:rFonts w:ascii="Times New Roman" w:eastAsia="Times New Roman" w:hAnsi="Times New Roman" w:cs="Times New Roman"/>
            <w:color w:val="0000FF"/>
            <w:kern w:val="0"/>
            <w:u w:val="single"/>
            <w:lang w:eastAsia="de-DE"/>
            <w14:ligatures w14:val="none"/>
          </w:rPr>
          <w:t>https://doi.org/10.1007/s11160-016-9450-1</w:t>
        </w:r>
      </w:hyperlink>
    </w:p>
    <w:p w14:paraId="0B69CE87"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Wines, L. S., Young, M., Zavalas, R., Logan, J. M., Tinkler, P., &amp; Ierodiaconou, D. (2020). Accounting for spatial scale and temporal variation in fish-habitat analyses using baited remote underwater video stations (BRUVS). </w:t>
      </w:r>
      <w:r w:rsidRPr="005446D2">
        <w:rPr>
          <w:rFonts w:ascii="Times New Roman" w:eastAsia="Times New Roman" w:hAnsi="Times New Roman" w:cs="Times New Roman"/>
          <w:i/>
          <w:iCs/>
          <w:kern w:val="0"/>
          <w:lang w:eastAsia="de-DE"/>
          <w14:ligatures w14:val="none"/>
        </w:rPr>
        <w:t>Marine Ecology Progress Series, 640</w:t>
      </w:r>
      <w:r w:rsidRPr="005446D2">
        <w:rPr>
          <w:rFonts w:ascii="Times New Roman" w:eastAsia="Times New Roman" w:hAnsi="Times New Roman" w:cs="Times New Roman"/>
          <w:kern w:val="0"/>
          <w:lang w:eastAsia="de-DE"/>
          <w14:ligatures w14:val="none"/>
        </w:rPr>
        <w:t xml:space="preserve">, 171–187. </w:t>
      </w:r>
      <w:hyperlink r:id="rId33" w:history="1">
        <w:r w:rsidRPr="005446D2">
          <w:rPr>
            <w:rFonts w:ascii="Times New Roman" w:eastAsia="Times New Roman" w:hAnsi="Times New Roman" w:cs="Times New Roman"/>
            <w:color w:val="0000FF"/>
            <w:kern w:val="0"/>
            <w:u w:val="single"/>
            <w:lang w:eastAsia="de-DE"/>
            <w14:ligatures w14:val="none"/>
          </w:rPr>
          <w:t>https://doi.org/10.3354/meps13292</w:t>
        </w:r>
      </w:hyperlink>
    </w:p>
    <w:p w14:paraId="7524C843" w14:textId="77777777" w:rsidR="005446D2" w:rsidRPr="005446D2" w:rsidRDefault="005446D2" w:rsidP="005446D2">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 xml:space="preserve">Wraith, J., Lynch, T., Minchinton, T. E., Broad, A., &amp; Davis, A. R. (2013). Bait type affects fish assemblages and feeding guilds observed at baited remote underwater video stations. </w:t>
      </w:r>
      <w:r w:rsidRPr="005446D2">
        <w:rPr>
          <w:rFonts w:ascii="Times New Roman" w:eastAsia="Times New Roman" w:hAnsi="Times New Roman" w:cs="Times New Roman"/>
          <w:i/>
          <w:iCs/>
          <w:kern w:val="0"/>
          <w:lang w:eastAsia="de-DE"/>
          <w14:ligatures w14:val="none"/>
        </w:rPr>
        <w:t>Marine Ecology Progress Series, 477</w:t>
      </w:r>
      <w:r w:rsidRPr="005446D2">
        <w:rPr>
          <w:rFonts w:ascii="Times New Roman" w:eastAsia="Times New Roman" w:hAnsi="Times New Roman" w:cs="Times New Roman"/>
          <w:kern w:val="0"/>
          <w:lang w:eastAsia="de-DE"/>
          <w14:ligatures w14:val="none"/>
        </w:rPr>
        <w:t xml:space="preserve">, 189–199. </w:t>
      </w:r>
      <w:hyperlink r:id="rId34" w:history="1">
        <w:r w:rsidRPr="005446D2">
          <w:rPr>
            <w:rFonts w:ascii="Times New Roman" w:eastAsia="Times New Roman" w:hAnsi="Times New Roman" w:cs="Times New Roman"/>
            <w:color w:val="0000FF"/>
            <w:kern w:val="0"/>
            <w:u w:val="single"/>
            <w:lang w:eastAsia="de-DE"/>
            <w14:ligatures w14:val="none"/>
          </w:rPr>
          <w:t>https://doi.org/10.3354/meps10137</w:t>
        </w:r>
      </w:hyperlink>
    </w:p>
    <w:p w14:paraId="1F23AD86" w14:textId="77777777" w:rsidR="005446D2" w:rsidRPr="005446D2" w:rsidRDefault="005446D2" w:rsidP="005446D2">
      <w:pPr>
        <w:spacing w:before="100" w:beforeAutospacing="1" w:after="100" w:afterAutospacing="1" w:line="240" w:lineRule="auto"/>
        <w:rPr>
          <w:rFonts w:ascii="Times New Roman" w:eastAsia="Times New Roman" w:hAnsi="Times New Roman" w:cs="Times New Roman"/>
          <w:kern w:val="0"/>
          <w:lang w:eastAsia="de-DE"/>
          <w14:ligatures w14:val="none"/>
        </w:rPr>
      </w:pPr>
      <w:r w:rsidRPr="005446D2">
        <w:rPr>
          <w:rFonts w:ascii="Times New Roman" w:eastAsia="Times New Roman" w:hAnsi="Times New Roman" w:cs="Times New Roman"/>
          <w:kern w:val="0"/>
          <w:lang w:eastAsia="de-DE"/>
          <w14:ligatures w14:val="none"/>
        </w:rPr>
        <w:t>​</w:t>
      </w:r>
    </w:p>
    <w:p w14:paraId="5977A387" w14:textId="77777777" w:rsidR="008211BA" w:rsidRPr="006F4365" w:rsidRDefault="008211BA" w:rsidP="006F4365"/>
    <w:sectPr w:rsidR="008211BA" w:rsidRPr="006F436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204"/>
    <w:multiLevelType w:val="multilevel"/>
    <w:tmpl w:val="2052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35CE2"/>
    <w:multiLevelType w:val="multilevel"/>
    <w:tmpl w:val="3292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614C1"/>
    <w:multiLevelType w:val="multilevel"/>
    <w:tmpl w:val="A73A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45AAA"/>
    <w:multiLevelType w:val="multilevel"/>
    <w:tmpl w:val="E5FE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96AE5"/>
    <w:multiLevelType w:val="multilevel"/>
    <w:tmpl w:val="5756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3365F"/>
    <w:multiLevelType w:val="multilevel"/>
    <w:tmpl w:val="420E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B0D30"/>
    <w:multiLevelType w:val="multilevel"/>
    <w:tmpl w:val="4CBC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D68C4"/>
    <w:multiLevelType w:val="multilevel"/>
    <w:tmpl w:val="CEEC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531B3"/>
    <w:multiLevelType w:val="multilevel"/>
    <w:tmpl w:val="C156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E7B35"/>
    <w:multiLevelType w:val="multilevel"/>
    <w:tmpl w:val="C172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96272"/>
    <w:multiLevelType w:val="multilevel"/>
    <w:tmpl w:val="E73A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20CBB"/>
    <w:multiLevelType w:val="multilevel"/>
    <w:tmpl w:val="330E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411D7"/>
    <w:multiLevelType w:val="multilevel"/>
    <w:tmpl w:val="3066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F42BAC"/>
    <w:multiLevelType w:val="multilevel"/>
    <w:tmpl w:val="30DC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2937F5"/>
    <w:multiLevelType w:val="multilevel"/>
    <w:tmpl w:val="EF4E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F60E53"/>
    <w:multiLevelType w:val="multilevel"/>
    <w:tmpl w:val="88189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3379A2"/>
    <w:multiLevelType w:val="multilevel"/>
    <w:tmpl w:val="1FB2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9F35E2"/>
    <w:multiLevelType w:val="multilevel"/>
    <w:tmpl w:val="D4BC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E03FF3"/>
    <w:multiLevelType w:val="multilevel"/>
    <w:tmpl w:val="37EA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0C778C"/>
    <w:multiLevelType w:val="multilevel"/>
    <w:tmpl w:val="11EA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956B54"/>
    <w:multiLevelType w:val="multilevel"/>
    <w:tmpl w:val="8926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514CC3"/>
    <w:multiLevelType w:val="multilevel"/>
    <w:tmpl w:val="33D28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360B93"/>
    <w:multiLevelType w:val="multilevel"/>
    <w:tmpl w:val="6480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F83103"/>
    <w:multiLevelType w:val="multilevel"/>
    <w:tmpl w:val="1B22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AD3B9D"/>
    <w:multiLevelType w:val="multilevel"/>
    <w:tmpl w:val="4DCC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A156DF"/>
    <w:multiLevelType w:val="multilevel"/>
    <w:tmpl w:val="C97C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4B3527"/>
    <w:multiLevelType w:val="multilevel"/>
    <w:tmpl w:val="9898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A74C8A"/>
    <w:multiLevelType w:val="multilevel"/>
    <w:tmpl w:val="1686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C55263"/>
    <w:multiLevelType w:val="multilevel"/>
    <w:tmpl w:val="EFD6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A738AE"/>
    <w:multiLevelType w:val="multilevel"/>
    <w:tmpl w:val="4A54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2D554E"/>
    <w:multiLevelType w:val="multilevel"/>
    <w:tmpl w:val="C796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3F28E8"/>
    <w:multiLevelType w:val="multilevel"/>
    <w:tmpl w:val="EC3E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907858"/>
    <w:multiLevelType w:val="multilevel"/>
    <w:tmpl w:val="23CC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9709BE"/>
    <w:multiLevelType w:val="multilevel"/>
    <w:tmpl w:val="E94C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991AD5"/>
    <w:multiLevelType w:val="multilevel"/>
    <w:tmpl w:val="1862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CE2794"/>
    <w:multiLevelType w:val="multilevel"/>
    <w:tmpl w:val="1558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CA69E9"/>
    <w:multiLevelType w:val="multilevel"/>
    <w:tmpl w:val="A044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90466">
    <w:abstractNumId w:val="33"/>
  </w:num>
  <w:num w:numId="2" w16cid:durableId="1361273955">
    <w:abstractNumId w:val="11"/>
  </w:num>
  <w:num w:numId="3" w16cid:durableId="1580208841">
    <w:abstractNumId w:val="13"/>
  </w:num>
  <w:num w:numId="4" w16cid:durableId="51270519">
    <w:abstractNumId w:val="7"/>
  </w:num>
  <w:num w:numId="5" w16cid:durableId="516038628">
    <w:abstractNumId w:val="16"/>
  </w:num>
  <w:num w:numId="6" w16cid:durableId="153305064">
    <w:abstractNumId w:val="3"/>
  </w:num>
  <w:num w:numId="7" w16cid:durableId="446899384">
    <w:abstractNumId w:val="24"/>
  </w:num>
  <w:num w:numId="8" w16cid:durableId="121195045">
    <w:abstractNumId w:val="25"/>
  </w:num>
  <w:num w:numId="9" w16cid:durableId="708187374">
    <w:abstractNumId w:val="31"/>
  </w:num>
  <w:num w:numId="10" w16cid:durableId="1899516610">
    <w:abstractNumId w:val="32"/>
  </w:num>
  <w:num w:numId="11" w16cid:durableId="1559437369">
    <w:abstractNumId w:val="18"/>
  </w:num>
  <w:num w:numId="12" w16cid:durableId="1853911370">
    <w:abstractNumId w:val="14"/>
  </w:num>
  <w:num w:numId="13" w16cid:durableId="1670937627">
    <w:abstractNumId w:val="5"/>
  </w:num>
  <w:num w:numId="14" w16cid:durableId="665134244">
    <w:abstractNumId w:val="26"/>
  </w:num>
  <w:num w:numId="15" w16cid:durableId="1864174755">
    <w:abstractNumId w:val="20"/>
  </w:num>
  <w:num w:numId="16" w16cid:durableId="1115825633">
    <w:abstractNumId w:val="29"/>
  </w:num>
  <w:num w:numId="17" w16cid:durableId="1213224393">
    <w:abstractNumId w:val="34"/>
  </w:num>
  <w:num w:numId="18" w16cid:durableId="50470433">
    <w:abstractNumId w:val="0"/>
  </w:num>
  <w:num w:numId="19" w16cid:durableId="1191649067">
    <w:abstractNumId w:val="2"/>
  </w:num>
  <w:num w:numId="20" w16cid:durableId="1757283029">
    <w:abstractNumId w:val="27"/>
  </w:num>
  <w:num w:numId="21" w16cid:durableId="104807965">
    <w:abstractNumId w:val="10"/>
  </w:num>
  <w:num w:numId="22" w16cid:durableId="724647379">
    <w:abstractNumId w:val="12"/>
  </w:num>
  <w:num w:numId="23" w16cid:durableId="674959242">
    <w:abstractNumId w:val="1"/>
  </w:num>
  <w:num w:numId="24" w16cid:durableId="2107454286">
    <w:abstractNumId w:val="23"/>
  </w:num>
  <w:num w:numId="25" w16cid:durableId="117771385">
    <w:abstractNumId w:val="4"/>
  </w:num>
  <w:num w:numId="26" w16cid:durableId="28847787">
    <w:abstractNumId w:val="8"/>
  </w:num>
  <w:num w:numId="27" w16cid:durableId="1685088234">
    <w:abstractNumId w:val="30"/>
  </w:num>
  <w:num w:numId="28" w16cid:durableId="1058167874">
    <w:abstractNumId w:val="36"/>
  </w:num>
  <w:num w:numId="29" w16cid:durableId="2031565601">
    <w:abstractNumId w:val="19"/>
  </w:num>
  <w:num w:numId="30" w16cid:durableId="2045326502">
    <w:abstractNumId w:val="22"/>
  </w:num>
  <w:num w:numId="31" w16cid:durableId="778258608">
    <w:abstractNumId w:val="17"/>
  </w:num>
  <w:num w:numId="32" w16cid:durableId="1838761654">
    <w:abstractNumId w:val="28"/>
  </w:num>
  <w:num w:numId="33" w16cid:durableId="1341348233">
    <w:abstractNumId w:val="21"/>
  </w:num>
  <w:num w:numId="34" w16cid:durableId="460851648">
    <w:abstractNumId w:val="9"/>
  </w:num>
  <w:num w:numId="35" w16cid:durableId="115104911">
    <w:abstractNumId w:val="35"/>
  </w:num>
  <w:num w:numId="36" w16cid:durableId="705566878">
    <w:abstractNumId w:val="15"/>
  </w:num>
  <w:num w:numId="37" w16cid:durableId="2260340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850"/>
    <w:rsid w:val="00031C88"/>
    <w:rsid w:val="00084850"/>
    <w:rsid w:val="000B45A1"/>
    <w:rsid w:val="000E1DA5"/>
    <w:rsid w:val="00162896"/>
    <w:rsid w:val="001A36CD"/>
    <w:rsid w:val="001A7CB8"/>
    <w:rsid w:val="002D1393"/>
    <w:rsid w:val="002F6620"/>
    <w:rsid w:val="00346272"/>
    <w:rsid w:val="00385248"/>
    <w:rsid w:val="003F3D92"/>
    <w:rsid w:val="004F3C80"/>
    <w:rsid w:val="005042C6"/>
    <w:rsid w:val="005446D2"/>
    <w:rsid w:val="005557D9"/>
    <w:rsid w:val="00597997"/>
    <w:rsid w:val="00677E6E"/>
    <w:rsid w:val="006C211E"/>
    <w:rsid w:val="006F4365"/>
    <w:rsid w:val="008211BA"/>
    <w:rsid w:val="008A7385"/>
    <w:rsid w:val="008F1A84"/>
    <w:rsid w:val="0090043B"/>
    <w:rsid w:val="009712D4"/>
    <w:rsid w:val="009E63D3"/>
    <w:rsid w:val="00AA66EC"/>
    <w:rsid w:val="00B65C5B"/>
    <w:rsid w:val="00C73F04"/>
    <w:rsid w:val="00C85A62"/>
    <w:rsid w:val="00C97AED"/>
    <w:rsid w:val="00D3731A"/>
    <w:rsid w:val="00D97C0E"/>
    <w:rsid w:val="00DC1271"/>
    <w:rsid w:val="00E05FC7"/>
    <w:rsid w:val="00E4735E"/>
    <w:rsid w:val="00E7247A"/>
    <w:rsid w:val="00EA2385"/>
    <w:rsid w:val="00EF6C58"/>
    <w:rsid w:val="00F20971"/>
    <w:rsid w:val="00F341A7"/>
    <w:rsid w:val="00FE3F0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2FA0E"/>
  <w15:chartTrackingRefBased/>
  <w15:docId w15:val="{1932DA61-CCB3-46AE-B4DA-F395AE264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84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084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08485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8485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8485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8485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8485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8485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8485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8485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08485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08485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8485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8485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8485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8485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8485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84850"/>
    <w:rPr>
      <w:rFonts w:eastAsiaTheme="majorEastAsia" w:cstheme="majorBidi"/>
      <w:color w:val="272727" w:themeColor="text1" w:themeTint="D8"/>
    </w:rPr>
  </w:style>
  <w:style w:type="paragraph" w:styleId="Titel">
    <w:name w:val="Title"/>
    <w:basedOn w:val="Standard"/>
    <w:next w:val="Standard"/>
    <w:link w:val="TitelZchn"/>
    <w:uiPriority w:val="10"/>
    <w:qFormat/>
    <w:rsid w:val="00084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8485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8485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8485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8485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84850"/>
    <w:rPr>
      <w:i/>
      <w:iCs/>
      <w:color w:val="404040" w:themeColor="text1" w:themeTint="BF"/>
    </w:rPr>
  </w:style>
  <w:style w:type="paragraph" w:styleId="Listenabsatz">
    <w:name w:val="List Paragraph"/>
    <w:basedOn w:val="Standard"/>
    <w:uiPriority w:val="34"/>
    <w:qFormat/>
    <w:rsid w:val="00084850"/>
    <w:pPr>
      <w:ind w:left="720"/>
      <w:contextualSpacing/>
    </w:pPr>
  </w:style>
  <w:style w:type="character" w:styleId="IntensiveHervorhebung">
    <w:name w:val="Intense Emphasis"/>
    <w:basedOn w:val="Absatz-Standardschriftart"/>
    <w:uiPriority w:val="21"/>
    <w:qFormat/>
    <w:rsid w:val="00084850"/>
    <w:rPr>
      <w:i/>
      <w:iCs/>
      <w:color w:val="0F4761" w:themeColor="accent1" w:themeShade="BF"/>
    </w:rPr>
  </w:style>
  <w:style w:type="paragraph" w:styleId="IntensivesZitat">
    <w:name w:val="Intense Quote"/>
    <w:basedOn w:val="Standard"/>
    <w:next w:val="Standard"/>
    <w:link w:val="IntensivesZitatZchn"/>
    <w:uiPriority w:val="30"/>
    <w:qFormat/>
    <w:rsid w:val="00084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84850"/>
    <w:rPr>
      <w:i/>
      <w:iCs/>
      <w:color w:val="0F4761" w:themeColor="accent1" w:themeShade="BF"/>
    </w:rPr>
  </w:style>
  <w:style w:type="character" w:styleId="IntensiverVerweis">
    <w:name w:val="Intense Reference"/>
    <w:basedOn w:val="Absatz-Standardschriftart"/>
    <w:uiPriority w:val="32"/>
    <w:qFormat/>
    <w:rsid w:val="00084850"/>
    <w:rPr>
      <w:b/>
      <w:bCs/>
      <w:smallCaps/>
      <w:color w:val="0F4761" w:themeColor="accent1" w:themeShade="BF"/>
      <w:spacing w:val="5"/>
    </w:rPr>
  </w:style>
  <w:style w:type="paragraph" w:customStyle="1" w:styleId="msonormal0">
    <w:name w:val="msonormal"/>
    <w:basedOn w:val="Standard"/>
    <w:rsid w:val="00EF6C58"/>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styleId="StandardWeb">
    <w:name w:val="Normal (Web)"/>
    <w:basedOn w:val="Standard"/>
    <w:uiPriority w:val="99"/>
    <w:semiHidden/>
    <w:unhideWhenUsed/>
    <w:rsid w:val="00EF6C58"/>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EF6C58"/>
    <w:rPr>
      <w:b/>
      <w:bCs/>
    </w:rPr>
  </w:style>
  <w:style w:type="character" w:styleId="Hervorhebung">
    <w:name w:val="Emphasis"/>
    <w:basedOn w:val="Absatz-Standardschriftart"/>
    <w:uiPriority w:val="20"/>
    <w:qFormat/>
    <w:rsid w:val="00EF6C58"/>
    <w:rPr>
      <w:i/>
      <w:iCs/>
    </w:rPr>
  </w:style>
  <w:style w:type="character" w:styleId="Hyperlink">
    <w:name w:val="Hyperlink"/>
    <w:basedOn w:val="Absatz-Standardschriftart"/>
    <w:uiPriority w:val="99"/>
    <w:unhideWhenUsed/>
    <w:rsid w:val="00031C88"/>
    <w:rPr>
      <w:color w:val="0000FF"/>
      <w:u w:val="single"/>
    </w:rPr>
  </w:style>
  <w:style w:type="character" w:styleId="BesuchterLink">
    <w:name w:val="FollowedHyperlink"/>
    <w:basedOn w:val="Absatz-Standardschriftart"/>
    <w:uiPriority w:val="99"/>
    <w:semiHidden/>
    <w:unhideWhenUsed/>
    <w:rsid w:val="00031C88"/>
    <w:rPr>
      <w:color w:val="800080"/>
      <w:u w:val="single"/>
    </w:rPr>
  </w:style>
  <w:style w:type="character" w:styleId="NichtaufgelsteErwhnung">
    <w:name w:val="Unresolved Mention"/>
    <w:basedOn w:val="Absatz-Standardschriftart"/>
    <w:uiPriority w:val="99"/>
    <w:semiHidden/>
    <w:unhideWhenUsed/>
    <w:rsid w:val="00031C88"/>
    <w:rPr>
      <w:color w:val="605E5C"/>
      <w:shd w:val="clear" w:color="auto" w:fill="E1DFDD"/>
    </w:rPr>
  </w:style>
  <w:style w:type="numbering" w:customStyle="1" w:styleId="KeineListe1">
    <w:name w:val="Keine Liste1"/>
    <w:next w:val="KeineListe"/>
    <w:uiPriority w:val="99"/>
    <w:semiHidden/>
    <w:unhideWhenUsed/>
    <w:rsid w:val="005557D9"/>
  </w:style>
  <w:style w:type="numbering" w:customStyle="1" w:styleId="KeineListe2">
    <w:name w:val="Keine Liste2"/>
    <w:next w:val="KeineListe"/>
    <w:uiPriority w:val="99"/>
    <w:semiHidden/>
    <w:unhideWhenUsed/>
    <w:rsid w:val="009712D4"/>
  </w:style>
  <w:style w:type="numbering" w:customStyle="1" w:styleId="KeineListe3">
    <w:name w:val="Keine Liste3"/>
    <w:next w:val="KeineListe"/>
    <w:uiPriority w:val="99"/>
    <w:semiHidden/>
    <w:unhideWhenUsed/>
    <w:rsid w:val="000B45A1"/>
  </w:style>
  <w:style w:type="numbering" w:customStyle="1" w:styleId="KeineListe4">
    <w:name w:val="Keine Liste4"/>
    <w:next w:val="KeineListe"/>
    <w:uiPriority w:val="99"/>
    <w:semiHidden/>
    <w:unhideWhenUsed/>
    <w:rsid w:val="00B65C5B"/>
  </w:style>
  <w:style w:type="character" w:styleId="HTMLCode">
    <w:name w:val="HTML Code"/>
    <w:basedOn w:val="Absatz-Standardschriftart"/>
    <w:uiPriority w:val="99"/>
    <w:semiHidden/>
    <w:unhideWhenUsed/>
    <w:rsid w:val="00B65C5B"/>
    <w:rPr>
      <w:rFonts w:ascii="Courier New" w:eastAsia="Times New Roman" w:hAnsi="Courier New" w:cs="Courier New"/>
      <w:sz w:val="20"/>
      <w:szCs w:val="20"/>
    </w:rPr>
  </w:style>
  <w:style w:type="numbering" w:customStyle="1" w:styleId="KeineListe5">
    <w:name w:val="Keine Liste5"/>
    <w:next w:val="KeineListe"/>
    <w:uiPriority w:val="99"/>
    <w:semiHidden/>
    <w:unhideWhenUsed/>
    <w:rsid w:val="005446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jfb.12935" TargetMode="External"/><Relationship Id="rId18" Type="http://schemas.openxmlformats.org/officeDocument/2006/relationships/hyperlink" Target="https://doi.org/10.3389/fmars.2017.00083" TargetMode="External"/><Relationship Id="rId26" Type="http://schemas.openxmlformats.org/officeDocument/2006/relationships/hyperlink" Target="https://doi.org/10.1016/j.marenvres.2020.105198" TargetMode="External"/><Relationship Id="rId3" Type="http://schemas.openxmlformats.org/officeDocument/2006/relationships/settings" Target="settings.xml"/><Relationship Id="rId21" Type="http://schemas.openxmlformats.org/officeDocument/2006/relationships/hyperlink" Target="https://doi.org/10.1111/2041-210X.12262" TargetMode="External"/><Relationship Id="rId34" Type="http://schemas.openxmlformats.org/officeDocument/2006/relationships/hyperlink" Target="https://doi.org/10.3354/meps10137" TargetMode="External"/><Relationship Id="rId7" Type="http://schemas.openxmlformats.org/officeDocument/2006/relationships/hyperlink" Target="https://doi.org/10.1016/j.jenvman.2021.112375" TargetMode="External"/><Relationship Id="rId12" Type="http://schemas.openxmlformats.org/officeDocument/2006/relationships/hyperlink" Target="https://www.fishbase.org" TargetMode="External"/><Relationship Id="rId17" Type="http://schemas.openxmlformats.org/officeDocument/2006/relationships/hyperlink" Target="https://doi.org/10.3390/oceans2010013" TargetMode="External"/><Relationship Id="rId25" Type="http://schemas.openxmlformats.org/officeDocument/2006/relationships/hyperlink" Target="https://doi.org/10.3354/meps10262" TargetMode="External"/><Relationship Id="rId33" Type="http://schemas.openxmlformats.org/officeDocument/2006/relationships/hyperlink" Target="https://doi.org/10.3354/meps13292" TargetMode="External"/><Relationship Id="rId2" Type="http://schemas.openxmlformats.org/officeDocument/2006/relationships/styles" Target="styles.xml"/><Relationship Id="rId16" Type="http://schemas.openxmlformats.org/officeDocument/2006/relationships/hyperlink" Target="https://doi.org/10.1016/j.ecss.2022.108017" TargetMode="External"/><Relationship Id="rId20" Type="http://schemas.openxmlformats.org/officeDocument/2006/relationships/hyperlink" Target="https://doi.org/10.1111/2041-210X.13470" TargetMode="External"/><Relationship Id="rId29" Type="http://schemas.openxmlformats.org/officeDocument/2006/relationships/hyperlink" Target="https://doi.org/10.1111/j.0022-1112.2004.00593.x" TargetMode="External"/><Relationship Id="rId1" Type="http://schemas.openxmlformats.org/officeDocument/2006/relationships/numbering" Target="numbering.xml"/><Relationship Id="rId6" Type="http://schemas.openxmlformats.org/officeDocument/2006/relationships/hyperlink" Target="https://doi.org/10.1371/journal.pone.0008963" TargetMode="External"/><Relationship Id="rId11" Type="http://schemas.openxmlformats.org/officeDocument/2006/relationships/hyperlink" Target="https://doi.org/10.1111/jfb.14639" TargetMode="External"/><Relationship Id="rId24" Type="http://schemas.openxmlformats.org/officeDocument/2006/relationships/hyperlink" Target="https://doi.org/10.3354/meps13153" TargetMode="External"/><Relationship Id="rId32" Type="http://schemas.openxmlformats.org/officeDocument/2006/relationships/hyperlink" Target="https://doi.org/10.1007/s11160-016-9450-1" TargetMode="External"/><Relationship Id="rId5" Type="http://schemas.openxmlformats.org/officeDocument/2006/relationships/hyperlink" Target="https://doi.org/10.1071/MF21261" TargetMode="External"/><Relationship Id="rId15" Type="http://schemas.openxmlformats.org/officeDocument/2006/relationships/hyperlink" Target="https://doi.org/10.1111/j.1461-0248.2010.01581.x" TargetMode="External"/><Relationship Id="rId23" Type="http://schemas.openxmlformats.org/officeDocument/2006/relationships/hyperlink" Target="https://doi.org/10.1017/S0376892908005250" TargetMode="External"/><Relationship Id="rId28" Type="http://schemas.openxmlformats.org/officeDocument/2006/relationships/hyperlink" Target="https://doi.org/10.1016/j.aquaculture.2024.741826" TargetMode="External"/><Relationship Id="rId36" Type="http://schemas.openxmlformats.org/officeDocument/2006/relationships/theme" Target="theme/theme1.xml"/><Relationship Id="rId10" Type="http://schemas.openxmlformats.org/officeDocument/2006/relationships/hyperlink" Target="https://doi.org/10.1111/maec.12185" TargetMode="External"/><Relationship Id="rId19" Type="http://schemas.openxmlformats.org/officeDocument/2006/relationships/hyperlink" Target="https://doi.org/10.3354/ab00235" TargetMode="External"/><Relationship Id="rId31" Type="http://schemas.openxmlformats.org/officeDocument/2006/relationships/hyperlink" Target="https://doi.org/10.1371/journal.pone.0045543" TargetMode="External"/><Relationship Id="rId4" Type="http://schemas.openxmlformats.org/officeDocument/2006/relationships/webSettings" Target="webSettings.xml"/><Relationship Id="rId9" Type="http://schemas.openxmlformats.org/officeDocument/2006/relationships/hyperlink" Target="https://doi.org/10.1371/journal.pone.0041538" TargetMode="External"/><Relationship Id="rId14" Type="http://schemas.openxmlformats.org/officeDocument/2006/relationships/hyperlink" Target="https://doi.org/10.1016/j.aaf.2019.12.005" TargetMode="External"/><Relationship Id="rId22" Type="http://schemas.openxmlformats.org/officeDocument/2006/relationships/hyperlink" Target="https://doi.org/10.3354/meps12326" TargetMode="External"/><Relationship Id="rId27" Type="http://schemas.openxmlformats.org/officeDocument/2006/relationships/hyperlink" Target="https://doi.org/10.1016/j.jembe.2018.03.002" TargetMode="External"/><Relationship Id="rId30" Type="http://schemas.openxmlformats.org/officeDocument/2006/relationships/hyperlink" Target="https://doi.org/10.1016/j.fishres.2012.12.013" TargetMode="External"/><Relationship Id="rId35" Type="http://schemas.openxmlformats.org/officeDocument/2006/relationships/fontTable" Target="fontTable.xml"/><Relationship Id="rId8" Type="http://schemas.openxmlformats.org/officeDocument/2006/relationships/hyperlink" Target="https://doi.org/10.1016/j.marenvres.2024.106766"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12474</Words>
  <Characters>78587</Characters>
  <Application>Microsoft Office Word</Application>
  <DocSecurity>0</DocSecurity>
  <Lines>654</Lines>
  <Paragraphs>181</Paragraphs>
  <ScaleCrop>false</ScaleCrop>
  <Company/>
  <LinksUpToDate>false</LinksUpToDate>
  <CharactersWithSpaces>90880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Romes</dc:creator>
  <cp:keywords/>
  <dc:description/>
  <cp:lastModifiedBy>Max Romes</cp:lastModifiedBy>
  <cp:revision>28</cp:revision>
  <dcterms:created xsi:type="dcterms:W3CDTF">2026-07-03T17:03:00Z</dcterms:created>
  <dcterms:modified xsi:type="dcterms:W3CDTF">2026-08-16T19:10:00Z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c1afc6cb-93a2-4135-8e1f-7bef5194e131</vt:lpwstr>
  </property>
</Properties>
</file>