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089FD" w14:textId="77777777" w:rsidR="002C42C8" w:rsidRPr="002C42C8" w:rsidRDefault="002C42C8" w:rsidP="00C664EC">
      <w:pPr>
        <w:spacing w:after="0"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Lawrence Brody</w:t>
      </w:r>
    </w:p>
    <w:p w14:paraId="663F093C" w14:textId="77777777" w:rsidR="002C42C8" w:rsidRPr="002C42C8" w:rsidRDefault="002C42C8" w:rsidP="00C664EC">
      <w:pPr>
        <w:spacing w:after="0"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Bryan Cave LLP</w:t>
      </w:r>
    </w:p>
    <w:p w14:paraId="54A36C35" w14:textId="67292219" w:rsidR="00291730" w:rsidRPr="002C42C8" w:rsidRDefault="002C42C8" w:rsidP="00C664EC">
      <w:pPr>
        <w:spacing w:after="0"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St. Louis</w:t>
      </w:r>
      <w:r w:rsidR="0023358C" w:rsidRPr="002C42C8">
        <w:rPr>
          <w:rFonts w:ascii="Times New Roman" w:hAnsi="Times New Roman" w:cs="Times New Roman"/>
          <w:color w:val="000000" w:themeColor="text1"/>
          <w:sz w:val="20"/>
          <w:szCs w:val="20"/>
        </w:rPr>
        <w:t xml:space="preserve">, </w:t>
      </w:r>
      <w:r w:rsidRPr="002C42C8">
        <w:rPr>
          <w:rFonts w:ascii="Times New Roman" w:hAnsi="Times New Roman" w:cs="Times New Roman"/>
          <w:color w:val="000000" w:themeColor="text1"/>
          <w:sz w:val="20"/>
          <w:szCs w:val="20"/>
        </w:rPr>
        <w:t>Missouri</w:t>
      </w:r>
    </w:p>
    <w:p w14:paraId="1C7B22E5" w14:textId="77777777" w:rsidR="00291730" w:rsidRPr="002C42C8" w:rsidRDefault="00291730" w:rsidP="00291730">
      <w:pPr>
        <w:spacing w:line="240" w:lineRule="auto"/>
        <w:jc w:val="center"/>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________________________________</w:t>
      </w:r>
    </w:p>
    <w:p w14:paraId="3AF66569" w14:textId="77777777" w:rsidR="00291730" w:rsidRPr="002C42C8" w:rsidRDefault="00291730" w:rsidP="00291730">
      <w:pPr>
        <w:jc w:val="both"/>
        <w:rPr>
          <w:rFonts w:ascii="Times New Roman" w:hAnsi="Times New Roman" w:cs="Times New Roman"/>
          <w:b/>
          <w:color w:val="000000" w:themeColor="text1"/>
          <w:sz w:val="20"/>
          <w:szCs w:val="20"/>
          <w:u w:val="single"/>
        </w:rPr>
      </w:pPr>
    </w:p>
    <w:p w14:paraId="13F73CD0" w14:textId="7739A2D9" w:rsid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Lawrence Brody is a Partner of Bryan Cave LLP, an international law firm, resident</w:t>
      </w:r>
      <w:r w:rsidR="0047700C">
        <w:rPr>
          <w:rFonts w:ascii="Times New Roman" w:hAnsi="Times New Roman" w:cs="Times New Roman"/>
          <w:color w:val="000000" w:themeColor="text1"/>
          <w:sz w:val="20"/>
          <w:szCs w:val="20"/>
        </w:rPr>
        <w:t xml:space="preserve"> in the St. Louis office. </w:t>
      </w:r>
      <w:r w:rsidRPr="002C42C8">
        <w:rPr>
          <w:rFonts w:ascii="Times New Roman" w:hAnsi="Times New Roman" w:cs="Times New Roman"/>
          <w:color w:val="000000" w:themeColor="text1"/>
          <w:sz w:val="20"/>
          <w:szCs w:val="20"/>
        </w:rPr>
        <w:t xml:space="preserve">He is a member of its Private Client Service Group and its Technology, Entrepreneurial &amp; Commercial Practice Client Service Group. He has been an Adjunct Professor at Washington University School of Law since 1968, teaching Estate Planning and Drafting, a visiting Adjunct Professor at the University of Miami Law School, teaching a course on Life Insurance, and is the author or co-author of numerous articles and books on the use of life insurance in estate and employee benefit planning, including two BNA Tax Management Portfolios, two books for the National Underwriter Company, a number of volumes in the ABA Insurance Counselor Series and co-authors of the AALU series of Newswires on insurance and estate planning developments. </w:t>
      </w:r>
    </w:p>
    <w:p w14:paraId="7DC582C6" w14:textId="77777777" w:rsidR="00721DE2" w:rsidRPr="002C42C8" w:rsidRDefault="00721DE2" w:rsidP="002C42C8">
      <w:pPr>
        <w:spacing w:line="360" w:lineRule="auto"/>
        <w:jc w:val="both"/>
        <w:rPr>
          <w:rFonts w:ascii="Times New Roman" w:hAnsi="Times New Roman" w:cs="Times New Roman"/>
          <w:color w:val="000000" w:themeColor="text1"/>
          <w:sz w:val="20"/>
          <w:szCs w:val="20"/>
        </w:rPr>
      </w:pPr>
    </w:p>
    <w:p w14:paraId="0EE4BB14" w14:textId="77777777" w:rsid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 xml:space="preserve">Mr. Brody is a member of both The American College of Trust and Estate Counsel (ACTEC) and The American College of Tax Counsel, is a frequent participant at ALI-ABA (now ALI-CLE) estate planning programs and Society of Financial Professionals programs and teleconferences, and has spoken at all major life insurance industry programs (including the MDRT, LIMRA, the Top of the Table, AALU and the International Forum), many local estate planning council meetings, a number of state bar association conferences, and many national estate planning programs, including the </w:t>
      </w:r>
      <w:proofErr w:type="spellStart"/>
      <w:r w:rsidRPr="002C42C8">
        <w:rPr>
          <w:rFonts w:ascii="Times New Roman" w:hAnsi="Times New Roman" w:cs="Times New Roman"/>
          <w:color w:val="000000" w:themeColor="text1"/>
          <w:sz w:val="20"/>
          <w:szCs w:val="20"/>
        </w:rPr>
        <w:t>Heckerling</w:t>
      </w:r>
      <w:proofErr w:type="spellEnd"/>
      <w:r w:rsidRPr="002C42C8">
        <w:rPr>
          <w:rFonts w:ascii="Times New Roman" w:hAnsi="Times New Roman" w:cs="Times New Roman"/>
          <w:color w:val="000000" w:themeColor="text1"/>
          <w:sz w:val="20"/>
          <w:szCs w:val="20"/>
        </w:rPr>
        <w:t xml:space="preserve"> Institute, the Notre Dame Estate Planning Conference, the ALI-CLE STEP program, the Southern Federal Tax Institute, the NYU Tax Institute, the NAEPC Annual Meeting, and regional ACTEC meetings as well as at several ACTEC Annual Meetings.  </w:t>
      </w:r>
    </w:p>
    <w:p w14:paraId="1D36E78F" w14:textId="77777777" w:rsidR="00721DE2" w:rsidRPr="002C42C8" w:rsidRDefault="00721DE2" w:rsidP="002C42C8">
      <w:pPr>
        <w:spacing w:line="360" w:lineRule="auto"/>
        <w:jc w:val="both"/>
        <w:rPr>
          <w:rFonts w:ascii="Times New Roman" w:hAnsi="Times New Roman" w:cs="Times New Roman"/>
          <w:color w:val="000000" w:themeColor="text1"/>
          <w:sz w:val="20"/>
          <w:szCs w:val="20"/>
        </w:rPr>
      </w:pPr>
      <w:bookmarkStart w:id="0" w:name="_GoBack"/>
      <w:bookmarkEnd w:id="0"/>
    </w:p>
    <w:p w14:paraId="77E994A0" w14:textId="4CE2AA51" w:rsidR="002C42C8" w:rsidRPr="002C42C8" w:rsidRDefault="002C42C8" w:rsidP="002C42C8">
      <w:pPr>
        <w:spacing w:line="360" w:lineRule="auto"/>
        <w:jc w:val="both"/>
        <w:rPr>
          <w:rFonts w:ascii="Times New Roman" w:hAnsi="Times New Roman" w:cs="Times New Roman"/>
          <w:color w:val="000000" w:themeColor="text1"/>
          <w:sz w:val="20"/>
          <w:szCs w:val="20"/>
        </w:rPr>
      </w:pPr>
      <w:r w:rsidRPr="002C42C8">
        <w:rPr>
          <w:rFonts w:ascii="Times New Roman" w:hAnsi="Times New Roman" w:cs="Times New Roman"/>
          <w:color w:val="000000" w:themeColor="text1"/>
          <w:sz w:val="20"/>
          <w:szCs w:val="20"/>
        </w:rPr>
        <w:t>He is a member of</w:t>
      </w:r>
      <w:r w:rsidR="0093233A">
        <w:rPr>
          <w:rFonts w:ascii="Times New Roman" w:hAnsi="Times New Roman" w:cs="Times New Roman"/>
          <w:color w:val="000000" w:themeColor="text1"/>
          <w:sz w:val="20"/>
          <w:szCs w:val="20"/>
        </w:rPr>
        <w:t xml:space="preserve"> the Advisory Committee for the </w:t>
      </w:r>
      <w:proofErr w:type="spellStart"/>
      <w:r w:rsidR="0093233A">
        <w:rPr>
          <w:rFonts w:ascii="Times New Roman" w:hAnsi="Times New Roman" w:cs="Times New Roman"/>
          <w:color w:val="000000" w:themeColor="text1"/>
          <w:sz w:val="20"/>
          <w:szCs w:val="20"/>
        </w:rPr>
        <w:t>H</w:t>
      </w:r>
      <w:r w:rsidRPr="002C42C8">
        <w:rPr>
          <w:rFonts w:ascii="Times New Roman" w:hAnsi="Times New Roman" w:cs="Times New Roman"/>
          <w:color w:val="000000" w:themeColor="text1"/>
          <w:sz w:val="20"/>
          <w:szCs w:val="20"/>
        </w:rPr>
        <w:t>eckerling</w:t>
      </w:r>
      <w:proofErr w:type="spellEnd"/>
      <w:r w:rsidRPr="002C42C8">
        <w:rPr>
          <w:rFonts w:ascii="Times New Roman" w:hAnsi="Times New Roman" w:cs="Times New Roman"/>
          <w:color w:val="000000" w:themeColor="text1"/>
          <w:sz w:val="20"/>
          <w:szCs w:val="20"/>
        </w:rPr>
        <w:t xml:space="preserve"> Institute on Estate Planning, </w:t>
      </w:r>
      <w:r w:rsidR="0047700C">
        <w:rPr>
          <w:rFonts w:ascii="Times New Roman" w:hAnsi="Times New Roman" w:cs="Times New Roman"/>
          <w:color w:val="000000" w:themeColor="text1"/>
          <w:sz w:val="20"/>
          <w:szCs w:val="20"/>
        </w:rPr>
        <w:t>at</w:t>
      </w:r>
      <w:r w:rsidRPr="002C42C8">
        <w:rPr>
          <w:rFonts w:ascii="Times New Roman" w:hAnsi="Times New Roman" w:cs="Times New Roman"/>
          <w:color w:val="000000" w:themeColor="text1"/>
          <w:sz w:val="20"/>
          <w:szCs w:val="20"/>
        </w:rPr>
        <w:t xml:space="preserve"> the University of Miami School of Law, and a member of the Editorial Boards of BNA’s </w:t>
      </w:r>
      <w:r w:rsidRPr="002C42C8">
        <w:rPr>
          <w:rFonts w:ascii="Times New Roman" w:hAnsi="Times New Roman" w:cs="Times New Roman"/>
          <w:i/>
          <w:color w:val="000000" w:themeColor="text1"/>
          <w:sz w:val="20"/>
          <w:szCs w:val="20"/>
        </w:rPr>
        <w:t>Estates, Gifts, and Trusts Journal</w:t>
      </w:r>
      <w:r w:rsidRPr="002C42C8">
        <w:rPr>
          <w:rFonts w:ascii="Times New Roman" w:hAnsi="Times New Roman" w:cs="Times New Roman"/>
          <w:color w:val="000000" w:themeColor="text1"/>
          <w:sz w:val="20"/>
          <w:szCs w:val="20"/>
        </w:rPr>
        <w:t xml:space="preserve">, and the Society of Financial Service Professionals </w:t>
      </w:r>
      <w:r w:rsidRPr="002C42C8">
        <w:rPr>
          <w:rFonts w:ascii="Times New Roman" w:hAnsi="Times New Roman" w:cs="Times New Roman"/>
          <w:i/>
          <w:color w:val="000000" w:themeColor="text1"/>
          <w:sz w:val="20"/>
          <w:szCs w:val="20"/>
        </w:rPr>
        <w:t>CLU Journal</w:t>
      </w:r>
      <w:r w:rsidR="0047700C">
        <w:rPr>
          <w:rFonts w:ascii="Times New Roman" w:hAnsi="Times New Roman" w:cs="Times New Roman"/>
          <w:color w:val="000000" w:themeColor="text1"/>
          <w:sz w:val="20"/>
          <w:szCs w:val="20"/>
        </w:rPr>
        <w:t xml:space="preserve">. </w:t>
      </w:r>
      <w:r w:rsidRPr="002C42C8">
        <w:rPr>
          <w:rFonts w:ascii="Times New Roman" w:hAnsi="Times New Roman" w:cs="Times New Roman"/>
          <w:color w:val="000000" w:themeColor="text1"/>
          <w:sz w:val="20"/>
          <w:szCs w:val="20"/>
        </w:rPr>
        <w:t xml:space="preserve">Mr. Brody received the designation of Accredited Estate Planner by the National Association of Estate Planners and Councils, and was one of ten individuals awarded its Distinguished Accredited Estate Planner designation </w:t>
      </w:r>
      <w:r w:rsidR="0047700C">
        <w:rPr>
          <w:rFonts w:ascii="Times New Roman" w:hAnsi="Times New Roman" w:cs="Times New Roman"/>
          <w:color w:val="000000" w:themeColor="text1"/>
          <w:sz w:val="20"/>
          <w:szCs w:val="20"/>
        </w:rPr>
        <w:t xml:space="preserve">in the initial class, in 2004. </w:t>
      </w:r>
      <w:r w:rsidRPr="002C42C8">
        <w:rPr>
          <w:rFonts w:ascii="Times New Roman" w:hAnsi="Times New Roman" w:cs="Times New Roman"/>
          <w:color w:val="000000" w:themeColor="text1"/>
          <w:sz w:val="20"/>
          <w:szCs w:val="20"/>
        </w:rPr>
        <w:t>Mr. Brody was named a Distinguished Law Alumni by Washington University School of Law in 2012.</w:t>
      </w:r>
    </w:p>
    <w:p w14:paraId="3BF75A2A" w14:textId="51A3CCDE" w:rsidR="0023358C" w:rsidRPr="002C42C8" w:rsidRDefault="0023358C" w:rsidP="002C42C8">
      <w:pPr>
        <w:spacing w:line="360" w:lineRule="auto"/>
        <w:jc w:val="both"/>
        <w:rPr>
          <w:rFonts w:ascii="Times New Roman" w:hAnsi="Times New Roman" w:cs="Times New Roman"/>
          <w:color w:val="000000" w:themeColor="text1"/>
          <w:sz w:val="20"/>
          <w:szCs w:val="20"/>
        </w:rPr>
      </w:pPr>
    </w:p>
    <w:sectPr w:rsidR="0023358C" w:rsidRPr="002C42C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C42C8"/>
    <w:rsid w:val="002E4D83"/>
    <w:rsid w:val="0047700C"/>
    <w:rsid w:val="004C45C1"/>
    <w:rsid w:val="00640A70"/>
    <w:rsid w:val="00721DE2"/>
    <w:rsid w:val="008418FE"/>
    <w:rsid w:val="0093233A"/>
    <w:rsid w:val="00971F86"/>
    <w:rsid w:val="009B0F38"/>
    <w:rsid w:val="009F22BF"/>
    <w:rsid w:val="00BD270D"/>
    <w:rsid w:val="00C664EC"/>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DD213-3C00-E143-8824-27898E70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4</cp:revision>
  <cp:lastPrinted>2016-11-29T20:32:00Z</cp:lastPrinted>
  <dcterms:created xsi:type="dcterms:W3CDTF">2017-07-26T13:39:00Z</dcterms:created>
  <dcterms:modified xsi:type="dcterms:W3CDTF">2017-12-19T03:31:00Z</dcterms:modified>
</cp:coreProperties>
</file>