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4759D" w14:textId="77777777" w:rsidR="00B06AA9" w:rsidRPr="007878A9" w:rsidRDefault="00B06AA9" w:rsidP="00DA7FEC">
      <w:pPr>
        <w:spacing w:after="0"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 xml:space="preserve">Erik Dryburgh </w:t>
      </w:r>
    </w:p>
    <w:p w14:paraId="6D2DD276" w14:textId="77777777" w:rsidR="00B06AA9" w:rsidRPr="007878A9" w:rsidRDefault="00B06AA9" w:rsidP="00DA7FEC">
      <w:pPr>
        <w:spacing w:after="0"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 xml:space="preserve">Adler &amp; Colvin </w:t>
      </w:r>
    </w:p>
    <w:p w14:paraId="54A36C35" w14:textId="3D55DBAC" w:rsidR="00291730" w:rsidRPr="007878A9" w:rsidRDefault="00B06AA9" w:rsidP="00DA7FEC">
      <w:pPr>
        <w:spacing w:after="0"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San Francisco</w:t>
      </w:r>
      <w:r w:rsidR="0023358C" w:rsidRPr="007878A9">
        <w:rPr>
          <w:rFonts w:ascii="Times New Roman" w:hAnsi="Times New Roman" w:cs="Times New Roman"/>
          <w:color w:val="000000" w:themeColor="text1"/>
          <w:sz w:val="20"/>
          <w:szCs w:val="20"/>
        </w:rPr>
        <w:t xml:space="preserve">, </w:t>
      </w:r>
      <w:r w:rsidRPr="007878A9">
        <w:rPr>
          <w:rFonts w:ascii="Times New Roman" w:hAnsi="Times New Roman" w:cs="Times New Roman"/>
          <w:color w:val="000000" w:themeColor="text1"/>
          <w:sz w:val="20"/>
          <w:szCs w:val="20"/>
        </w:rPr>
        <w:t>California</w:t>
      </w:r>
    </w:p>
    <w:p w14:paraId="1C7B22E5" w14:textId="77777777" w:rsidR="00291730" w:rsidRPr="007878A9" w:rsidRDefault="00291730" w:rsidP="00291730">
      <w:pPr>
        <w:spacing w:line="240" w:lineRule="auto"/>
        <w:jc w:val="center"/>
        <w:rPr>
          <w:rFonts w:ascii="Times New Roman" w:hAnsi="Times New Roman" w:cs="Times New Roman"/>
          <w:color w:val="000000" w:themeColor="text1"/>
          <w:sz w:val="20"/>
          <w:szCs w:val="20"/>
        </w:rPr>
      </w:pPr>
      <w:r w:rsidRPr="007878A9">
        <w:rPr>
          <w:rFonts w:ascii="Times New Roman" w:hAnsi="Times New Roman" w:cs="Times New Roman"/>
          <w:color w:val="000000" w:themeColor="text1"/>
          <w:sz w:val="20"/>
          <w:szCs w:val="20"/>
        </w:rPr>
        <w:t>________________________________</w:t>
      </w:r>
    </w:p>
    <w:p w14:paraId="3AF66569" w14:textId="77777777" w:rsidR="00291730" w:rsidRPr="007878A9" w:rsidRDefault="00291730" w:rsidP="00291730">
      <w:pPr>
        <w:jc w:val="both"/>
        <w:rPr>
          <w:rFonts w:ascii="Times New Roman" w:hAnsi="Times New Roman" w:cs="Times New Roman"/>
          <w:b/>
          <w:color w:val="000000" w:themeColor="text1"/>
          <w:sz w:val="20"/>
          <w:szCs w:val="20"/>
          <w:u w:val="single"/>
        </w:rPr>
      </w:pPr>
    </w:p>
    <w:p w14:paraId="1CD082FE" w14:textId="4A2DF7E8" w:rsidR="001E4923"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Erik Dryburgh is a principal in the law firm of Adler &amp; Colvin, a law firm specializing in representing nonprofit organizations and their donors. He has an undergraduate business degree from the University of Wisconsin at Madison, and earned his J.D. at the University of California at Berkeley, Boalt Hall. He is also a Certified Public Accountant (inactive).</w:t>
      </w:r>
    </w:p>
    <w:p w14:paraId="3D806177" w14:textId="77777777" w:rsidR="00786D57" w:rsidRPr="00DC10F4" w:rsidRDefault="00786D57" w:rsidP="00DC10F4">
      <w:pPr>
        <w:spacing w:line="360" w:lineRule="auto"/>
        <w:jc w:val="both"/>
        <w:rPr>
          <w:rFonts w:ascii="Times New Roman" w:hAnsi="Times New Roman" w:cs="Times New Roman"/>
          <w:color w:val="000000" w:themeColor="text1"/>
          <w:sz w:val="20"/>
          <w:szCs w:val="20"/>
        </w:rPr>
      </w:pPr>
    </w:p>
    <w:p w14:paraId="49DA0ED1" w14:textId="11DD96EB" w:rsidR="001E4923"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Erik’s areas of expertise include charitable gift planning, not-for-profit organizations, donor-advised funds, and endowments. Erik works with donors, charities, and other interested parties such as banks a</w:t>
      </w:r>
      <w:r w:rsidR="00B655E7">
        <w:rPr>
          <w:rFonts w:ascii="Times New Roman" w:hAnsi="Times New Roman" w:cs="Times New Roman"/>
          <w:color w:val="000000" w:themeColor="text1"/>
          <w:sz w:val="20"/>
          <w:szCs w:val="20"/>
        </w:rPr>
        <w:t xml:space="preserve">nd trust companies. </w:t>
      </w:r>
      <w:r w:rsidRPr="00DC10F4">
        <w:rPr>
          <w:rFonts w:ascii="Times New Roman" w:hAnsi="Times New Roman" w:cs="Times New Roman"/>
          <w:color w:val="000000" w:themeColor="text1"/>
          <w:sz w:val="20"/>
          <w:szCs w:val="20"/>
        </w:rPr>
        <w:t>Erik assists charities with establishing their planned giving programs, as well as offering advice regarding specific gift proposals, optimal gift structures, and gift administration. Erik works with donors to structure gifts which meet their charitable, financial, tax, and family goals, including private foundations, charitable remainder trus</w:t>
      </w:r>
      <w:r w:rsidR="00B655E7">
        <w:rPr>
          <w:rFonts w:ascii="Times New Roman" w:hAnsi="Times New Roman" w:cs="Times New Roman"/>
          <w:color w:val="000000" w:themeColor="text1"/>
          <w:sz w:val="20"/>
          <w:szCs w:val="20"/>
        </w:rPr>
        <w:t xml:space="preserve">ts, and charitable lead trusts. </w:t>
      </w:r>
      <w:r w:rsidRPr="00DC10F4">
        <w:rPr>
          <w:rFonts w:ascii="Times New Roman" w:hAnsi="Times New Roman" w:cs="Times New Roman"/>
          <w:color w:val="000000" w:themeColor="text1"/>
          <w:sz w:val="20"/>
          <w:szCs w:val="20"/>
        </w:rPr>
        <w:t xml:space="preserve">He has extensive experience with the intricate tax issues raised by creative donors and charities. Erik also advises a number of substantial private foundations, supporting organizations, and donor-advised funds on grantmaking and other operational issues. </w:t>
      </w:r>
    </w:p>
    <w:p w14:paraId="0127F703" w14:textId="77777777" w:rsidR="00786D57" w:rsidRPr="00DC10F4" w:rsidRDefault="00786D57" w:rsidP="00DC10F4">
      <w:pPr>
        <w:spacing w:line="360" w:lineRule="auto"/>
        <w:jc w:val="both"/>
        <w:rPr>
          <w:rFonts w:ascii="Times New Roman" w:hAnsi="Times New Roman" w:cs="Times New Roman"/>
          <w:color w:val="000000" w:themeColor="text1"/>
          <w:sz w:val="20"/>
          <w:szCs w:val="20"/>
        </w:rPr>
      </w:pPr>
    </w:p>
    <w:p w14:paraId="58AB27D8" w14:textId="63E4FEC4" w:rsidR="001E4923"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 xml:space="preserve">Erik has authored the chapter “Charitable Remainder Trusts,” in </w:t>
      </w:r>
      <w:r w:rsidRPr="00DC10F4">
        <w:rPr>
          <w:rFonts w:ascii="Times New Roman" w:hAnsi="Times New Roman" w:cs="Times New Roman"/>
          <w:i/>
          <w:color w:val="000000" w:themeColor="text1"/>
          <w:sz w:val="20"/>
          <w:szCs w:val="20"/>
        </w:rPr>
        <w:t>California Estate Planning</w:t>
      </w:r>
      <w:r w:rsidRPr="00DC10F4">
        <w:rPr>
          <w:rFonts w:ascii="Times New Roman" w:hAnsi="Times New Roman" w:cs="Times New Roman"/>
          <w:color w:val="000000" w:themeColor="text1"/>
          <w:sz w:val="20"/>
          <w:szCs w:val="20"/>
        </w:rPr>
        <w:t>, Continuing Education of the Bar (2002) and co-authored chapters in the Matthew</w:t>
      </w:r>
      <w:r w:rsidR="00F55452">
        <w:rPr>
          <w:rFonts w:ascii="Times New Roman" w:hAnsi="Times New Roman" w:cs="Times New Roman"/>
          <w:color w:val="000000" w:themeColor="text1"/>
          <w:sz w:val="20"/>
          <w:szCs w:val="20"/>
        </w:rPr>
        <w:t xml:space="preserve"> </w:t>
      </w:r>
      <w:r w:rsidRPr="00DC10F4">
        <w:rPr>
          <w:rFonts w:ascii="Times New Roman" w:hAnsi="Times New Roman" w:cs="Times New Roman"/>
          <w:color w:val="000000" w:themeColor="text1"/>
          <w:sz w:val="20"/>
          <w:szCs w:val="20"/>
        </w:rPr>
        <w:t xml:space="preserve">Bender California Wills and Trust series and </w:t>
      </w:r>
      <w:r w:rsidRPr="00DC10F4">
        <w:rPr>
          <w:rFonts w:ascii="Times New Roman" w:hAnsi="Times New Roman" w:cs="Times New Roman"/>
          <w:i/>
          <w:color w:val="000000" w:themeColor="text1"/>
          <w:sz w:val="20"/>
          <w:szCs w:val="20"/>
        </w:rPr>
        <w:t>The Nonprofit Handbook: Fund Raising by Wiley &amp; Sons</w:t>
      </w:r>
      <w:r w:rsidRPr="00DC10F4">
        <w:rPr>
          <w:rFonts w:ascii="Times New Roman" w:hAnsi="Times New Roman" w:cs="Times New Roman"/>
          <w:color w:val="000000" w:themeColor="text1"/>
          <w:sz w:val="20"/>
          <w:szCs w:val="20"/>
        </w:rPr>
        <w:t xml:space="preserve">. He has published “Stock Options &amp; Charitable Giving: Do They Mix?” in the </w:t>
      </w:r>
      <w:r w:rsidRPr="00DC10F4">
        <w:rPr>
          <w:rFonts w:ascii="Times New Roman" w:hAnsi="Times New Roman" w:cs="Times New Roman"/>
          <w:i/>
          <w:color w:val="000000" w:themeColor="text1"/>
          <w:sz w:val="20"/>
          <w:szCs w:val="20"/>
        </w:rPr>
        <w:t>Journal of Gift Planning</w:t>
      </w:r>
      <w:r w:rsidRPr="00DC10F4">
        <w:rPr>
          <w:rFonts w:ascii="Times New Roman" w:hAnsi="Times New Roman" w:cs="Times New Roman"/>
          <w:color w:val="000000" w:themeColor="text1"/>
          <w:sz w:val="20"/>
          <w:szCs w:val="20"/>
        </w:rPr>
        <w:t xml:space="preserve">, (2nd Quarter 2000), “The Overselling of Charitable Reverse Split-Dollar Insurance,” in the </w:t>
      </w:r>
      <w:r w:rsidRPr="00DC10F4">
        <w:rPr>
          <w:rFonts w:ascii="Times New Roman" w:hAnsi="Times New Roman" w:cs="Times New Roman"/>
          <w:i/>
          <w:color w:val="000000" w:themeColor="text1"/>
          <w:sz w:val="20"/>
          <w:szCs w:val="20"/>
        </w:rPr>
        <w:t>Journal of Taxation of Exempt Organizations</w:t>
      </w:r>
      <w:r w:rsidRPr="00DC10F4">
        <w:rPr>
          <w:rFonts w:ascii="Times New Roman" w:hAnsi="Times New Roman" w:cs="Times New Roman"/>
          <w:color w:val="000000" w:themeColor="text1"/>
          <w:sz w:val="20"/>
          <w:szCs w:val="20"/>
        </w:rPr>
        <w:t xml:space="preserve"> (July/August 1998), and coauthored “The Lemonade Solution: Using the Charitable Grantor Lead Trust to Turn Underwater Stock into Something Sweet,” in the </w:t>
      </w:r>
      <w:r w:rsidRPr="00DC10F4">
        <w:rPr>
          <w:rFonts w:ascii="Times New Roman" w:hAnsi="Times New Roman" w:cs="Times New Roman"/>
          <w:i/>
          <w:color w:val="000000" w:themeColor="text1"/>
          <w:sz w:val="20"/>
          <w:szCs w:val="20"/>
        </w:rPr>
        <w:t>Journal of Gift Planning</w:t>
      </w:r>
      <w:r w:rsidRPr="00DC10F4">
        <w:rPr>
          <w:rFonts w:ascii="Times New Roman" w:hAnsi="Times New Roman" w:cs="Times New Roman"/>
          <w:color w:val="000000" w:themeColor="text1"/>
          <w:sz w:val="20"/>
          <w:szCs w:val="20"/>
        </w:rPr>
        <w:t xml:space="preserve">, (4th Quarter 2004) and “The Charitable Inheritance Teaches Children About Philanthropy,” in </w:t>
      </w:r>
      <w:r w:rsidRPr="00DC10F4">
        <w:rPr>
          <w:rFonts w:ascii="Times New Roman" w:hAnsi="Times New Roman" w:cs="Times New Roman"/>
          <w:i/>
          <w:color w:val="000000" w:themeColor="text1"/>
          <w:sz w:val="20"/>
          <w:szCs w:val="20"/>
        </w:rPr>
        <w:t>Estate Planning</w:t>
      </w:r>
      <w:r w:rsidRPr="00DC10F4">
        <w:rPr>
          <w:rFonts w:ascii="Times New Roman" w:hAnsi="Times New Roman" w:cs="Times New Roman"/>
          <w:color w:val="000000" w:themeColor="text1"/>
          <w:sz w:val="20"/>
          <w:szCs w:val="20"/>
        </w:rPr>
        <w:t xml:space="preserve"> (December 1998).</w:t>
      </w:r>
    </w:p>
    <w:p w14:paraId="753BED54" w14:textId="77777777" w:rsidR="00786D57" w:rsidRPr="00DC10F4" w:rsidRDefault="00786D57" w:rsidP="00DC10F4">
      <w:pPr>
        <w:spacing w:line="360" w:lineRule="auto"/>
        <w:jc w:val="both"/>
        <w:rPr>
          <w:rFonts w:ascii="Times New Roman" w:hAnsi="Times New Roman" w:cs="Times New Roman"/>
          <w:color w:val="000000" w:themeColor="text1"/>
          <w:sz w:val="20"/>
          <w:szCs w:val="20"/>
        </w:rPr>
      </w:pPr>
      <w:bookmarkStart w:id="0" w:name="_GoBack"/>
      <w:bookmarkEnd w:id="0"/>
    </w:p>
    <w:p w14:paraId="3BF75A2A" w14:textId="0A827548" w:rsidR="0023358C" w:rsidRPr="00DC10F4" w:rsidRDefault="001E4923" w:rsidP="00DC10F4">
      <w:pPr>
        <w:spacing w:line="360" w:lineRule="auto"/>
        <w:jc w:val="both"/>
        <w:rPr>
          <w:rFonts w:ascii="Times New Roman" w:hAnsi="Times New Roman" w:cs="Times New Roman"/>
          <w:color w:val="000000" w:themeColor="text1"/>
          <w:sz w:val="20"/>
          <w:szCs w:val="20"/>
        </w:rPr>
      </w:pPr>
      <w:r w:rsidRPr="00DC10F4">
        <w:rPr>
          <w:rFonts w:ascii="Times New Roman" w:hAnsi="Times New Roman" w:cs="Times New Roman"/>
          <w:color w:val="000000" w:themeColor="text1"/>
          <w:sz w:val="20"/>
          <w:szCs w:val="20"/>
        </w:rPr>
        <w:t>Erik is a frequent speaker in the charitable giving area. Erik is the immediate past Chair of the Charitable Planning and Exempt Organizations Committee of the American College of Trust and Estate Counsel (ACTEC), and a member of the American Bar Association’s Real Property, Trust and Estate Section. He is a past Board member of the Partnership for Philanthropic Planning (formerly NCPG), the San Francisco Estate Planning Council, and the Northern California Planned Giving Council. Erik received the 2005 Phil Hoffmire Service Award from the Northern California Planned Giving Council.</w:t>
      </w:r>
    </w:p>
    <w:sectPr w:rsidR="0023358C" w:rsidRPr="00DC10F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1E4923"/>
    <w:rsid w:val="0023358C"/>
    <w:rsid w:val="00244787"/>
    <w:rsid w:val="00291730"/>
    <w:rsid w:val="002E4D83"/>
    <w:rsid w:val="004C45C1"/>
    <w:rsid w:val="00640A70"/>
    <w:rsid w:val="00786D57"/>
    <w:rsid w:val="007878A9"/>
    <w:rsid w:val="008418FE"/>
    <w:rsid w:val="00971F86"/>
    <w:rsid w:val="009B0F38"/>
    <w:rsid w:val="00B06AA9"/>
    <w:rsid w:val="00B51D8F"/>
    <w:rsid w:val="00B655E7"/>
    <w:rsid w:val="00CB2985"/>
    <w:rsid w:val="00DA7FEC"/>
    <w:rsid w:val="00DC0795"/>
    <w:rsid w:val="00DC10F4"/>
    <w:rsid w:val="00F01B41"/>
    <w:rsid w:val="00F55452"/>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4A5ED-5951-1546-81A9-BBC49134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11</cp:revision>
  <cp:lastPrinted>2017-07-26T13:49:00Z</cp:lastPrinted>
  <dcterms:created xsi:type="dcterms:W3CDTF">2017-05-15T17:06:00Z</dcterms:created>
  <dcterms:modified xsi:type="dcterms:W3CDTF">2017-12-19T03:31:00Z</dcterms:modified>
</cp:coreProperties>
</file>