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9637F" w14:textId="77777777" w:rsidR="007E4852" w:rsidRPr="00190B96" w:rsidRDefault="007E4852" w:rsidP="005034EC">
      <w:pPr>
        <w:spacing w:after="0" w:line="240" w:lineRule="auto"/>
        <w:jc w:val="center"/>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 xml:space="preserve">Michael M. Gordon </w:t>
      </w:r>
    </w:p>
    <w:p w14:paraId="0390DC51" w14:textId="77777777" w:rsidR="007E4852" w:rsidRPr="00190B96" w:rsidRDefault="007E4852" w:rsidP="005034EC">
      <w:pPr>
        <w:spacing w:after="0" w:line="240" w:lineRule="auto"/>
        <w:jc w:val="center"/>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 xml:space="preserve">Gordon, Fournaris &amp; Mammarella, P.A. </w:t>
      </w:r>
    </w:p>
    <w:p w14:paraId="54A36C35" w14:textId="55464A0F" w:rsidR="00291730" w:rsidRPr="00190B96" w:rsidRDefault="007E4852" w:rsidP="005034EC">
      <w:pPr>
        <w:spacing w:after="0" w:line="240" w:lineRule="auto"/>
        <w:jc w:val="center"/>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Wilmington</w:t>
      </w:r>
      <w:r w:rsidR="0023358C" w:rsidRPr="00190B96">
        <w:rPr>
          <w:rFonts w:ascii="Times New Roman" w:hAnsi="Times New Roman" w:cs="Times New Roman"/>
          <w:color w:val="000000" w:themeColor="text1"/>
          <w:sz w:val="20"/>
          <w:szCs w:val="20"/>
        </w:rPr>
        <w:t xml:space="preserve">, </w:t>
      </w:r>
      <w:r w:rsidRPr="00190B96">
        <w:rPr>
          <w:rFonts w:ascii="Times New Roman" w:hAnsi="Times New Roman" w:cs="Times New Roman"/>
          <w:color w:val="000000" w:themeColor="text1"/>
          <w:sz w:val="20"/>
          <w:szCs w:val="20"/>
        </w:rPr>
        <w:t>Delaware</w:t>
      </w:r>
    </w:p>
    <w:p w14:paraId="1C7B22E5" w14:textId="77777777" w:rsidR="00291730" w:rsidRPr="00190B96" w:rsidRDefault="00291730" w:rsidP="00291730">
      <w:pPr>
        <w:spacing w:line="240" w:lineRule="auto"/>
        <w:jc w:val="center"/>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________________________________</w:t>
      </w:r>
    </w:p>
    <w:p w14:paraId="3AF66569" w14:textId="77777777" w:rsidR="00291730" w:rsidRPr="00190B96" w:rsidRDefault="00291730" w:rsidP="00291730">
      <w:pPr>
        <w:jc w:val="both"/>
        <w:rPr>
          <w:rFonts w:ascii="Times New Roman" w:hAnsi="Times New Roman" w:cs="Times New Roman"/>
          <w:b/>
          <w:color w:val="000000" w:themeColor="text1"/>
          <w:sz w:val="20"/>
          <w:szCs w:val="20"/>
          <w:u w:val="single"/>
        </w:rPr>
      </w:pPr>
    </w:p>
    <w:p w14:paraId="48372B31" w14:textId="686C7BBC" w:rsidR="00190B96" w:rsidRDefault="00190B96" w:rsidP="000471D8">
      <w:pPr>
        <w:spacing w:line="360" w:lineRule="auto"/>
        <w:jc w:val="both"/>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Michael M. Gordon is a Director at the Wilmington law firm of Gordon, Fournaris &amp; Mammarella, P.A</w:t>
      </w:r>
      <w:r w:rsidR="006B2B20">
        <w:rPr>
          <w:rFonts w:ascii="Times New Roman" w:hAnsi="Times New Roman" w:cs="Times New Roman"/>
          <w:color w:val="000000" w:themeColor="text1"/>
          <w:sz w:val="20"/>
          <w:szCs w:val="20"/>
        </w:rPr>
        <w:t xml:space="preserve">. </w:t>
      </w:r>
      <w:r w:rsidRPr="00190B96">
        <w:rPr>
          <w:rFonts w:ascii="Times New Roman" w:hAnsi="Times New Roman" w:cs="Times New Roman"/>
          <w:color w:val="000000" w:themeColor="text1"/>
          <w:sz w:val="20"/>
          <w:szCs w:val="20"/>
        </w:rPr>
        <w:t>He is a graduate of Fairfield University and the Catholic University of America, Columbus School of Law. He received his Masters of Law in Taxation from Villanova University School of Law in 2008 and is a member of the Delaware and</w:t>
      </w:r>
      <w:r w:rsidR="00D336B4">
        <w:rPr>
          <w:rFonts w:ascii="Times New Roman" w:hAnsi="Times New Roman" w:cs="Times New Roman"/>
          <w:color w:val="000000" w:themeColor="text1"/>
          <w:sz w:val="20"/>
          <w:szCs w:val="20"/>
        </w:rPr>
        <w:t xml:space="preserve"> </w:t>
      </w:r>
      <w:r w:rsidRPr="00190B96">
        <w:rPr>
          <w:rFonts w:ascii="Times New Roman" w:hAnsi="Times New Roman" w:cs="Times New Roman"/>
          <w:color w:val="000000" w:themeColor="text1"/>
          <w:sz w:val="20"/>
          <w:szCs w:val="20"/>
        </w:rPr>
        <w:t>Maryland Bar Associations.</w:t>
      </w:r>
    </w:p>
    <w:p w14:paraId="3A50D699" w14:textId="77777777" w:rsidR="00C44C56" w:rsidRPr="00190B96" w:rsidRDefault="00C44C56" w:rsidP="000471D8">
      <w:pPr>
        <w:spacing w:line="360" w:lineRule="auto"/>
        <w:jc w:val="both"/>
        <w:rPr>
          <w:rFonts w:ascii="Times New Roman" w:hAnsi="Times New Roman" w:cs="Times New Roman"/>
          <w:color w:val="000000" w:themeColor="text1"/>
          <w:sz w:val="20"/>
          <w:szCs w:val="20"/>
        </w:rPr>
      </w:pPr>
    </w:p>
    <w:p w14:paraId="218F577E" w14:textId="2C71749F" w:rsidR="00190B96" w:rsidRDefault="00190B96" w:rsidP="000471D8">
      <w:pPr>
        <w:spacing w:line="360" w:lineRule="auto"/>
        <w:jc w:val="both"/>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Michael is the former Chair of the Estates and Trusts Section of the Delaware Bar Association. He is a Fellow of the American College of Trust and Estate Counsel. Michael is also a member of the American Bar Association where he serves as a Group Vice-Chair of the Non-Tax Estate Planning Considerations Group of the Section of Real Property, Trust &amp; Estate Law.</w:t>
      </w:r>
    </w:p>
    <w:p w14:paraId="4A457F6D" w14:textId="77777777" w:rsidR="00C44C56" w:rsidRPr="00190B96" w:rsidRDefault="00C44C56" w:rsidP="000471D8">
      <w:pPr>
        <w:spacing w:line="360" w:lineRule="auto"/>
        <w:jc w:val="both"/>
        <w:rPr>
          <w:rFonts w:ascii="Times New Roman" w:hAnsi="Times New Roman" w:cs="Times New Roman"/>
          <w:color w:val="000000" w:themeColor="text1"/>
          <w:sz w:val="20"/>
          <w:szCs w:val="20"/>
        </w:rPr>
      </w:pPr>
    </w:p>
    <w:p w14:paraId="2EC6BC91" w14:textId="5CB59647" w:rsidR="00190B96" w:rsidRDefault="00190B96" w:rsidP="000471D8">
      <w:pPr>
        <w:spacing w:line="360" w:lineRule="auto"/>
        <w:jc w:val="both"/>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Michael’s practice focuses on the unique aspects of Delaware trust law, including directed trusts, dynasty trusts, asset protection trusts and all aspects of the validity, construction and administration of Delaware trusts. Michael routinely works with clients across the country to transfer the situs of trusts to Delaware and to modify trusts to take advantage of Delaware’s favorable trust law. Michael drafts, reviews and comments on Delaware trust agreements for local and out of state clients and provides legal opinions on the validity of trusts under Delaware law.</w:t>
      </w:r>
    </w:p>
    <w:p w14:paraId="67365C40" w14:textId="77777777" w:rsidR="00C44C56" w:rsidRPr="00190B96" w:rsidRDefault="00C44C56" w:rsidP="000471D8">
      <w:pPr>
        <w:spacing w:line="360" w:lineRule="auto"/>
        <w:jc w:val="both"/>
        <w:rPr>
          <w:rFonts w:ascii="Times New Roman" w:hAnsi="Times New Roman" w:cs="Times New Roman"/>
          <w:color w:val="000000" w:themeColor="text1"/>
          <w:sz w:val="20"/>
          <w:szCs w:val="20"/>
        </w:rPr>
      </w:pPr>
      <w:bookmarkStart w:id="0" w:name="_GoBack"/>
      <w:bookmarkEnd w:id="0"/>
    </w:p>
    <w:p w14:paraId="3BF75A2A" w14:textId="52521E39" w:rsidR="0023358C" w:rsidRPr="00190B96" w:rsidRDefault="00190B96" w:rsidP="000471D8">
      <w:pPr>
        <w:spacing w:line="360" w:lineRule="auto"/>
        <w:jc w:val="both"/>
        <w:rPr>
          <w:rFonts w:ascii="Times New Roman" w:hAnsi="Times New Roman" w:cs="Times New Roman"/>
          <w:color w:val="000000" w:themeColor="text1"/>
          <w:sz w:val="20"/>
          <w:szCs w:val="20"/>
        </w:rPr>
      </w:pPr>
      <w:r w:rsidRPr="00190B96">
        <w:rPr>
          <w:rFonts w:ascii="Times New Roman" w:hAnsi="Times New Roman" w:cs="Times New Roman"/>
          <w:color w:val="000000" w:themeColor="text1"/>
          <w:sz w:val="20"/>
          <w:szCs w:val="20"/>
        </w:rPr>
        <w:t>Michael resides in Wilmington, Delaware with his wife, Amie, and two daughters, Samantha and Mia.</w:t>
      </w:r>
    </w:p>
    <w:sectPr w:rsidR="0023358C" w:rsidRPr="00190B96"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23C6D"/>
    <w:rsid w:val="000471D8"/>
    <w:rsid w:val="000E3A75"/>
    <w:rsid w:val="00190B96"/>
    <w:rsid w:val="0023358C"/>
    <w:rsid w:val="00244787"/>
    <w:rsid w:val="00291730"/>
    <w:rsid w:val="002E4D83"/>
    <w:rsid w:val="004C45C1"/>
    <w:rsid w:val="005034EC"/>
    <w:rsid w:val="00640A70"/>
    <w:rsid w:val="006B2B20"/>
    <w:rsid w:val="007E4852"/>
    <w:rsid w:val="008418FE"/>
    <w:rsid w:val="00971F86"/>
    <w:rsid w:val="009B0F38"/>
    <w:rsid w:val="00C44C56"/>
    <w:rsid w:val="00CB2985"/>
    <w:rsid w:val="00D336B4"/>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70971-DDE1-2E40-95A5-E74E3C27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1283</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9</cp:revision>
  <cp:lastPrinted>2017-07-26T15:57:00Z</cp:lastPrinted>
  <dcterms:created xsi:type="dcterms:W3CDTF">2017-05-15T16:56:00Z</dcterms:created>
  <dcterms:modified xsi:type="dcterms:W3CDTF">2017-12-19T03:29:00Z</dcterms:modified>
</cp:coreProperties>
</file>