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E72CA" w14:textId="77777777" w:rsidR="006C5695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S. McCaffrey</w:t>
      </w:r>
    </w:p>
    <w:p w14:paraId="61A663A1" w14:textId="3B96A34C" w:rsidR="002E4D83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McDermott Will &amp; Emery</w:t>
      </w:r>
    </w:p>
    <w:p w14:paraId="54A36C35" w14:textId="47BE0154" w:rsidR="00291730" w:rsidRPr="006C5695" w:rsidRDefault="006C5695" w:rsidP="00F8524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New York</w:t>
      </w:r>
      <w:r w:rsidR="0023358C"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New York</w:t>
      </w:r>
    </w:p>
    <w:p w14:paraId="1C7B22E5" w14:textId="77777777" w:rsidR="00291730" w:rsidRPr="006C5695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6C5695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A2DC69" w14:textId="54D31C9B" w:rsid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S. McCaffrey is a partner in the law firm of McDermott Will &amp; Emery LLP and is co-head of the private client practice </w:t>
      </w:r>
      <w:r w:rsidR="00741F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the Firm’s New York office.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She focuses her practice on tax and estate planning.</w:t>
      </w:r>
    </w:p>
    <w:p w14:paraId="18F232B7" w14:textId="77777777" w:rsidR="00256F03" w:rsidRPr="006C5695" w:rsidRDefault="00256F03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EE4BE3" w14:textId="7A0DB9D6" w:rsid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frequently lectures on subjects relating to tax law, trusts and estates, foreign trusts and matrimonial law. She also writes extensively on these topics, and is the co-author of “Structuring the Tax Consequences of Marriage and Divorce”</w:t>
      </w:r>
      <w:r w:rsidR="00253F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E905473" w14:textId="77777777" w:rsidR="00256F03" w:rsidRPr="006C5695" w:rsidRDefault="00256F03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20F97" w14:textId="113003C8" w:rsid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fellow and a past president of the American College of Trust &amp; Estate Counsel, a fellow of the American College of Tax Counsel, a member of the International Academy of Trust &amp; Estate Counsel and a member of the Joint Editorial Board for Uniform Trust and Estate Act of the National Conference of Commissioners on Uniform Laws, a member of the Advisory Committee of the University of Miami’s </w:t>
      </w:r>
      <w:proofErr w:type="spellStart"/>
      <w:r w:rsidR="00253F4D">
        <w:rPr>
          <w:rFonts w:ascii="Times New Roman" w:hAnsi="Times New Roman" w:cs="Times New Roman"/>
          <w:color w:val="000000" w:themeColor="text1"/>
          <w:sz w:val="20"/>
          <w:szCs w:val="20"/>
        </w:rPr>
        <w:t>H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eckerling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 on Estate Planning, and a member of the Adjunct faculty of the University of Miami Law School.</w:t>
      </w:r>
    </w:p>
    <w:p w14:paraId="22047B93" w14:textId="77777777" w:rsidR="00256F03" w:rsidRPr="006C5695" w:rsidRDefault="00256F03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3A082736" w14:textId="388115D1" w:rsidR="006C5695" w:rsidRPr="006C5695" w:rsidRDefault="006C5695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Carlyn</w:t>
      </w:r>
      <w:proofErr w:type="spellEnd"/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received her Bachelor of Arts from George Washington, and her Bachelor of Laws and Master of Laws from New</w:t>
      </w:r>
      <w:r w:rsidR="00741F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York University School of Law. </w:t>
      </w:r>
      <w:r w:rsidRPr="006C5695">
        <w:rPr>
          <w:rFonts w:ascii="Times New Roman" w:hAnsi="Times New Roman" w:cs="Times New Roman"/>
          <w:color w:val="000000" w:themeColor="text1"/>
          <w:sz w:val="20"/>
          <w:szCs w:val="20"/>
        </w:rPr>
        <w:t>She is admitted to practice in New York and before the U.S. Tax Court.</w:t>
      </w:r>
    </w:p>
    <w:p w14:paraId="3BF75A2A" w14:textId="2FAC937D" w:rsidR="0023358C" w:rsidRPr="006C5695" w:rsidRDefault="0023358C" w:rsidP="006C56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6C5695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3358C"/>
    <w:rsid w:val="00244787"/>
    <w:rsid w:val="00253F4D"/>
    <w:rsid w:val="00256F03"/>
    <w:rsid w:val="00291730"/>
    <w:rsid w:val="002E4D83"/>
    <w:rsid w:val="004C45C1"/>
    <w:rsid w:val="00640A70"/>
    <w:rsid w:val="006933A7"/>
    <w:rsid w:val="006C5695"/>
    <w:rsid w:val="00741FB3"/>
    <w:rsid w:val="008418FE"/>
    <w:rsid w:val="00971F86"/>
    <w:rsid w:val="009B0F38"/>
    <w:rsid w:val="00CB2985"/>
    <w:rsid w:val="00F01B41"/>
    <w:rsid w:val="00F85248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73658-B307-FB43-B32F-33AC6190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7</cp:revision>
  <cp:lastPrinted>2016-11-29T20:32:00Z</cp:lastPrinted>
  <dcterms:created xsi:type="dcterms:W3CDTF">2017-05-17T14:14:00Z</dcterms:created>
  <dcterms:modified xsi:type="dcterms:W3CDTF">2017-12-19T03:26:00Z</dcterms:modified>
</cp:coreProperties>
</file>