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CBE5" w14:textId="77777777" w:rsidR="009D078A"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 xml:space="preserve">Louis A. </w:t>
      </w:r>
      <w:proofErr w:type="spellStart"/>
      <w:r w:rsidRPr="00982EC1">
        <w:rPr>
          <w:rFonts w:ascii="Times New Roman" w:hAnsi="Times New Roman" w:cs="Times New Roman"/>
          <w:color w:val="000000" w:themeColor="text1"/>
          <w:sz w:val="20"/>
          <w:szCs w:val="20"/>
        </w:rPr>
        <w:t>Mezzullo</w:t>
      </w:r>
      <w:proofErr w:type="spellEnd"/>
    </w:p>
    <w:p w14:paraId="16A41ACB" w14:textId="77777777" w:rsidR="009D078A"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Withers Bergman LLP</w:t>
      </w:r>
    </w:p>
    <w:p w14:paraId="54A36C35" w14:textId="0A659576" w:rsidR="00291730"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Rancho Santa Fe, California</w:t>
      </w:r>
    </w:p>
    <w:p w14:paraId="1C7B22E5" w14:textId="77777777" w:rsidR="00291730" w:rsidRPr="00291730" w:rsidRDefault="00291730" w:rsidP="00291730">
      <w:pPr>
        <w:spacing w:line="240" w:lineRule="auto"/>
        <w:jc w:val="center"/>
        <w:rPr>
          <w:rFonts w:ascii="Times New Roman" w:hAnsi="Times New Roman" w:cs="Times New Roman"/>
          <w:sz w:val="20"/>
          <w:szCs w:val="20"/>
        </w:rPr>
      </w:pPr>
      <w:r>
        <w:rPr>
          <w:rFonts w:ascii="Times New Roman" w:hAnsi="Times New Roman" w:cs="Times New Roman"/>
          <w:sz w:val="20"/>
          <w:szCs w:val="20"/>
        </w:rPr>
        <w:t>________________________________</w:t>
      </w:r>
    </w:p>
    <w:p w14:paraId="3AF66569" w14:textId="77777777" w:rsidR="00291730" w:rsidRPr="009D078A" w:rsidRDefault="00291730" w:rsidP="009D078A">
      <w:pPr>
        <w:spacing w:line="240" w:lineRule="auto"/>
        <w:ind w:firstLine="720"/>
        <w:jc w:val="both"/>
        <w:rPr>
          <w:rFonts w:ascii="Times New Roman" w:hAnsi="Times New Roman" w:cs="Times New Roman"/>
          <w:b/>
          <w:sz w:val="16"/>
          <w:szCs w:val="16"/>
          <w:u w:val="single"/>
        </w:rPr>
      </w:pPr>
    </w:p>
    <w:p w14:paraId="1C39D277" w14:textId="00F27486" w:rsidR="009D078A" w:rsidRPr="009D078A" w:rsidRDefault="009D078A" w:rsidP="009D078A">
      <w:pPr>
        <w:spacing w:line="276" w:lineRule="auto"/>
        <w:jc w:val="both"/>
        <w:rPr>
          <w:rFonts w:ascii="Times New Roman" w:hAnsi="Times New Roman" w:cs="Times New Roman"/>
          <w:spacing w:val="-3"/>
          <w:sz w:val="20"/>
          <w:szCs w:val="20"/>
        </w:rPr>
      </w:pPr>
      <w:bookmarkStart w:id="0" w:name="_GoBack"/>
      <w:r w:rsidRPr="009D078A">
        <w:rPr>
          <w:rFonts w:ascii="Times New Roman" w:hAnsi="Times New Roman" w:cs="Times New Roman"/>
          <w:spacing w:val="-3"/>
          <w:sz w:val="20"/>
          <w:szCs w:val="20"/>
        </w:rPr>
        <w:t xml:space="preserve">Louis A. </w:t>
      </w:r>
      <w:proofErr w:type="spellStart"/>
      <w:r w:rsidRPr="009D078A">
        <w:rPr>
          <w:rFonts w:ascii="Times New Roman" w:hAnsi="Times New Roman" w:cs="Times New Roman"/>
          <w:spacing w:val="-3"/>
          <w:sz w:val="20"/>
          <w:szCs w:val="20"/>
        </w:rPr>
        <w:t>Mezzullo</w:t>
      </w:r>
      <w:proofErr w:type="spellEnd"/>
      <w:r w:rsidRPr="009D078A">
        <w:rPr>
          <w:rFonts w:ascii="Times New Roman" w:hAnsi="Times New Roman" w:cs="Times New Roman"/>
          <w:spacing w:val="-3"/>
          <w:sz w:val="20"/>
          <w:szCs w:val="20"/>
        </w:rPr>
        <w:t xml:space="preserve"> is a consulting partner in Withers Bergman </w:t>
      </w:r>
      <w:r w:rsidRPr="009D078A">
        <w:rPr>
          <w:rFonts w:ascii="Times New Roman" w:hAnsi="Times New Roman" w:cs="Times New Roman"/>
          <w:sz w:val="20"/>
          <w:szCs w:val="20"/>
        </w:rPr>
        <w:t xml:space="preserve">LLP, </w:t>
      </w:r>
      <w:r w:rsidRPr="009D078A">
        <w:rPr>
          <w:rFonts w:ascii="Times New Roman" w:hAnsi="Times New Roman" w:cs="Times New Roman"/>
          <w:spacing w:val="-3"/>
          <w:sz w:val="20"/>
          <w:szCs w:val="20"/>
        </w:rPr>
        <w:t>practic</w:t>
      </w:r>
      <w:r w:rsidR="00F4373F">
        <w:rPr>
          <w:rFonts w:ascii="Times New Roman" w:hAnsi="Times New Roman" w:cs="Times New Roman"/>
          <w:spacing w:val="-3"/>
          <w:sz w:val="20"/>
          <w:szCs w:val="20"/>
        </w:rPr>
        <w:t xml:space="preserve">ing principally in California. </w:t>
      </w:r>
      <w:r w:rsidRPr="009D078A">
        <w:rPr>
          <w:rFonts w:ascii="Times New Roman" w:hAnsi="Times New Roman" w:cs="Times New Roman"/>
          <w:spacing w:val="-3"/>
          <w:sz w:val="20"/>
          <w:szCs w:val="20"/>
        </w:rPr>
        <w:t xml:space="preserve">His principal areas of practice are taxation, estate and business planning, </w:t>
      </w:r>
      <w:r w:rsidR="00F4373F">
        <w:rPr>
          <w:rFonts w:ascii="Times New Roman" w:hAnsi="Times New Roman" w:cs="Times New Roman"/>
          <w:spacing w:val="-3"/>
          <w:sz w:val="20"/>
          <w:szCs w:val="20"/>
        </w:rPr>
        <w:t xml:space="preserve">and employee benefit planning. </w:t>
      </w:r>
      <w:r w:rsidRPr="009D078A">
        <w:rPr>
          <w:rFonts w:ascii="Times New Roman" w:hAnsi="Times New Roman" w:cs="Times New Roman"/>
          <w:spacing w:val="-3"/>
          <w:sz w:val="20"/>
          <w:szCs w:val="20"/>
        </w:rPr>
        <w:t>He was an Adjunct Professor of Law at the University of Richmond Law School from 1978 to 2006, where he taught courses in those subjects, was on the faculty of the University of Miami School of Law Graduate Program in Estate Planning from 2004 until 2007, and was on the faculty of the University of Sa</w:t>
      </w:r>
      <w:r w:rsidR="00F4373F">
        <w:rPr>
          <w:rFonts w:ascii="Times New Roman" w:hAnsi="Times New Roman" w:cs="Times New Roman"/>
          <w:spacing w:val="-3"/>
          <w:sz w:val="20"/>
          <w:szCs w:val="20"/>
        </w:rPr>
        <w:t xml:space="preserve">n Diego School of Law in 2009. </w:t>
      </w:r>
      <w:r w:rsidRPr="009D078A">
        <w:rPr>
          <w:rFonts w:ascii="Times New Roman" w:hAnsi="Times New Roman" w:cs="Times New Roman"/>
          <w:spacing w:val="-3"/>
          <w:sz w:val="20"/>
          <w:szCs w:val="20"/>
        </w:rPr>
        <w:t xml:space="preserve">He is listed in </w:t>
      </w:r>
      <w:r w:rsidRPr="009D078A">
        <w:rPr>
          <w:rFonts w:ascii="Times New Roman" w:hAnsi="Times New Roman" w:cs="Times New Roman"/>
          <w:i/>
          <w:iCs/>
          <w:spacing w:val="-3"/>
          <w:sz w:val="20"/>
          <w:szCs w:val="20"/>
        </w:rPr>
        <w:t>Who's Who in American Law, Who's Who in Emerging Leaders</w:t>
      </w:r>
      <w:r w:rsidRPr="009D078A">
        <w:rPr>
          <w:rFonts w:ascii="Times New Roman" w:hAnsi="Times New Roman" w:cs="Times New Roman"/>
          <w:spacing w:val="-3"/>
          <w:sz w:val="20"/>
          <w:szCs w:val="20"/>
        </w:rPr>
        <w:t xml:space="preserve"> and </w:t>
      </w:r>
      <w:r w:rsidRPr="009D078A">
        <w:rPr>
          <w:rFonts w:ascii="Times New Roman" w:hAnsi="Times New Roman" w:cs="Times New Roman"/>
          <w:i/>
          <w:iCs/>
          <w:spacing w:val="-3"/>
          <w:sz w:val="20"/>
          <w:szCs w:val="20"/>
        </w:rPr>
        <w:t>Who’s Who in America</w:t>
      </w:r>
      <w:r w:rsidRPr="009D078A">
        <w:rPr>
          <w:rFonts w:ascii="Times New Roman" w:hAnsi="Times New Roman" w:cs="Times New Roman"/>
          <w:spacing w:val="-3"/>
          <w:sz w:val="20"/>
          <w:szCs w:val="20"/>
        </w:rPr>
        <w:t xml:space="preserve"> (Marquis Who's Who Publishers) and in </w:t>
      </w:r>
      <w:r w:rsidRPr="009D078A">
        <w:rPr>
          <w:rFonts w:ascii="Times New Roman" w:hAnsi="Times New Roman" w:cs="Times New Roman"/>
          <w:i/>
          <w:iCs/>
          <w:spacing w:val="-3"/>
          <w:sz w:val="20"/>
          <w:szCs w:val="20"/>
        </w:rPr>
        <w:t>The Best Lawyers in America</w:t>
      </w:r>
      <w:r w:rsidRPr="009D078A">
        <w:rPr>
          <w:rFonts w:ascii="Times New Roman" w:hAnsi="Times New Roman" w:cs="Times New Roman"/>
          <w:spacing w:val="-3"/>
          <w:sz w:val="20"/>
          <w:szCs w:val="20"/>
        </w:rPr>
        <w:t xml:space="preserve"> (for tax, trust and estates, and employee benefits) (Woodward/White Publishers) and was listed as one of the top 50 Lawyers in the 2012 Edition of the </w:t>
      </w:r>
      <w:r w:rsidRPr="009D078A">
        <w:rPr>
          <w:rFonts w:ascii="Times New Roman" w:hAnsi="Times New Roman" w:cs="Times New Roman"/>
          <w:i/>
          <w:spacing w:val="-3"/>
          <w:sz w:val="20"/>
          <w:szCs w:val="20"/>
        </w:rPr>
        <w:t>San Diego Super Lawyers</w:t>
      </w:r>
      <w:r w:rsidRPr="009D078A">
        <w:rPr>
          <w:rFonts w:ascii="Times New Roman" w:hAnsi="Times New Roman" w:cs="Times New Roman"/>
          <w:spacing w:val="-3"/>
          <w:sz w:val="20"/>
          <w:szCs w:val="20"/>
        </w:rPr>
        <w:t xml:space="preserve"> and in the Top Attorneys in Business Services in the </w:t>
      </w:r>
      <w:r w:rsidRPr="009D078A">
        <w:rPr>
          <w:rFonts w:ascii="Times New Roman" w:hAnsi="Times New Roman" w:cs="Times New Roman"/>
          <w:i/>
          <w:spacing w:val="-3"/>
          <w:sz w:val="20"/>
          <w:szCs w:val="20"/>
        </w:rPr>
        <w:t>Corporate Counsel Edition of Super Lawyers</w:t>
      </w:r>
      <w:r w:rsidR="00F4373F">
        <w:rPr>
          <w:rFonts w:ascii="Times New Roman" w:hAnsi="Times New Roman" w:cs="Times New Roman"/>
          <w:spacing w:val="-3"/>
          <w:sz w:val="20"/>
          <w:szCs w:val="20"/>
        </w:rPr>
        <w:t xml:space="preserve">. </w:t>
      </w:r>
      <w:r w:rsidRPr="009D078A">
        <w:rPr>
          <w:rFonts w:ascii="Times New Roman" w:hAnsi="Times New Roman" w:cs="Times New Roman"/>
          <w:spacing w:val="-3"/>
          <w:sz w:val="20"/>
          <w:szCs w:val="20"/>
        </w:rPr>
        <w:t>He is listed in band 1, Wealth Management, Western</w:t>
      </w:r>
      <w:r w:rsidR="00F4373F">
        <w:rPr>
          <w:rFonts w:ascii="Times New Roman" w:hAnsi="Times New Roman" w:cs="Times New Roman"/>
          <w:spacing w:val="-3"/>
          <w:sz w:val="20"/>
          <w:szCs w:val="20"/>
        </w:rPr>
        <w:t xml:space="preserve"> Region, in Chambers USA 2016. </w:t>
      </w:r>
      <w:r w:rsidRPr="009D078A">
        <w:rPr>
          <w:rFonts w:ascii="Times New Roman" w:hAnsi="Times New Roman" w:cs="Times New Roman"/>
          <w:spacing w:val="-3"/>
          <w:sz w:val="20"/>
          <w:szCs w:val="20"/>
        </w:rPr>
        <w:t xml:space="preserve">He has written articles on the subjects of taxation, estate planning and employee benefits for the </w:t>
      </w:r>
      <w:r w:rsidRPr="009D078A">
        <w:rPr>
          <w:rFonts w:ascii="Times New Roman" w:hAnsi="Times New Roman" w:cs="Times New Roman"/>
          <w:i/>
          <w:iCs/>
          <w:spacing w:val="-3"/>
          <w:sz w:val="20"/>
          <w:szCs w:val="20"/>
        </w:rPr>
        <w:t>Journal of Taxation</w:t>
      </w:r>
      <w:r w:rsidRPr="009D078A">
        <w:rPr>
          <w:rFonts w:ascii="Times New Roman" w:hAnsi="Times New Roman" w:cs="Times New Roman"/>
          <w:spacing w:val="-3"/>
          <w:sz w:val="20"/>
          <w:szCs w:val="20"/>
        </w:rPr>
        <w:t>,</w:t>
      </w:r>
      <w:r w:rsidRPr="009D078A">
        <w:rPr>
          <w:rFonts w:ascii="Times New Roman" w:hAnsi="Times New Roman" w:cs="Times New Roman"/>
          <w:i/>
          <w:iCs/>
          <w:spacing w:val="-3"/>
          <w:sz w:val="20"/>
          <w:szCs w:val="20"/>
        </w:rPr>
        <w:t xml:space="preserve"> University of Richmond Law Review</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Virginia Bar Association Journal</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Estate Planning</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Probate &amp; Property</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for Accountants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for Lawyers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of Employee Benefits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 xml:space="preserve">Journal of </w:t>
      </w:r>
      <w:proofErr w:type="spellStart"/>
      <w:r w:rsidRPr="009D078A">
        <w:rPr>
          <w:rFonts w:ascii="Times New Roman" w:hAnsi="Times New Roman" w:cs="Times New Roman"/>
          <w:i/>
          <w:iCs/>
          <w:spacing w:val="-3"/>
          <w:sz w:val="20"/>
          <w:szCs w:val="20"/>
        </w:rPr>
        <w:t>Passthrough</w:t>
      </w:r>
      <w:proofErr w:type="spellEnd"/>
      <w:r w:rsidRPr="009D078A">
        <w:rPr>
          <w:rFonts w:ascii="Times New Roman" w:hAnsi="Times New Roman" w:cs="Times New Roman"/>
          <w:i/>
          <w:iCs/>
          <w:spacing w:val="-3"/>
          <w:sz w:val="20"/>
          <w:szCs w:val="20"/>
        </w:rPr>
        <w:t xml:space="preserve"> Entities</w:t>
      </w:r>
      <w:r w:rsidRPr="009D078A">
        <w:rPr>
          <w:rFonts w:ascii="Times New Roman" w:hAnsi="Times New Roman" w:cs="Times New Roman"/>
          <w:spacing w:val="-3"/>
          <w:sz w:val="20"/>
          <w:szCs w:val="20"/>
        </w:rPr>
        <w:t xml:space="preserve">, </w:t>
      </w:r>
      <w:r w:rsidRPr="009D078A">
        <w:rPr>
          <w:rFonts w:ascii="Times New Roman" w:hAnsi="Times New Roman" w:cs="Times New Roman"/>
          <w:i/>
          <w:spacing w:val="-3"/>
          <w:sz w:val="20"/>
          <w:szCs w:val="20"/>
        </w:rPr>
        <w:t xml:space="preserve">Business Entities, </w:t>
      </w:r>
      <w:r w:rsidRPr="009D078A">
        <w:rPr>
          <w:rFonts w:ascii="Times New Roman" w:hAnsi="Times New Roman" w:cs="Times New Roman"/>
          <w:spacing w:val="-3"/>
          <w:sz w:val="20"/>
          <w:szCs w:val="20"/>
        </w:rPr>
        <w:t xml:space="preserve">and </w:t>
      </w:r>
      <w:r w:rsidRPr="009D078A">
        <w:rPr>
          <w:rFonts w:ascii="Times New Roman" w:hAnsi="Times New Roman" w:cs="Times New Roman"/>
          <w:i/>
          <w:iCs/>
          <w:spacing w:val="-3"/>
          <w:sz w:val="20"/>
          <w:szCs w:val="20"/>
        </w:rPr>
        <w:t>Trusts &amp; Estates</w:t>
      </w:r>
      <w:r w:rsidR="00F4373F">
        <w:rPr>
          <w:rFonts w:ascii="Times New Roman" w:hAnsi="Times New Roman" w:cs="Times New Roman"/>
          <w:spacing w:val="-3"/>
          <w:sz w:val="20"/>
          <w:szCs w:val="20"/>
        </w:rPr>
        <w:t xml:space="preserve">. </w:t>
      </w:r>
      <w:r w:rsidRPr="009D078A">
        <w:rPr>
          <w:rFonts w:ascii="Times New Roman" w:hAnsi="Times New Roman" w:cs="Times New Roman"/>
          <w:spacing w:val="-3"/>
          <w:sz w:val="20"/>
          <w:szCs w:val="20"/>
        </w:rPr>
        <w:t xml:space="preserve">He has authored </w:t>
      </w:r>
      <w:r w:rsidRPr="009D078A">
        <w:rPr>
          <w:rFonts w:ascii="Times New Roman" w:hAnsi="Times New Roman" w:cs="Times New Roman"/>
          <w:i/>
          <w:iCs/>
          <w:spacing w:val="-3"/>
          <w:sz w:val="20"/>
          <w:szCs w:val="20"/>
        </w:rPr>
        <w:t xml:space="preserve">An Estate Planner’s Guide to Buy-Sell Agreements </w:t>
      </w:r>
      <w:r w:rsidRPr="009D078A">
        <w:rPr>
          <w:rFonts w:ascii="Times New Roman" w:hAnsi="Times New Roman" w:cs="Times New Roman"/>
          <w:iCs/>
          <w:spacing w:val="-3"/>
          <w:sz w:val="20"/>
          <w:szCs w:val="20"/>
        </w:rPr>
        <w:t>(1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and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i/>
          <w:iCs/>
          <w:spacing w:val="-3"/>
          <w:sz w:val="20"/>
          <w:szCs w:val="20"/>
        </w:rPr>
        <w:t xml:space="preserve">, An Estate Planner’s Guide to Life Insurance </w:t>
      </w:r>
      <w:r w:rsidRPr="009D078A">
        <w:rPr>
          <w:rFonts w:ascii="Times New Roman" w:hAnsi="Times New Roman" w:cs="Times New Roman"/>
          <w:iCs/>
          <w:spacing w:val="-3"/>
          <w:sz w:val="20"/>
          <w:szCs w:val="20"/>
        </w:rPr>
        <w:t>(1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and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i/>
          <w:iCs/>
          <w:spacing w:val="-3"/>
          <w:sz w:val="20"/>
          <w:szCs w:val="20"/>
        </w:rPr>
        <w:t xml:space="preserve">, </w:t>
      </w:r>
      <w:r w:rsidRPr="009D078A">
        <w:rPr>
          <w:rFonts w:ascii="Times New Roman" w:hAnsi="Times New Roman" w:cs="Times New Roman"/>
          <w:i/>
          <w:spacing w:val="-3"/>
          <w:sz w:val="20"/>
          <w:szCs w:val="20"/>
        </w:rPr>
        <w:t xml:space="preserve">An Estate Planner's Guide to Qualified Retirement Plan Benefits </w:t>
      </w:r>
      <w:r w:rsidRPr="009D078A">
        <w:rPr>
          <w:rFonts w:ascii="Times New Roman" w:hAnsi="Times New Roman" w:cs="Times New Roman"/>
          <w:spacing w:val="-3"/>
          <w:sz w:val="20"/>
          <w:szCs w:val="20"/>
        </w:rPr>
        <w:t>(1</w:t>
      </w:r>
      <w:r w:rsidRPr="009D078A">
        <w:rPr>
          <w:rFonts w:ascii="Times New Roman" w:hAnsi="Times New Roman" w:cs="Times New Roman"/>
          <w:spacing w:val="-3"/>
          <w:sz w:val="20"/>
          <w:szCs w:val="20"/>
          <w:vertAlign w:val="superscript"/>
        </w:rPr>
        <w:t>st</w:t>
      </w:r>
      <w:r w:rsidRPr="009D078A">
        <w:rPr>
          <w:rFonts w:ascii="Times New Roman" w:hAnsi="Times New Roman" w:cs="Times New Roman"/>
          <w:spacing w:val="-3"/>
          <w:sz w:val="20"/>
          <w:szCs w:val="20"/>
        </w:rPr>
        <w:t>, 2</w:t>
      </w:r>
      <w:r w:rsidRPr="009D078A">
        <w:rPr>
          <w:rFonts w:ascii="Times New Roman" w:hAnsi="Times New Roman" w:cs="Times New Roman"/>
          <w:spacing w:val="-3"/>
          <w:sz w:val="20"/>
          <w:szCs w:val="20"/>
          <w:vertAlign w:val="superscript"/>
        </w:rPr>
        <w:t>nd,</w:t>
      </w:r>
      <w:r w:rsidRPr="009D078A">
        <w:rPr>
          <w:rFonts w:ascii="Times New Roman" w:hAnsi="Times New Roman" w:cs="Times New Roman"/>
          <w:spacing w:val="-3"/>
          <w:sz w:val="20"/>
          <w:szCs w:val="20"/>
        </w:rPr>
        <w:t xml:space="preserve"> 3</w:t>
      </w:r>
      <w:r w:rsidRPr="009D078A">
        <w:rPr>
          <w:rFonts w:ascii="Times New Roman" w:hAnsi="Times New Roman" w:cs="Times New Roman"/>
          <w:spacing w:val="-3"/>
          <w:sz w:val="20"/>
          <w:szCs w:val="20"/>
          <w:vertAlign w:val="superscript"/>
        </w:rPr>
        <w:t xml:space="preserve">rd, </w:t>
      </w:r>
      <w:r w:rsidRPr="009D078A">
        <w:rPr>
          <w:rFonts w:ascii="Times New Roman" w:hAnsi="Times New Roman" w:cs="Times New Roman"/>
          <w:spacing w:val="-3"/>
          <w:sz w:val="20"/>
          <w:szCs w:val="20"/>
        </w:rPr>
        <w:t>and</w:t>
      </w:r>
      <w:r w:rsidRPr="009D078A">
        <w:rPr>
          <w:rFonts w:ascii="Times New Roman" w:hAnsi="Times New Roman" w:cs="Times New Roman"/>
          <w:spacing w:val="-3"/>
          <w:sz w:val="20"/>
          <w:szCs w:val="20"/>
          <w:vertAlign w:val="superscript"/>
        </w:rPr>
        <w:t xml:space="preserve"> </w:t>
      </w:r>
      <w:r w:rsidRPr="009D078A">
        <w:rPr>
          <w:rFonts w:ascii="Times New Roman" w:hAnsi="Times New Roman" w:cs="Times New Roman"/>
          <w:spacing w:val="-3"/>
          <w:sz w:val="20"/>
          <w:szCs w:val="20"/>
        </w:rPr>
        <w:t>4</w:t>
      </w:r>
      <w:r w:rsidRPr="009D078A">
        <w:rPr>
          <w:rFonts w:ascii="Times New Roman" w:hAnsi="Times New Roman" w:cs="Times New Roman"/>
          <w:spacing w:val="-3"/>
          <w:sz w:val="20"/>
          <w:szCs w:val="20"/>
          <w:vertAlign w:val="superscript"/>
        </w:rPr>
        <w:t>th</w:t>
      </w:r>
      <w:r w:rsidRPr="009D078A">
        <w:rPr>
          <w:rFonts w:ascii="Times New Roman" w:hAnsi="Times New Roman" w:cs="Times New Roman"/>
          <w:spacing w:val="-3"/>
          <w:sz w:val="20"/>
          <w:szCs w:val="20"/>
        </w:rPr>
        <w:t xml:space="preserve"> editions), </w:t>
      </w:r>
      <w:r w:rsidRPr="009D078A">
        <w:rPr>
          <w:rFonts w:ascii="Times New Roman" w:hAnsi="Times New Roman" w:cs="Times New Roman"/>
          <w:i/>
          <w:spacing w:val="-3"/>
          <w:sz w:val="20"/>
          <w:szCs w:val="20"/>
        </w:rPr>
        <w:t>An Estate Planner's Guide to Family Business Entities</w:t>
      </w:r>
      <w:r w:rsidRPr="009D078A">
        <w:rPr>
          <w:rFonts w:ascii="Times New Roman" w:hAnsi="Times New Roman" w:cs="Times New Roman"/>
          <w:iCs/>
          <w:spacing w:val="-3"/>
          <w:sz w:val="20"/>
          <w:szCs w:val="20"/>
        </w:rPr>
        <w:t xml:space="preserve"> (1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and 3</w:t>
      </w:r>
      <w:r w:rsidRPr="009D078A">
        <w:rPr>
          <w:rFonts w:ascii="Times New Roman" w:hAnsi="Times New Roman" w:cs="Times New Roman"/>
          <w:iCs/>
          <w:spacing w:val="-3"/>
          <w:sz w:val="20"/>
          <w:szCs w:val="20"/>
          <w:vertAlign w:val="superscript"/>
        </w:rPr>
        <w:t>rd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spacing w:val="-3"/>
          <w:sz w:val="20"/>
          <w:szCs w:val="20"/>
        </w:rPr>
        <w:t xml:space="preserve">, and </w:t>
      </w:r>
      <w:r w:rsidRPr="009D078A">
        <w:rPr>
          <w:rFonts w:ascii="Times New Roman" w:hAnsi="Times New Roman" w:cs="Times New Roman"/>
          <w:i/>
          <w:spacing w:val="-3"/>
          <w:sz w:val="20"/>
          <w:szCs w:val="20"/>
        </w:rPr>
        <w:t>Valuation Rules Under Chapter 14</w:t>
      </w:r>
      <w:r w:rsidRPr="009D078A">
        <w:rPr>
          <w:rFonts w:ascii="Times New Roman" w:hAnsi="Times New Roman" w:cs="Times New Roman"/>
          <w:spacing w:val="-3"/>
          <w:sz w:val="20"/>
          <w:szCs w:val="20"/>
        </w:rPr>
        <w:t xml:space="preserve">, all published by the American Bar Association Section of Real Property, Trust and Estate Law; co-authored </w:t>
      </w:r>
      <w:r w:rsidRPr="009D078A">
        <w:rPr>
          <w:rFonts w:ascii="Times New Roman" w:hAnsi="Times New Roman" w:cs="Times New Roman"/>
          <w:i/>
          <w:spacing w:val="-3"/>
          <w:sz w:val="20"/>
          <w:szCs w:val="20"/>
        </w:rPr>
        <w:t>Advising the Elderly Client</w:t>
      </w:r>
      <w:r w:rsidRPr="009D078A">
        <w:rPr>
          <w:rFonts w:ascii="Times New Roman" w:hAnsi="Times New Roman" w:cs="Times New Roman"/>
          <w:spacing w:val="-3"/>
          <w:sz w:val="20"/>
          <w:szCs w:val="20"/>
        </w:rPr>
        <w:t>, published by Clark Boardman Callaghan; authored</w:t>
      </w:r>
      <w:r w:rsidRPr="009D078A">
        <w:rPr>
          <w:rFonts w:ascii="Times New Roman" w:hAnsi="Times New Roman" w:cs="Times New Roman"/>
          <w:color w:val="000000"/>
          <w:sz w:val="20"/>
          <w:szCs w:val="20"/>
        </w:rPr>
        <w:t xml:space="preserve"> </w:t>
      </w:r>
      <w:r w:rsidRPr="009D078A">
        <w:rPr>
          <w:rFonts w:ascii="Times New Roman" w:hAnsi="Times New Roman" w:cs="Times New Roman"/>
          <w:i/>
          <w:color w:val="000000"/>
          <w:sz w:val="20"/>
          <w:szCs w:val="20"/>
        </w:rPr>
        <w:t>Transfers of Interests in Family Entities Under Chapter 14:  Sections 2701, 2703, and 2704</w:t>
      </w:r>
      <w:r w:rsidRPr="009D078A">
        <w:rPr>
          <w:rFonts w:ascii="Times New Roman" w:hAnsi="Times New Roman" w:cs="Times New Roman"/>
          <w:color w:val="000000"/>
          <w:sz w:val="20"/>
          <w:szCs w:val="20"/>
        </w:rPr>
        <w:t>, 835 Tax Management Portfolio (3</w:t>
      </w:r>
      <w:r w:rsidRPr="009D078A">
        <w:rPr>
          <w:rFonts w:ascii="Times New Roman" w:hAnsi="Times New Roman" w:cs="Times New Roman"/>
          <w:color w:val="000000"/>
          <w:sz w:val="20"/>
          <w:szCs w:val="20"/>
          <w:vertAlign w:val="superscript"/>
        </w:rPr>
        <w:t>rd</w:t>
      </w:r>
      <w:r w:rsidRPr="009D078A">
        <w:rPr>
          <w:rFonts w:ascii="Times New Roman" w:hAnsi="Times New Roman" w:cs="Times New Roman"/>
          <w:color w:val="000000"/>
          <w:sz w:val="20"/>
          <w:szCs w:val="20"/>
        </w:rPr>
        <w:t xml:space="preserve"> edition); </w:t>
      </w:r>
      <w:r w:rsidRPr="009D078A">
        <w:rPr>
          <w:rFonts w:ascii="Times New Roman" w:hAnsi="Times New Roman" w:cs="Times New Roman"/>
          <w:i/>
          <w:iCs/>
          <w:color w:val="000000"/>
          <w:sz w:val="20"/>
          <w:szCs w:val="20"/>
        </w:rPr>
        <w:t xml:space="preserve">The Mobile Client: Tax, Community Property, etc., </w:t>
      </w:r>
      <w:r w:rsidRPr="009D078A">
        <w:rPr>
          <w:rFonts w:ascii="Times New Roman" w:hAnsi="Times New Roman" w:cs="Times New Roman"/>
          <w:iCs/>
          <w:color w:val="000000"/>
          <w:sz w:val="20"/>
          <w:szCs w:val="20"/>
        </w:rPr>
        <w:t>803</w:t>
      </w:r>
      <w:r w:rsidRPr="009D078A">
        <w:rPr>
          <w:rFonts w:ascii="Times New Roman" w:hAnsi="Times New Roman" w:cs="Times New Roman"/>
          <w:color w:val="000000"/>
          <w:sz w:val="20"/>
          <w:szCs w:val="20"/>
        </w:rPr>
        <w:t xml:space="preserve"> Tax Management Portfolio</w:t>
      </w:r>
      <w:r w:rsidRPr="009D078A">
        <w:rPr>
          <w:rFonts w:ascii="Times New Roman" w:hAnsi="Times New Roman" w:cs="Times New Roman"/>
          <w:i/>
          <w:iCs/>
          <w:color w:val="000000"/>
          <w:sz w:val="20"/>
          <w:szCs w:val="20"/>
        </w:rPr>
        <w:t xml:space="preserve">; </w:t>
      </w:r>
      <w:r w:rsidRPr="009D078A">
        <w:rPr>
          <w:rFonts w:ascii="Times New Roman" w:hAnsi="Times New Roman" w:cs="Times New Roman"/>
          <w:i/>
          <w:iCs/>
          <w:spacing w:val="-3"/>
          <w:sz w:val="20"/>
          <w:szCs w:val="20"/>
        </w:rPr>
        <w:t>Estate Planning for Owners of Closely Held Business Interests</w:t>
      </w:r>
      <w:r w:rsidRPr="009D078A">
        <w:rPr>
          <w:rFonts w:ascii="Times New Roman" w:hAnsi="Times New Roman" w:cs="Times New Roman"/>
          <w:spacing w:val="-3"/>
          <w:sz w:val="20"/>
          <w:szCs w:val="20"/>
        </w:rPr>
        <w:t>, 809 Tax Management Portfolio (2</w:t>
      </w:r>
      <w:r w:rsidRPr="009D078A">
        <w:rPr>
          <w:rFonts w:ascii="Times New Roman" w:hAnsi="Times New Roman" w:cs="Times New Roman"/>
          <w:spacing w:val="-3"/>
          <w:sz w:val="20"/>
          <w:szCs w:val="20"/>
          <w:vertAlign w:val="superscript"/>
        </w:rPr>
        <w:t>nd</w:t>
      </w:r>
      <w:r w:rsidRPr="009D078A">
        <w:rPr>
          <w:rFonts w:ascii="Times New Roman" w:hAnsi="Times New Roman" w:cs="Times New Roman"/>
          <w:spacing w:val="-3"/>
          <w:sz w:val="20"/>
          <w:szCs w:val="20"/>
        </w:rPr>
        <w:t xml:space="preserve"> edition); </w:t>
      </w:r>
      <w:r w:rsidRPr="009D078A">
        <w:rPr>
          <w:rFonts w:ascii="Times New Roman" w:hAnsi="Times New Roman" w:cs="Times New Roman"/>
          <w:i/>
          <w:iCs/>
          <w:spacing w:val="-3"/>
          <w:sz w:val="20"/>
          <w:szCs w:val="20"/>
        </w:rPr>
        <w:t xml:space="preserve">Family </w:t>
      </w:r>
      <w:r w:rsidRPr="009D078A">
        <w:rPr>
          <w:rFonts w:ascii="Times New Roman" w:hAnsi="Times New Roman" w:cs="Times New Roman"/>
          <w:i/>
          <w:spacing w:val="-3"/>
          <w:sz w:val="20"/>
          <w:szCs w:val="20"/>
        </w:rPr>
        <w:t xml:space="preserve">Limited Partnerships and Limited Liability Companies, </w:t>
      </w:r>
      <w:r w:rsidRPr="009D078A">
        <w:rPr>
          <w:rFonts w:ascii="Times New Roman" w:hAnsi="Times New Roman" w:cs="Times New Roman"/>
          <w:spacing w:val="-3"/>
          <w:sz w:val="20"/>
          <w:szCs w:val="20"/>
        </w:rPr>
        <w:t xml:space="preserve">812 Tax Management Portfolio; </w:t>
      </w:r>
      <w:r w:rsidRPr="009D078A">
        <w:rPr>
          <w:rFonts w:ascii="Times New Roman" w:hAnsi="Times New Roman" w:cs="Times New Roman"/>
          <w:i/>
          <w:spacing w:val="-3"/>
          <w:sz w:val="20"/>
          <w:szCs w:val="20"/>
        </w:rPr>
        <w:t>Estate and Gift Tax Issues for Employee Benefit Plans</w:t>
      </w:r>
      <w:r w:rsidRPr="009D078A">
        <w:rPr>
          <w:rFonts w:ascii="Times New Roman" w:hAnsi="Times New Roman" w:cs="Times New Roman"/>
          <w:spacing w:val="-3"/>
          <w:sz w:val="20"/>
          <w:szCs w:val="20"/>
        </w:rPr>
        <w:t>, 378 Tax Management Portfolio (1</w:t>
      </w:r>
      <w:r w:rsidRPr="009D078A">
        <w:rPr>
          <w:rFonts w:ascii="Times New Roman" w:hAnsi="Times New Roman" w:cs="Times New Roman"/>
          <w:spacing w:val="-3"/>
          <w:sz w:val="20"/>
          <w:szCs w:val="20"/>
          <w:vertAlign w:val="superscript"/>
        </w:rPr>
        <w:t>st,</w:t>
      </w:r>
      <w:r w:rsidRPr="009D078A">
        <w:rPr>
          <w:rFonts w:ascii="Times New Roman" w:hAnsi="Times New Roman" w:cs="Times New Roman"/>
          <w:spacing w:val="-3"/>
          <w:sz w:val="20"/>
          <w:szCs w:val="20"/>
        </w:rPr>
        <w:t xml:space="preserve"> 2</w:t>
      </w:r>
      <w:r w:rsidRPr="009D078A">
        <w:rPr>
          <w:rFonts w:ascii="Times New Roman" w:hAnsi="Times New Roman" w:cs="Times New Roman"/>
          <w:spacing w:val="-3"/>
          <w:sz w:val="20"/>
          <w:szCs w:val="20"/>
          <w:vertAlign w:val="superscript"/>
        </w:rPr>
        <w:t xml:space="preserve">nd, </w:t>
      </w:r>
      <w:r w:rsidRPr="009D078A">
        <w:rPr>
          <w:rFonts w:ascii="Times New Roman" w:hAnsi="Times New Roman" w:cs="Times New Roman"/>
          <w:spacing w:val="-3"/>
          <w:sz w:val="20"/>
          <w:szCs w:val="20"/>
        </w:rPr>
        <w:t>and</w:t>
      </w:r>
      <w:r w:rsidRPr="009D078A">
        <w:rPr>
          <w:rFonts w:ascii="Times New Roman" w:hAnsi="Times New Roman" w:cs="Times New Roman"/>
          <w:spacing w:val="-3"/>
          <w:sz w:val="20"/>
          <w:szCs w:val="20"/>
          <w:vertAlign w:val="superscript"/>
        </w:rPr>
        <w:t xml:space="preserve"> </w:t>
      </w:r>
      <w:r w:rsidRPr="009D078A">
        <w:rPr>
          <w:rFonts w:ascii="Times New Roman" w:hAnsi="Times New Roman" w:cs="Times New Roman"/>
          <w:spacing w:val="-3"/>
          <w:sz w:val="20"/>
          <w:szCs w:val="20"/>
        </w:rPr>
        <w:t>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editions); </w:t>
      </w:r>
      <w:r w:rsidRPr="009D078A">
        <w:rPr>
          <w:rFonts w:ascii="Times New Roman" w:hAnsi="Times New Roman" w:cs="Times New Roman"/>
          <w:i/>
          <w:spacing w:val="-3"/>
          <w:sz w:val="20"/>
          <w:szCs w:val="20"/>
        </w:rPr>
        <w:t xml:space="preserve">Life Insurance, </w:t>
      </w:r>
      <w:r w:rsidRPr="009D078A">
        <w:rPr>
          <w:rFonts w:ascii="Times New Roman" w:hAnsi="Times New Roman" w:cs="Times New Roman"/>
          <w:spacing w:val="-3"/>
          <w:sz w:val="20"/>
          <w:szCs w:val="20"/>
        </w:rPr>
        <w:t>826-3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Tax Management Portfolio</w:t>
      </w:r>
      <w:r w:rsidRPr="009D078A">
        <w:rPr>
          <w:rFonts w:ascii="Times New Roman" w:hAnsi="Times New Roman" w:cs="Times New Roman"/>
          <w:i/>
          <w:spacing w:val="-3"/>
          <w:sz w:val="20"/>
          <w:szCs w:val="20"/>
        </w:rPr>
        <w:t xml:space="preserve"> </w:t>
      </w:r>
      <w:r w:rsidRPr="009D078A">
        <w:rPr>
          <w:rFonts w:ascii="Times New Roman" w:hAnsi="Times New Roman" w:cs="Times New Roman"/>
          <w:spacing w:val="-3"/>
          <w:sz w:val="20"/>
          <w:szCs w:val="20"/>
        </w:rPr>
        <w:t>(3rd edition)</w:t>
      </w:r>
      <w:r w:rsidRPr="009D078A">
        <w:rPr>
          <w:rFonts w:ascii="Times New Roman" w:hAnsi="Times New Roman" w:cs="Times New Roman"/>
          <w:i/>
          <w:spacing w:val="-3"/>
          <w:sz w:val="20"/>
          <w:szCs w:val="20"/>
        </w:rPr>
        <w:t xml:space="preserve">; </w:t>
      </w:r>
      <w:r w:rsidRPr="009D078A">
        <w:rPr>
          <w:rFonts w:ascii="Times New Roman" w:hAnsi="Times New Roman" w:cs="Times New Roman"/>
          <w:spacing w:val="-3"/>
          <w:sz w:val="20"/>
          <w:szCs w:val="20"/>
        </w:rPr>
        <w:t>and</w:t>
      </w:r>
      <w:r w:rsidRPr="009D078A">
        <w:rPr>
          <w:rFonts w:ascii="Times New Roman" w:hAnsi="Times New Roman" w:cs="Times New Roman"/>
          <w:i/>
          <w:spacing w:val="-3"/>
          <w:sz w:val="20"/>
          <w:szCs w:val="20"/>
        </w:rPr>
        <w:t xml:space="preserve"> Valuation of Corporate </w:t>
      </w:r>
      <w:r w:rsidRPr="009D078A">
        <w:rPr>
          <w:rFonts w:ascii="Times New Roman" w:hAnsi="Times New Roman" w:cs="Times New Roman"/>
          <w:spacing w:val="-3"/>
          <w:sz w:val="20"/>
          <w:szCs w:val="20"/>
        </w:rPr>
        <w:t>Stock, 831 Tax Management Portfolio (3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edition), all published by the Bureau of National Affairs, Inc.; and was editor and co-author of </w:t>
      </w:r>
      <w:r w:rsidRPr="009D078A">
        <w:rPr>
          <w:rFonts w:ascii="Times New Roman" w:hAnsi="Times New Roman" w:cs="Times New Roman"/>
          <w:i/>
          <w:spacing w:val="-3"/>
          <w:sz w:val="20"/>
          <w:szCs w:val="20"/>
        </w:rPr>
        <w:t>Limited Liability Companies in Virginia</w:t>
      </w:r>
      <w:r w:rsidRPr="009D078A">
        <w:rPr>
          <w:rFonts w:ascii="Times New Roman" w:hAnsi="Times New Roman" w:cs="Times New Roman"/>
          <w:spacing w:val="-3"/>
          <w:sz w:val="20"/>
          <w:szCs w:val="20"/>
        </w:rPr>
        <w:t xml:space="preserve">, published by the Virginia Law Foundation.  He has spoken at numerous tax and estate planning conferences, including the </w:t>
      </w:r>
      <w:proofErr w:type="spellStart"/>
      <w:r w:rsidRPr="009D078A">
        <w:rPr>
          <w:rFonts w:ascii="Times New Roman" w:hAnsi="Times New Roman" w:cs="Times New Roman"/>
          <w:spacing w:val="-3"/>
          <w:sz w:val="20"/>
          <w:szCs w:val="20"/>
        </w:rPr>
        <w:t>Heckerling</w:t>
      </w:r>
      <w:proofErr w:type="spellEnd"/>
      <w:r w:rsidRPr="009D078A">
        <w:rPr>
          <w:rFonts w:ascii="Times New Roman" w:hAnsi="Times New Roman" w:cs="Times New Roman"/>
          <w:spacing w:val="-3"/>
          <w:sz w:val="20"/>
          <w:szCs w:val="20"/>
        </w:rPr>
        <w:t xml:space="preserve"> Institute on Estate Planning, the University of Southern California Institute on Federal Taxation, the Notre Dame Estate Planning Conference, the Mid-America Tax Conference, the Heart of America Tax Conference, the William and Mary Tax Conference, and the Virginia Federal Tax Conference.</w:t>
      </w:r>
    </w:p>
    <w:p w14:paraId="04833F91" w14:textId="3EFCC709" w:rsidR="009D078A" w:rsidRPr="009D078A" w:rsidRDefault="009D078A" w:rsidP="009D078A">
      <w:pPr>
        <w:tabs>
          <w:tab w:val="left" w:pos="-720"/>
        </w:tabs>
        <w:suppressAutoHyphens/>
        <w:spacing w:line="276" w:lineRule="auto"/>
        <w:jc w:val="both"/>
        <w:rPr>
          <w:rFonts w:ascii="Times New Roman" w:hAnsi="Times New Roman" w:cs="Times New Roman"/>
          <w:spacing w:val="-3"/>
          <w:sz w:val="20"/>
          <w:szCs w:val="20"/>
        </w:rPr>
      </w:pPr>
      <w:proofErr w:type="spellStart"/>
      <w:r w:rsidRPr="009D078A">
        <w:rPr>
          <w:rFonts w:ascii="Times New Roman" w:hAnsi="Times New Roman" w:cs="Times New Roman"/>
          <w:spacing w:val="-3"/>
          <w:sz w:val="20"/>
          <w:szCs w:val="20"/>
        </w:rPr>
        <w:t>Mezzullo</w:t>
      </w:r>
      <w:proofErr w:type="spellEnd"/>
      <w:r w:rsidRPr="009D078A">
        <w:rPr>
          <w:rFonts w:ascii="Times New Roman" w:hAnsi="Times New Roman" w:cs="Times New Roman"/>
          <w:spacing w:val="-3"/>
          <w:sz w:val="20"/>
          <w:szCs w:val="20"/>
        </w:rPr>
        <w:t xml:space="preserve"> received his J.D. from the University of Richmond Law School, and a B.A. and M.A. from the University of Maryland.  He is a past Chair of the American College of Tax Counsel; a Fellow of the American Bar Foundation; a Fellow of the Virginia Law Foundation; a Past President of the American College of Trust and Estate Counsel, as well as former Chair of its Business Planning, Employee Benefits in Estate Planning, and Elder Law Committees; a Charter Fellow of the American College of Employee Benefits Counsel; an Academician and a former Vice President of the International Academy of Trust and Estate Law; and a member of the Virginia State Bar; California State Bar, and American Bar Association, a former Vice-chair of the ABA Section of Taxation, and a past Chair of the ABA Section of Real Property, Trust and Estate Law.</w:t>
      </w:r>
    </w:p>
    <w:p w14:paraId="06F07A64" w14:textId="1D5C0FD4" w:rsidR="009D078A" w:rsidRPr="009D078A" w:rsidRDefault="009D078A" w:rsidP="009D078A">
      <w:pPr>
        <w:tabs>
          <w:tab w:val="left" w:pos="-720"/>
        </w:tabs>
        <w:suppressAutoHyphens/>
        <w:spacing w:line="276" w:lineRule="auto"/>
        <w:jc w:val="both"/>
        <w:rPr>
          <w:rFonts w:ascii="Times New Roman" w:hAnsi="Times New Roman" w:cs="Times New Roman"/>
          <w:spacing w:val="-3"/>
          <w:sz w:val="20"/>
          <w:szCs w:val="20"/>
        </w:rPr>
      </w:pPr>
      <w:r w:rsidRPr="009D078A">
        <w:rPr>
          <w:rFonts w:ascii="Times New Roman" w:hAnsi="Times New Roman" w:cs="Times New Roman"/>
          <w:spacing w:val="-3"/>
          <w:sz w:val="20"/>
          <w:szCs w:val="20"/>
        </w:rPr>
        <w:t xml:space="preserve">He is also a member of the </w:t>
      </w:r>
      <w:proofErr w:type="spellStart"/>
      <w:r w:rsidRPr="009D078A">
        <w:rPr>
          <w:rFonts w:ascii="Times New Roman" w:hAnsi="Times New Roman" w:cs="Times New Roman"/>
          <w:spacing w:val="-3"/>
          <w:sz w:val="20"/>
          <w:szCs w:val="20"/>
        </w:rPr>
        <w:t>Heckerling</w:t>
      </w:r>
      <w:proofErr w:type="spellEnd"/>
      <w:r w:rsidRPr="009D078A">
        <w:rPr>
          <w:rFonts w:ascii="Times New Roman" w:hAnsi="Times New Roman" w:cs="Times New Roman"/>
          <w:spacing w:val="-3"/>
          <w:sz w:val="20"/>
          <w:szCs w:val="20"/>
        </w:rPr>
        <w:t xml:space="preserve"> Institute on Estate Planning Advisory Committee, former Chair of the University of Richmond Estate Planning Advisory Council, former President of the Trust Administrator's Council of Richmond, and former co-director of the Wi</w:t>
      </w:r>
      <w:r w:rsidR="00F4373F">
        <w:rPr>
          <w:rFonts w:ascii="Times New Roman" w:hAnsi="Times New Roman" w:cs="Times New Roman"/>
          <w:spacing w:val="-3"/>
          <w:sz w:val="20"/>
          <w:szCs w:val="20"/>
        </w:rPr>
        <w:t xml:space="preserve">lliam and Mary Tax Conference. </w:t>
      </w:r>
      <w:r w:rsidRPr="009D078A">
        <w:rPr>
          <w:rFonts w:ascii="Times New Roman" w:hAnsi="Times New Roman" w:cs="Times New Roman"/>
          <w:spacing w:val="-3"/>
          <w:sz w:val="20"/>
          <w:szCs w:val="20"/>
        </w:rPr>
        <w:t xml:space="preserve">He is a former member of the Editorial Boards of the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 xml:space="preserve"> the </w:t>
      </w:r>
      <w:r w:rsidRPr="009D078A">
        <w:rPr>
          <w:rFonts w:ascii="Times New Roman" w:hAnsi="Times New Roman" w:cs="Times New Roman"/>
          <w:i/>
          <w:spacing w:val="-3"/>
          <w:sz w:val="20"/>
          <w:szCs w:val="20"/>
        </w:rPr>
        <w:t xml:space="preserve">Journal of </w:t>
      </w:r>
      <w:proofErr w:type="spellStart"/>
      <w:r w:rsidRPr="009D078A">
        <w:rPr>
          <w:rFonts w:ascii="Times New Roman" w:hAnsi="Times New Roman" w:cs="Times New Roman"/>
          <w:i/>
          <w:spacing w:val="-3"/>
          <w:sz w:val="20"/>
          <w:szCs w:val="20"/>
        </w:rPr>
        <w:t>Passthrough</w:t>
      </w:r>
      <w:proofErr w:type="spellEnd"/>
      <w:r w:rsidRPr="009D078A">
        <w:rPr>
          <w:rFonts w:ascii="Times New Roman" w:hAnsi="Times New Roman" w:cs="Times New Roman"/>
          <w:i/>
          <w:spacing w:val="-3"/>
          <w:sz w:val="20"/>
          <w:szCs w:val="20"/>
        </w:rPr>
        <w:t xml:space="preserve"> Entities, </w:t>
      </w:r>
      <w:r w:rsidRPr="009D078A">
        <w:rPr>
          <w:rFonts w:ascii="Times New Roman" w:hAnsi="Times New Roman" w:cs="Times New Roman"/>
          <w:spacing w:val="-3"/>
          <w:sz w:val="20"/>
          <w:szCs w:val="20"/>
        </w:rPr>
        <w:t xml:space="preserve">and </w:t>
      </w:r>
      <w:r w:rsidRPr="009D078A">
        <w:rPr>
          <w:rFonts w:ascii="Times New Roman" w:hAnsi="Times New Roman" w:cs="Times New Roman"/>
          <w:i/>
          <w:spacing w:val="-3"/>
          <w:sz w:val="20"/>
          <w:szCs w:val="20"/>
        </w:rPr>
        <w:t>Trusts &amp; Estates</w:t>
      </w:r>
      <w:r w:rsidRPr="009D078A">
        <w:rPr>
          <w:rFonts w:ascii="Times New Roman" w:hAnsi="Times New Roman" w:cs="Times New Roman"/>
          <w:spacing w:val="-3"/>
          <w:sz w:val="20"/>
          <w:szCs w:val="20"/>
        </w:rPr>
        <w:t xml:space="preserve"> magazine</w:t>
      </w:r>
      <w:r w:rsidRPr="009D078A">
        <w:rPr>
          <w:rFonts w:ascii="Times New Roman" w:hAnsi="Times New Roman" w:cs="Times New Roman"/>
          <w:i/>
          <w:spacing w:val="-3"/>
          <w:sz w:val="20"/>
          <w:szCs w:val="20"/>
        </w:rPr>
        <w:t>,</w:t>
      </w:r>
      <w:r w:rsidRPr="009D078A">
        <w:rPr>
          <w:rFonts w:ascii="Times New Roman" w:hAnsi="Times New Roman" w:cs="Times New Roman"/>
          <w:spacing w:val="-3"/>
          <w:sz w:val="20"/>
          <w:szCs w:val="20"/>
        </w:rPr>
        <w:t xml:space="preserve"> and former editor of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w:t>
      </w:r>
    </w:p>
    <w:p w14:paraId="3BF75A2A" w14:textId="376D92DE" w:rsidR="0023358C" w:rsidRPr="009D078A" w:rsidRDefault="009D078A" w:rsidP="009D078A">
      <w:pPr>
        <w:spacing w:line="276" w:lineRule="auto"/>
        <w:rPr>
          <w:rFonts w:ascii="Times New Roman" w:hAnsi="Times New Roman" w:cs="Times New Roman"/>
          <w:color w:val="FF0000"/>
          <w:sz w:val="20"/>
          <w:szCs w:val="20"/>
        </w:rPr>
      </w:pPr>
      <w:proofErr w:type="spellStart"/>
      <w:r w:rsidRPr="009D078A">
        <w:rPr>
          <w:rFonts w:ascii="Times New Roman" w:hAnsi="Times New Roman" w:cs="Times New Roman"/>
          <w:sz w:val="20"/>
          <w:szCs w:val="20"/>
        </w:rPr>
        <w:t>Mezzullo</w:t>
      </w:r>
      <w:proofErr w:type="spellEnd"/>
      <w:r w:rsidRPr="009D078A">
        <w:rPr>
          <w:rFonts w:ascii="Times New Roman" w:hAnsi="Times New Roman" w:cs="Times New Roman"/>
          <w:sz w:val="20"/>
          <w:szCs w:val="20"/>
        </w:rPr>
        <w:t xml:space="preserve"> is a member of the Board of Directors of t</w:t>
      </w:r>
      <w:r w:rsidR="00F4373F">
        <w:rPr>
          <w:rFonts w:ascii="Times New Roman" w:hAnsi="Times New Roman" w:cs="Times New Roman"/>
          <w:sz w:val="20"/>
          <w:szCs w:val="20"/>
        </w:rPr>
        <w:t xml:space="preserve">he Rancho Santa Fe Foundation. </w:t>
      </w:r>
      <w:r w:rsidRPr="009D078A">
        <w:rPr>
          <w:rFonts w:ascii="Times New Roman" w:hAnsi="Times New Roman" w:cs="Times New Roman"/>
          <w:sz w:val="20"/>
          <w:szCs w:val="20"/>
        </w:rPr>
        <w:t>He was also a former member of the Board of Associates of the University of Richmond and former Chair of the Business Council of the Virginia Museum of Fine Arts and a former member of the Board of Directors of the Virginia M</w:t>
      </w:r>
      <w:r w:rsidR="00F4373F">
        <w:rPr>
          <w:rFonts w:ascii="Times New Roman" w:hAnsi="Times New Roman" w:cs="Times New Roman"/>
          <w:sz w:val="20"/>
          <w:szCs w:val="20"/>
        </w:rPr>
        <w:t xml:space="preserve">useum of Fine Arts Foundation. </w:t>
      </w:r>
      <w:r w:rsidRPr="009D078A">
        <w:rPr>
          <w:rFonts w:ascii="Times New Roman" w:hAnsi="Times New Roman" w:cs="Times New Roman"/>
          <w:sz w:val="20"/>
          <w:szCs w:val="20"/>
        </w:rPr>
        <w:t>He is a former member of the Board of Directors of the San Diego YMCA and of the San D</w:t>
      </w:r>
      <w:r w:rsidR="00F4373F">
        <w:rPr>
          <w:rFonts w:ascii="Times New Roman" w:hAnsi="Times New Roman" w:cs="Times New Roman"/>
          <w:sz w:val="20"/>
          <w:szCs w:val="20"/>
        </w:rPr>
        <w:t xml:space="preserve">iego Opera. </w:t>
      </w:r>
      <w:r w:rsidRPr="009D078A">
        <w:rPr>
          <w:rFonts w:ascii="Times New Roman" w:hAnsi="Times New Roman" w:cs="Times New Roman"/>
          <w:sz w:val="20"/>
          <w:szCs w:val="20"/>
        </w:rPr>
        <w:t xml:space="preserve">He is a former member of the Advisory Committee of the Virginia Opera, and a former member </w:t>
      </w:r>
      <w:r w:rsidRPr="009D078A">
        <w:rPr>
          <w:rFonts w:ascii="Times New Roman" w:hAnsi="Times New Roman" w:cs="Times New Roman"/>
          <w:spacing w:val="-3"/>
          <w:sz w:val="20"/>
          <w:szCs w:val="20"/>
        </w:rPr>
        <w:t>of</w:t>
      </w:r>
      <w:r w:rsidRPr="009D078A">
        <w:rPr>
          <w:rFonts w:ascii="Times New Roman" w:hAnsi="Times New Roman" w:cs="Times New Roman"/>
          <w:sz w:val="20"/>
          <w:szCs w:val="20"/>
        </w:rPr>
        <w:t xml:space="preserve"> the Board of Directors of the American Heart Association, Virginia Affiliate, the Richmond Symphony, the Richmond Ballet, and Willow Oaks Country Clu</w:t>
      </w:r>
      <w:r w:rsidR="00F4373F">
        <w:rPr>
          <w:rFonts w:ascii="Times New Roman" w:hAnsi="Times New Roman" w:cs="Times New Roman"/>
          <w:sz w:val="20"/>
          <w:szCs w:val="20"/>
        </w:rPr>
        <w:t xml:space="preserve">b. </w:t>
      </w:r>
      <w:r w:rsidRPr="009D078A">
        <w:rPr>
          <w:rFonts w:ascii="Times New Roman" w:hAnsi="Times New Roman" w:cs="Times New Roman"/>
          <w:sz w:val="20"/>
          <w:szCs w:val="20"/>
        </w:rPr>
        <w:t>He was also President of the Southampton Citizens Association in 1972, and from 1985 to 1987.</w:t>
      </w:r>
      <w:bookmarkEnd w:id="0"/>
    </w:p>
    <w:sectPr w:rsidR="0023358C" w:rsidRPr="009D078A" w:rsidSect="005A2D95">
      <w:pgSz w:w="12240" w:h="15840"/>
      <w:pgMar w:top="1080" w:right="108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267D3"/>
    <w:rsid w:val="0023358C"/>
    <w:rsid w:val="00244787"/>
    <w:rsid w:val="00291730"/>
    <w:rsid w:val="002E4D83"/>
    <w:rsid w:val="004C45C1"/>
    <w:rsid w:val="005A2D95"/>
    <w:rsid w:val="00640A70"/>
    <w:rsid w:val="008418FE"/>
    <w:rsid w:val="00971F86"/>
    <w:rsid w:val="00982EC1"/>
    <w:rsid w:val="009B0F38"/>
    <w:rsid w:val="009D078A"/>
    <w:rsid w:val="00BC23E8"/>
    <w:rsid w:val="00CB2985"/>
    <w:rsid w:val="00F01B41"/>
    <w:rsid w:val="00F4373F"/>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8C39-DC93-4BC3-AE4F-97BD2412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2017-05-09T15:19:00Z</dcterms:created>
  <dcterms:modified xsi:type="dcterms:W3CDTF">2017-08-18T18:42:00Z</dcterms:modified>
</cp:coreProperties>
</file>