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A88C2" w14:textId="77777777" w:rsidR="000D7A9E" w:rsidRPr="0012446C" w:rsidRDefault="000D7A9E" w:rsidP="00654E4B">
      <w:pPr>
        <w:spacing w:after="0" w:line="240" w:lineRule="auto"/>
        <w:jc w:val="center"/>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Steven K. Mignogna</w:t>
      </w:r>
    </w:p>
    <w:p w14:paraId="34C738EE" w14:textId="77777777" w:rsidR="000D7A9E" w:rsidRPr="0012446C" w:rsidRDefault="000D7A9E" w:rsidP="00654E4B">
      <w:pPr>
        <w:spacing w:after="0" w:line="240" w:lineRule="auto"/>
        <w:jc w:val="center"/>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Archer &amp; Greiner P.C.</w:t>
      </w:r>
    </w:p>
    <w:p w14:paraId="54A36C35" w14:textId="67A6F8AB" w:rsidR="00291730" w:rsidRPr="0012446C" w:rsidRDefault="000D7A9E" w:rsidP="00654E4B">
      <w:pPr>
        <w:spacing w:after="0" w:line="240" w:lineRule="auto"/>
        <w:jc w:val="center"/>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Haddonfield</w:t>
      </w:r>
      <w:r w:rsidR="0023358C" w:rsidRPr="0012446C">
        <w:rPr>
          <w:rFonts w:ascii="Times New Roman" w:hAnsi="Times New Roman" w:cs="Times New Roman"/>
          <w:color w:val="000000" w:themeColor="text1"/>
          <w:sz w:val="20"/>
          <w:szCs w:val="20"/>
        </w:rPr>
        <w:t xml:space="preserve">, </w:t>
      </w:r>
      <w:r w:rsidRPr="0012446C">
        <w:rPr>
          <w:rFonts w:ascii="Times New Roman" w:hAnsi="Times New Roman" w:cs="Times New Roman"/>
          <w:color w:val="000000" w:themeColor="text1"/>
          <w:sz w:val="20"/>
          <w:szCs w:val="20"/>
        </w:rPr>
        <w:t>New Jersey</w:t>
      </w:r>
    </w:p>
    <w:p w14:paraId="1C7B22E5" w14:textId="77777777" w:rsidR="00291730" w:rsidRPr="0012446C" w:rsidRDefault="00291730" w:rsidP="00291730">
      <w:pPr>
        <w:spacing w:line="240" w:lineRule="auto"/>
        <w:jc w:val="center"/>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________________________________</w:t>
      </w:r>
    </w:p>
    <w:p w14:paraId="3AF66569" w14:textId="77777777" w:rsidR="00291730" w:rsidRPr="0012446C" w:rsidRDefault="00291730" w:rsidP="00291730">
      <w:pPr>
        <w:jc w:val="both"/>
        <w:rPr>
          <w:rFonts w:ascii="Times New Roman" w:hAnsi="Times New Roman" w:cs="Times New Roman"/>
          <w:b/>
          <w:color w:val="000000" w:themeColor="text1"/>
          <w:sz w:val="20"/>
          <w:szCs w:val="20"/>
          <w:u w:val="single"/>
        </w:rPr>
      </w:pPr>
    </w:p>
    <w:p w14:paraId="0ADB6CD6" w14:textId="311FBFD5" w:rsidR="003B13EB"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Steven K. Mignogna, Esquire, is a shareholder with Archer &amp; Greine</w:t>
      </w:r>
      <w:r w:rsidR="000D3DC4">
        <w:rPr>
          <w:rFonts w:ascii="Times New Roman" w:hAnsi="Times New Roman" w:cs="Times New Roman"/>
          <w:color w:val="000000" w:themeColor="text1"/>
          <w:sz w:val="20"/>
          <w:szCs w:val="20"/>
        </w:rPr>
        <w:t xml:space="preserve">r, A Professional Corporation. </w:t>
      </w:r>
      <w:r w:rsidRPr="0012446C">
        <w:rPr>
          <w:rFonts w:ascii="Times New Roman" w:hAnsi="Times New Roman" w:cs="Times New Roman"/>
          <w:color w:val="000000" w:themeColor="text1"/>
          <w:sz w:val="20"/>
          <w:szCs w:val="20"/>
        </w:rPr>
        <w:t>He specializes in commercial litigation, with a concentration on litigation involving probate matters, estates, trusts, gifts, fiduciaries, g</w:t>
      </w:r>
      <w:r w:rsidR="000D3DC4">
        <w:rPr>
          <w:rFonts w:ascii="Times New Roman" w:hAnsi="Times New Roman" w:cs="Times New Roman"/>
          <w:color w:val="000000" w:themeColor="text1"/>
          <w:sz w:val="20"/>
          <w:szCs w:val="20"/>
        </w:rPr>
        <w:t xml:space="preserve">uardianships, and real estate. </w:t>
      </w:r>
      <w:r w:rsidRPr="0012446C">
        <w:rPr>
          <w:rFonts w:ascii="Times New Roman" w:hAnsi="Times New Roman" w:cs="Times New Roman"/>
          <w:color w:val="000000" w:themeColor="text1"/>
          <w:sz w:val="20"/>
          <w:szCs w:val="20"/>
        </w:rPr>
        <w:t>He is Co-Chair of the firm’s Estates and Trusts Department and Chair of the Estate and Trust Litigation Group.</w:t>
      </w:r>
    </w:p>
    <w:p w14:paraId="0C7C54D0" w14:textId="77777777" w:rsidR="00707719" w:rsidRPr="0012446C" w:rsidRDefault="00707719" w:rsidP="005333E3">
      <w:pPr>
        <w:spacing w:line="360" w:lineRule="auto"/>
        <w:jc w:val="both"/>
        <w:rPr>
          <w:rFonts w:ascii="Times New Roman" w:hAnsi="Times New Roman" w:cs="Times New Roman"/>
          <w:color w:val="000000" w:themeColor="text1"/>
          <w:sz w:val="20"/>
          <w:szCs w:val="20"/>
        </w:rPr>
      </w:pPr>
    </w:p>
    <w:p w14:paraId="1EEB0471" w14:textId="200E5A78" w:rsidR="003B13EB"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 has lectured and pub</w:t>
      </w:r>
      <w:r w:rsidR="000D3DC4">
        <w:rPr>
          <w:rFonts w:ascii="Times New Roman" w:hAnsi="Times New Roman" w:cs="Times New Roman"/>
          <w:color w:val="000000" w:themeColor="text1"/>
          <w:sz w:val="20"/>
          <w:szCs w:val="20"/>
        </w:rPr>
        <w:t xml:space="preserve">lished locally and nationally. </w:t>
      </w:r>
      <w:r w:rsidRPr="0012446C">
        <w:rPr>
          <w:rFonts w:ascii="Times New Roman" w:hAnsi="Times New Roman" w:cs="Times New Roman"/>
          <w:color w:val="000000" w:themeColor="text1"/>
          <w:sz w:val="20"/>
          <w:szCs w:val="20"/>
        </w:rPr>
        <w:t xml:space="preserve">For example, he has lectured and published for the New Jersey Bar Association, the New Jersey Institute for Continuing Legal Education, the Heckerling Institute, the National College of Probate Judges, the American Law Institute Continuing Legal Education Group, the American Bar Association, the Duke University Estate Planning Conference, the Delaware Trust Conference, and Estate Planning Councils around the country.  He authors the treatise, </w:t>
      </w:r>
      <w:r w:rsidRPr="0012446C">
        <w:rPr>
          <w:rFonts w:ascii="Times New Roman" w:hAnsi="Times New Roman" w:cs="Times New Roman"/>
          <w:i/>
          <w:color w:val="000000" w:themeColor="text1"/>
          <w:sz w:val="20"/>
          <w:szCs w:val="20"/>
        </w:rPr>
        <w:t>Estate and Trust Litigation</w:t>
      </w:r>
      <w:r w:rsidRPr="0012446C">
        <w:rPr>
          <w:rFonts w:ascii="Times New Roman" w:hAnsi="Times New Roman" w:cs="Times New Roman"/>
          <w:color w:val="000000" w:themeColor="text1"/>
          <w:sz w:val="20"/>
          <w:szCs w:val="20"/>
        </w:rPr>
        <w:t xml:space="preserve">, and is the editor and contributing author of </w:t>
      </w:r>
      <w:r w:rsidRPr="0012446C">
        <w:rPr>
          <w:rFonts w:ascii="Times New Roman" w:hAnsi="Times New Roman" w:cs="Times New Roman"/>
          <w:i/>
          <w:color w:val="000000" w:themeColor="text1"/>
          <w:sz w:val="20"/>
          <w:szCs w:val="20"/>
        </w:rPr>
        <w:t>The New Jersey Estate Planning Manual</w:t>
      </w:r>
      <w:r w:rsidRPr="0012446C">
        <w:rPr>
          <w:rFonts w:ascii="Times New Roman" w:hAnsi="Times New Roman" w:cs="Times New Roman"/>
          <w:color w:val="000000" w:themeColor="text1"/>
          <w:sz w:val="20"/>
          <w:szCs w:val="20"/>
        </w:rPr>
        <w:t xml:space="preserve"> and </w:t>
      </w:r>
      <w:r w:rsidRPr="0012446C">
        <w:rPr>
          <w:rFonts w:ascii="Times New Roman" w:hAnsi="Times New Roman" w:cs="Times New Roman"/>
          <w:i/>
          <w:color w:val="000000" w:themeColor="text1"/>
          <w:sz w:val="20"/>
          <w:szCs w:val="20"/>
        </w:rPr>
        <w:t>New Jersey Probate Procedures Manual</w:t>
      </w:r>
      <w:r w:rsidRPr="0012446C">
        <w:rPr>
          <w:rFonts w:ascii="Times New Roman" w:hAnsi="Times New Roman" w:cs="Times New Roman"/>
          <w:color w:val="000000" w:themeColor="text1"/>
          <w:sz w:val="20"/>
          <w:szCs w:val="20"/>
        </w:rPr>
        <w:t xml:space="preserve">, all published by the New Jersey Institute for Continuing Legal Education.   </w:t>
      </w:r>
    </w:p>
    <w:p w14:paraId="18CE5D0C" w14:textId="77777777" w:rsidR="00707719" w:rsidRPr="0012446C" w:rsidRDefault="00707719" w:rsidP="005333E3">
      <w:pPr>
        <w:spacing w:line="360" w:lineRule="auto"/>
        <w:jc w:val="both"/>
        <w:rPr>
          <w:rFonts w:ascii="Times New Roman" w:hAnsi="Times New Roman" w:cs="Times New Roman"/>
          <w:color w:val="000000" w:themeColor="text1"/>
          <w:sz w:val="20"/>
          <w:szCs w:val="20"/>
        </w:rPr>
      </w:pPr>
    </w:p>
    <w:p w14:paraId="39162D75" w14:textId="7B6590CE" w:rsidR="003B13EB"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 is active in a wide array of professional asso</w:t>
      </w:r>
      <w:r w:rsidR="000D3DC4">
        <w:rPr>
          <w:rFonts w:ascii="Times New Roman" w:hAnsi="Times New Roman" w:cs="Times New Roman"/>
          <w:color w:val="000000" w:themeColor="text1"/>
          <w:sz w:val="20"/>
          <w:szCs w:val="20"/>
        </w:rPr>
        <w:t xml:space="preserve">ciations. </w:t>
      </w:r>
      <w:r w:rsidRPr="0012446C">
        <w:rPr>
          <w:rFonts w:ascii="Times New Roman" w:hAnsi="Times New Roman" w:cs="Times New Roman"/>
          <w:color w:val="000000" w:themeColor="text1"/>
          <w:sz w:val="20"/>
          <w:szCs w:val="20"/>
        </w:rPr>
        <w:t>He is a Fellow of the American College of Tru</w:t>
      </w:r>
      <w:r w:rsidR="000D3DC4">
        <w:rPr>
          <w:rFonts w:ascii="Times New Roman" w:hAnsi="Times New Roman" w:cs="Times New Roman"/>
          <w:color w:val="000000" w:themeColor="text1"/>
          <w:sz w:val="20"/>
          <w:szCs w:val="20"/>
        </w:rPr>
        <w:t xml:space="preserve">st and Estate Counsel (ACTEC). </w:t>
      </w:r>
      <w:r w:rsidRPr="0012446C">
        <w:rPr>
          <w:rFonts w:ascii="Times New Roman" w:hAnsi="Times New Roman" w:cs="Times New Roman"/>
          <w:color w:val="000000" w:themeColor="text1"/>
          <w:sz w:val="20"/>
          <w:szCs w:val="20"/>
        </w:rPr>
        <w:t>He is a member of ACTEC’s Fiduciary Litigation Committee, and its Subcommittee on Fiduciary S</w:t>
      </w:r>
      <w:r w:rsidR="000D3DC4">
        <w:rPr>
          <w:rFonts w:ascii="Times New Roman" w:hAnsi="Times New Roman" w:cs="Times New Roman"/>
          <w:color w:val="000000" w:themeColor="text1"/>
          <w:sz w:val="20"/>
          <w:szCs w:val="20"/>
        </w:rPr>
        <w:t xml:space="preserve">urcharge and Damages/Remedies. </w:t>
      </w:r>
      <w:r w:rsidRPr="0012446C">
        <w:rPr>
          <w:rFonts w:ascii="Times New Roman" w:hAnsi="Times New Roman" w:cs="Times New Roman"/>
          <w:color w:val="000000" w:themeColor="text1"/>
          <w:sz w:val="20"/>
          <w:szCs w:val="20"/>
        </w:rPr>
        <w:t xml:space="preserve">He is also a member of ACTEC’s Professional Responsibility Committee. </w:t>
      </w:r>
    </w:p>
    <w:p w14:paraId="3FD452A7" w14:textId="77777777" w:rsidR="00707719" w:rsidRPr="0012446C" w:rsidRDefault="00707719" w:rsidP="005333E3">
      <w:pPr>
        <w:spacing w:line="360" w:lineRule="auto"/>
        <w:jc w:val="both"/>
        <w:rPr>
          <w:rFonts w:ascii="Times New Roman" w:hAnsi="Times New Roman" w:cs="Times New Roman"/>
          <w:color w:val="000000" w:themeColor="text1"/>
          <w:sz w:val="20"/>
          <w:szCs w:val="20"/>
        </w:rPr>
      </w:pPr>
    </w:p>
    <w:p w14:paraId="22DAA325" w14:textId="0ECD8194" w:rsidR="003B13EB"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He is Chair of the Alternative Dispute Resolution Committee in the Litigation, Ethics and Malpractice Group of the American Bar Association’s Real Property,</w:t>
      </w:r>
      <w:r w:rsidR="000D3DC4">
        <w:rPr>
          <w:rFonts w:ascii="Times New Roman" w:hAnsi="Times New Roman" w:cs="Times New Roman"/>
          <w:color w:val="000000" w:themeColor="text1"/>
          <w:sz w:val="20"/>
          <w:szCs w:val="20"/>
        </w:rPr>
        <w:t xml:space="preserve"> Trust and Estate Law Section. </w:t>
      </w:r>
      <w:r w:rsidRPr="0012446C">
        <w:rPr>
          <w:rFonts w:ascii="Times New Roman" w:hAnsi="Times New Roman" w:cs="Times New Roman"/>
          <w:color w:val="000000" w:themeColor="text1"/>
          <w:sz w:val="20"/>
          <w:szCs w:val="20"/>
        </w:rPr>
        <w:t>He previously served as Chair and Vice Chair of that Group, and as Vice Chair and then Chair of the Probate and Fiduciary Litig</w:t>
      </w:r>
      <w:r w:rsidR="000D3DC4">
        <w:rPr>
          <w:rFonts w:ascii="Times New Roman" w:hAnsi="Times New Roman" w:cs="Times New Roman"/>
          <w:color w:val="000000" w:themeColor="text1"/>
          <w:sz w:val="20"/>
          <w:szCs w:val="20"/>
        </w:rPr>
        <w:t xml:space="preserve">ation Committee in that Group. </w:t>
      </w:r>
      <w:r w:rsidRPr="0012446C">
        <w:rPr>
          <w:rFonts w:ascii="Times New Roman" w:hAnsi="Times New Roman" w:cs="Times New Roman"/>
          <w:color w:val="000000" w:themeColor="text1"/>
          <w:sz w:val="20"/>
          <w:szCs w:val="20"/>
        </w:rPr>
        <w:t>Moreover, Steve is a Senior Fellow of the Litigation Counsel of America, a national honor</w:t>
      </w:r>
      <w:r w:rsidR="000D3DC4">
        <w:rPr>
          <w:rFonts w:ascii="Times New Roman" w:hAnsi="Times New Roman" w:cs="Times New Roman"/>
          <w:color w:val="000000" w:themeColor="text1"/>
          <w:sz w:val="20"/>
          <w:szCs w:val="20"/>
        </w:rPr>
        <w:t xml:space="preserve">ary society for trial lawyers. </w:t>
      </w:r>
      <w:r w:rsidRPr="0012446C">
        <w:rPr>
          <w:rFonts w:ascii="Times New Roman" w:hAnsi="Times New Roman" w:cs="Times New Roman"/>
          <w:color w:val="000000" w:themeColor="text1"/>
          <w:sz w:val="20"/>
          <w:szCs w:val="20"/>
        </w:rPr>
        <w:t xml:space="preserve">Finally, he has been selected regularly for various “top lawyer” lists and several editions of </w:t>
      </w:r>
      <w:r w:rsidRPr="0012446C">
        <w:rPr>
          <w:rFonts w:ascii="Times New Roman" w:hAnsi="Times New Roman" w:cs="Times New Roman"/>
          <w:i/>
          <w:color w:val="000000" w:themeColor="text1"/>
          <w:sz w:val="20"/>
          <w:szCs w:val="20"/>
        </w:rPr>
        <w:t>The Best Lawyers in America</w:t>
      </w:r>
      <w:r w:rsidRPr="0012446C">
        <w:rPr>
          <w:rFonts w:ascii="Times New Roman" w:hAnsi="Times New Roman" w:cs="Times New Roman"/>
          <w:color w:val="000000" w:themeColor="text1"/>
          <w:sz w:val="20"/>
          <w:szCs w:val="20"/>
        </w:rPr>
        <w:t>.</w:t>
      </w:r>
    </w:p>
    <w:p w14:paraId="4F739A79" w14:textId="77777777" w:rsidR="00707719" w:rsidRPr="0012446C" w:rsidRDefault="00707719" w:rsidP="005333E3">
      <w:pPr>
        <w:spacing w:line="360" w:lineRule="auto"/>
        <w:jc w:val="both"/>
        <w:rPr>
          <w:rFonts w:ascii="Times New Roman" w:hAnsi="Times New Roman" w:cs="Times New Roman"/>
          <w:color w:val="000000" w:themeColor="text1"/>
          <w:sz w:val="20"/>
          <w:szCs w:val="20"/>
        </w:rPr>
      </w:pPr>
    </w:p>
    <w:p w14:paraId="38B17A6A" w14:textId="62058BD1" w:rsidR="003B13EB"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 has represented both</w:t>
      </w:r>
      <w:r w:rsidR="000D3DC4">
        <w:rPr>
          <w:rFonts w:ascii="Times New Roman" w:hAnsi="Times New Roman" w:cs="Times New Roman"/>
          <w:color w:val="000000" w:themeColor="text1"/>
          <w:sz w:val="20"/>
          <w:szCs w:val="20"/>
        </w:rPr>
        <w:t xml:space="preserve"> institutions and individuals. </w:t>
      </w:r>
      <w:r w:rsidRPr="0012446C">
        <w:rPr>
          <w:rFonts w:ascii="Times New Roman" w:hAnsi="Times New Roman" w:cs="Times New Roman"/>
          <w:color w:val="000000" w:themeColor="text1"/>
          <w:sz w:val="20"/>
          <w:szCs w:val="20"/>
        </w:rPr>
        <w:t xml:space="preserve">The institutions include banks, corporate fiduciaries, investment companies, educational and charitable institutions, real estate firms, </w:t>
      </w:r>
      <w:r w:rsidR="000D3DC4">
        <w:rPr>
          <w:rFonts w:ascii="Times New Roman" w:hAnsi="Times New Roman" w:cs="Times New Roman"/>
          <w:color w:val="000000" w:themeColor="text1"/>
          <w:sz w:val="20"/>
          <w:szCs w:val="20"/>
        </w:rPr>
        <w:t xml:space="preserve">and title insurance companies. </w:t>
      </w:r>
      <w:r w:rsidRPr="0012446C">
        <w:rPr>
          <w:rFonts w:ascii="Times New Roman" w:hAnsi="Times New Roman" w:cs="Times New Roman"/>
          <w:color w:val="000000" w:themeColor="text1"/>
          <w:sz w:val="20"/>
          <w:szCs w:val="20"/>
        </w:rPr>
        <w:t>The individuals include the beneficiaries of estates and trusts, executors, trustees, guardians, incapacitated persons, surviving spouses, investors, realtors, and persons havin</w:t>
      </w:r>
      <w:r w:rsidR="000D3DC4">
        <w:rPr>
          <w:rFonts w:ascii="Times New Roman" w:hAnsi="Times New Roman" w:cs="Times New Roman"/>
          <w:color w:val="000000" w:themeColor="text1"/>
          <w:sz w:val="20"/>
          <w:szCs w:val="20"/>
        </w:rPr>
        <w:t xml:space="preserve">g an interest in real estate. </w:t>
      </w:r>
      <w:r w:rsidRPr="0012446C">
        <w:rPr>
          <w:rFonts w:ascii="Times New Roman" w:hAnsi="Times New Roman" w:cs="Times New Roman"/>
          <w:color w:val="000000" w:themeColor="text1"/>
          <w:sz w:val="20"/>
          <w:szCs w:val="20"/>
        </w:rPr>
        <w:t>He has handled an assortment of cases in the state and federal courts, at both the trial and appellate levels.</w:t>
      </w:r>
    </w:p>
    <w:p w14:paraId="20F9EA94" w14:textId="77777777" w:rsidR="00707719" w:rsidRPr="0012446C" w:rsidRDefault="00707719" w:rsidP="005333E3">
      <w:pPr>
        <w:spacing w:line="360" w:lineRule="auto"/>
        <w:jc w:val="both"/>
        <w:rPr>
          <w:rFonts w:ascii="Times New Roman" w:hAnsi="Times New Roman" w:cs="Times New Roman"/>
          <w:color w:val="000000" w:themeColor="text1"/>
          <w:sz w:val="20"/>
          <w:szCs w:val="20"/>
        </w:rPr>
      </w:pPr>
    </w:p>
    <w:p w14:paraId="0BB20249" w14:textId="4EFACB8F" w:rsidR="003B13EB"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lastRenderedPageBreak/>
        <w:t>He is admitted to the bars of the state and federal courts o</w:t>
      </w:r>
      <w:r w:rsidR="000D3DC4">
        <w:rPr>
          <w:rFonts w:ascii="Times New Roman" w:hAnsi="Times New Roman" w:cs="Times New Roman"/>
          <w:color w:val="000000" w:themeColor="text1"/>
          <w:sz w:val="20"/>
          <w:szCs w:val="20"/>
        </w:rPr>
        <w:t xml:space="preserve">f New Jersey and Pennsylvania. </w:t>
      </w:r>
      <w:r w:rsidRPr="0012446C">
        <w:rPr>
          <w:rFonts w:ascii="Times New Roman" w:hAnsi="Times New Roman" w:cs="Times New Roman"/>
          <w:color w:val="000000" w:themeColor="text1"/>
          <w:sz w:val="20"/>
          <w:szCs w:val="20"/>
        </w:rPr>
        <w:t>He is also admitted to practice before the Third Circuit Court of Appeals and the United States Supreme Court.</w:t>
      </w:r>
    </w:p>
    <w:p w14:paraId="2EA8E258" w14:textId="77777777" w:rsidR="00707719" w:rsidRPr="0012446C" w:rsidRDefault="00707719" w:rsidP="005333E3">
      <w:pPr>
        <w:spacing w:line="360" w:lineRule="auto"/>
        <w:jc w:val="both"/>
        <w:rPr>
          <w:rFonts w:ascii="Times New Roman" w:hAnsi="Times New Roman" w:cs="Times New Roman"/>
          <w:color w:val="000000" w:themeColor="text1"/>
          <w:sz w:val="20"/>
          <w:szCs w:val="20"/>
        </w:rPr>
      </w:pPr>
      <w:bookmarkStart w:id="0" w:name="_GoBack"/>
      <w:bookmarkEnd w:id="0"/>
    </w:p>
    <w:p w14:paraId="470E72D3" w14:textId="4478C3D9" w:rsidR="003B13EB" w:rsidRPr="0012446C" w:rsidRDefault="003B13EB" w:rsidP="005333E3">
      <w:pPr>
        <w:spacing w:line="360" w:lineRule="auto"/>
        <w:jc w:val="both"/>
        <w:rPr>
          <w:rFonts w:ascii="Times New Roman" w:hAnsi="Times New Roman" w:cs="Times New Roman"/>
          <w:color w:val="000000" w:themeColor="text1"/>
          <w:sz w:val="20"/>
          <w:szCs w:val="20"/>
        </w:rPr>
      </w:pPr>
      <w:r w:rsidRPr="0012446C">
        <w:rPr>
          <w:rFonts w:ascii="Times New Roman" w:hAnsi="Times New Roman" w:cs="Times New Roman"/>
          <w:color w:val="000000" w:themeColor="text1"/>
          <w:sz w:val="20"/>
          <w:szCs w:val="20"/>
        </w:rPr>
        <w:t>Steve has been an attorney since 1989 and has been with Archer &amp; Greiner since 1988, when he j</w:t>
      </w:r>
      <w:r w:rsidR="000D3DC4">
        <w:rPr>
          <w:rFonts w:ascii="Times New Roman" w:hAnsi="Times New Roman" w:cs="Times New Roman"/>
          <w:color w:val="000000" w:themeColor="text1"/>
          <w:sz w:val="20"/>
          <w:szCs w:val="20"/>
        </w:rPr>
        <w:t xml:space="preserve">oined the firm as a law clerk. </w:t>
      </w:r>
      <w:r w:rsidRPr="0012446C">
        <w:rPr>
          <w:rFonts w:ascii="Times New Roman" w:hAnsi="Times New Roman" w:cs="Times New Roman"/>
          <w:color w:val="000000" w:themeColor="text1"/>
          <w:sz w:val="20"/>
          <w:szCs w:val="20"/>
        </w:rPr>
        <w:t>He earned his law degree from Rutgers Uni</w:t>
      </w:r>
      <w:r w:rsidR="000D3DC4">
        <w:rPr>
          <w:rFonts w:ascii="Times New Roman" w:hAnsi="Times New Roman" w:cs="Times New Roman"/>
          <w:color w:val="000000" w:themeColor="text1"/>
          <w:sz w:val="20"/>
          <w:szCs w:val="20"/>
        </w:rPr>
        <w:t xml:space="preserve">versity School of Law. </w:t>
      </w:r>
      <w:r w:rsidRPr="0012446C">
        <w:rPr>
          <w:rFonts w:ascii="Times New Roman" w:hAnsi="Times New Roman" w:cs="Times New Roman"/>
          <w:color w:val="000000" w:themeColor="text1"/>
          <w:sz w:val="20"/>
          <w:szCs w:val="20"/>
        </w:rPr>
        <w:t xml:space="preserve">He obtained his Bachelor’s Degree in English from St. Joseph’s University </w:t>
      </w:r>
      <w:r w:rsidR="000D3DC4">
        <w:rPr>
          <w:rFonts w:ascii="Times New Roman" w:hAnsi="Times New Roman" w:cs="Times New Roman"/>
          <w:color w:val="000000" w:themeColor="text1"/>
          <w:sz w:val="20"/>
          <w:szCs w:val="20"/>
        </w:rPr>
        <w:t xml:space="preserve">in Philadelphia, Pennsylvania. </w:t>
      </w:r>
      <w:r w:rsidRPr="0012446C">
        <w:rPr>
          <w:rFonts w:ascii="Times New Roman" w:hAnsi="Times New Roman" w:cs="Times New Roman"/>
          <w:color w:val="000000" w:themeColor="text1"/>
          <w:sz w:val="20"/>
          <w:szCs w:val="20"/>
        </w:rPr>
        <w:t xml:space="preserve">He received a wide array of awards and recognitions upon completion of both college and law school.  </w:t>
      </w:r>
    </w:p>
    <w:sectPr w:rsidR="003B13EB" w:rsidRPr="0012446C" w:rsidSect="005333E3">
      <w:pgSz w:w="12240" w:h="15840"/>
      <w:pgMar w:top="144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D3DC4"/>
    <w:rsid w:val="000D7A9E"/>
    <w:rsid w:val="000E3A75"/>
    <w:rsid w:val="000F676A"/>
    <w:rsid w:val="0012446C"/>
    <w:rsid w:val="0023358C"/>
    <w:rsid w:val="00244787"/>
    <w:rsid w:val="00291730"/>
    <w:rsid w:val="002E4D83"/>
    <w:rsid w:val="003B13EB"/>
    <w:rsid w:val="00442861"/>
    <w:rsid w:val="004C45C1"/>
    <w:rsid w:val="005333E3"/>
    <w:rsid w:val="00640A70"/>
    <w:rsid w:val="00654E4B"/>
    <w:rsid w:val="00707719"/>
    <w:rsid w:val="008418FE"/>
    <w:rsid w:val="00971F86"/>
    <w:rsid w:val="009B0F38"/>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8F246-1864-9C46-BDDE-9873CA4F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490</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9</cp:revision>
  <cp:lastPrinted>2016-11-29T20:32:00Z</cp:lastPrinted>
  <dcterms:created xsi:type="dcterms:W3CDTF">2017-05-16T18:49:00Z</dcterms:created>
  <dcterms:modified xsi:type="dcterms:W3CDTF">2017-12-19T03:25:00Z</dcterms:modified>
</cp:coreProperties>
</file>