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E92F0" w14:textId="77777777" w:rsidR="00B71048" w:rsidRPr="00B71048" w:rsidRDefault="00B71048" w:rsidP="005002B2">
      <w:pPr>
        <w:spacing w:after="0" w:line="240" w:lineRule="auto"/>
        <w:jc w:val="center"/>
        <w:rPr>
          <w:rFonts w:ascii="Times New Roman" w:hAnsi="Times New Roman" w:cs="Times New Roman"/>
          <w:color w:val="000000" w:themeColor="text1"/>
          <w:sz w:val="20"/>
          <w:szCs w:val="20"/>
        </w:rPr>
      </w:pPr>
      <w:bookmarkStart w:id="0" w:name="_GoBack"/>
      <w:bookmarkEnd w:id="0"/>
      <w:r w:rsidRPr="00B71048">
        <w:rPr>
          <w:rFonts w:ascii="Times New Roman" w:hAnsi="Times New Roman" w:cs="Times New Roman"/>
          <w:color w:val="000000" w:themeColor="text1"/>
          <w:sz w:val="20"/>
          <w:szCs w:val="20"/>
        </w:rPr>
        <w:t>Barry F. Spivey</w:t>
      </w:r>
    </w:p>
    <w:p w14:paraId="4781D4EA" w14:textId="77777777" w:rsidR="00B71048" w:rsidRPr="00B71048" w:rsidRDefault="00B71048" w:rsidP="005002B2">
      <w:pPr>
        <w:spacing w:after="0" w:line="240" w:lineRule="auto"/>
        <w:jc w:val="center"/>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Spivey &amp; Fallon, P.A.</w:t>
      </w:r>
    </w:p>
    <w:p w14:paraId="54A36C35" w14:textId="6877BC24" w:rsidR="00291730" w:rsidRPr="00B71048" w:rsidRDefault="00B71048" w:rsidP="005002B2">
      <w:pPr>
        <w:spacing w:after="0" w:line="240" w:lineRule="auto"/>
        <w:jc w:val="center"/>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Sarasota</w:t>
      </w:r>
      <w:r w:rsidR="00B10043" w:rsidRPr="00B71048">
        <w:rPr>
          <w:rFonts w:ascii="Times New Roman" w:hAnsi="Times New Roman" w:cs="Times New Roman"/>
          <w:color w:val="000000" w:themeColor="text1"/>
          <w:sz w:val="20"/>
          <w:szCs w:val="20"/>
        </w:rPr>
        <w:t xml:space="preserve">, </w:t>
      </w:r>
      <w:r w:rsidRPr="00B71048">
        <w:rPr>
          <w:rFonts w:ascii="Times New Roman" w:hAnsi="Times New Roman" w:cs="Times New Roman"/>
          <w:color w:val="000000" w:themeColor="text1"/>
          <w:sz w:val="20"/>
          <w:szCs w:val="20"/>
        </w:rPr>
        <w:t>Florida</w:t>
      </w:r>
    </w:p>
    <w:p w14:paraId="1C7B22E5" w14:textId="77777777" w:rsidR="00291730" w:rsidRPr="00B71048" w:rsidRDefault="00291730" w:rsidP="00291730">
      <w:pPr>
        <w:spacing w:line="240" w:lineRule="auto"/>
        <w:jc w:val="center"/>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________________________________</w:t>
      </w:r>
    </w:p>
    <w:p w14:paraId="3AF66569" w14:textId="77777777" w:rsidR="00291730" w:rsidRPr="00B71048" w:rsidRDefault="00291730" w:rsidP="00291730">
      <w:pPr>
        <w:jc w:val="both"/>
        <w:rPr>
          <w:rFonts w:ascii="Times New Roman" w:hAnsi="Times New Roman" w:cs="Times New Roman"/>
          <w:b/>
          <w:color w:val="000000" w:themeColor="text1"/>
          <w:sz w:val="20"/>
          <w:szCs w:val="20"/>
          <w:u w:val="single"/>
        </w:rPr>
      </w:pPr>
    </w:p>
    <w:p w14:paraId="3D875B7B" w14:textId="77777777" w:rsidR="00B71048" w:rsidRPr="00B71048" w:rsidRDefault="00B71048" w:rsidP="00B71048">
      <w:pPr>
        <w:spacing w:line="360" w:lineRule="auto"/>
        <w:jc w:val="both"/>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Barry F. Spivey is a shareholder in the law firm of Spivey &amp; Fallon, P.A., in Sarasota, Florida. He is a graduate of Stetson University (B.A., 1967) and received his law degree from Stetson University College of Law (J.D. cum laude, 1970). He has practiced law in Sarasota since 1972, almost exclusively in the area of estate planning, the administration of trusts and estates, and related litigation and appeals.</w:t>
      </w:r>
    </w:p>
    <w:p w14:paraId="39F76022" w14:textId="77777777" w:rsidR="00B71048" w:rsidRPr="00B71048" w:rsidRDefault="00B71048" w:rsidP="00B71048">
      <w:pPr>
        <w:spacing w:line="360" w:lineRule="auto"/>
        <w:jc w:val="both"/>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Barry has been Board Certified by The Florida Bar in the area of Wills, Trusts, and Estates Law since 1986. He is a Fellow of the American College of Trust and Estate Counsel (ACTEC) and a member of its Fiduciary Litigation Committee. He is a member of the Executive Council of the Real Property Probate &amp; Trust Law Section of the Florida Bar (1993-present), a member of its Probate and Trust Litigation Committee, its Probate Law and Procedure Committee, and its Trust Law Committee, which he chaired from 2006-2010. He is a recipient of the Section’s William S. Belcher Lifetime Professionalism Award. He has served as chair of that Section’s Legislation Committee and currently chairs the Section’s Ad Hoc Jurisdiction and Service of Process Committee. Barry formerly served as a member of the Probate and Guardianship Rules Committee of the Florida Bar, as a member and chair of the Wills, Trusts and Estates Certification Committee of the Florida Bar, and as a member of the Ad Hoc Trust Code Revision Committee of the RPPTL Section for adoption of the Florida Trust Code.</w:t>
      </w:r>
    </w:p>
    <w:p w14:paraId="5D1010F5" w14:textId="5479AF8E" w:rsidR="00B71048" w:rsidRPr="00B71048" w:rsidRDefault="00B71048" w:rsidP="00B71048">
      <w:pPr>
        <w:spacing w:line="360" w:lineRule="auto"/>
        <w:jc w:val="both"/>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 xml:space="preserve">Barry has lectured frequently for the Florida Bar on the subjects of judicial and nonjudicial trust modification, reformation, decanting, litigation under the Florida Trust Code, virtual representation, trust situs and choice of law, guardianship litigation and other litigation and non-litigation topics. He is the author and reviser since 1998 of Chapter 3 of the Florida Bar CLE manual, </w:t>
      </w:r>
      <w:r w:rsidRPr="00B71048">
        <w:rPr>
          <w:rFonts w:ascii="Times New Roman" w:hAnsi="Times New Roman" w:cs="Times New Roman"/>
          <w:color w:val="000000" w:themeColor="text1"/>
          <w:sz w:val="20"/>
          <w:szCs w:val="20"/>
          <w:u w:val="single"/>
        </w:rPr>
        <w:t>Administration of Trusts in Florida</w:t>
      </w:r>
      <w:r w:rsidRPr="00B71048">
        <w:rPr>
          <w:rFonts w:ascii="Times New Roman" w:hAnsi="Times New Roman" w:cs="Times New Roman"/>
          <w:color w:val="000000" w:themeColor="text1"/>
          <w:sz w:val="20"/>
          <w:szCs w:val="20"/>
        </w:rPr>
        <w:t xml:space="preserve">, titled “Resignation, Removal, and Appointment of Successor Trustees;” the author of “Completed Transactions, Qualified Reformations and </w:t>
      </w:r>
      <w:r w:rsidRPr="00B71048">
        <w:rPr>
          <w:rFonts w:ascii="Times New Roman" w:hAnsi="Times New Roman" w:cs="Times New Roman"/>
          <w:i/>
          <w:color w:val="000000" w:themeColor="text1"/>
          <w:sz w:val="20"/>
          <w:szCs w:val="20"/>
        </w:rPr>
        <w:t>Bosch</w:t>
      </w:r>
      <w:r w:rsidRPr="00B71048">
        <w:rPr>
          <w:rFonts w:ascii="Times New Roman" w:hAnsi="Times New Roman" w:cs="Times New Roman"/>
          <w:color w:val="000000" w:themeColor="text1"/>
          <w:sz w:val="20"/>
          <w:szCs w:val="20"/>
        </w:rPr>
        <w:t xml:space="preserve">:  When Does the IRS Care About State Law of Trust Reformation?” 26 </w:t>
      </w:r>
      <w:r w:rsidRPr="00B71048">
        <w:rPr>
          <w:rFonts w:ascii="Times New Roman" w:hAnsi="Times New Roman" w:cs="Times New Roman"/>
          <w:color w:val="000000" w:themeColor="text1"/>
          <w:sz w:val="20"/>
          <w:szCs w:val="20"/>
          <w:u w:val="single"/>
        </w:rPr>
        <w:t>ACTEC Notes</w:t>
      </w:r>
      <w:r w:rsidRPr="00B71048">
        <w:rPr>
          <w:rFonts w:ascii="Times New Roman" w:hAnsi="Times New Roman" w:cs="Times New Roman"/>
          <w:color w:val="000000" w:themeColor="text1"/>
          <w:sz w:val="20"/>
          <w:szCs w:val="20"/>
        </w:rPr>
        <w:t xml:space="preserve"> 289; and “Post-Death Confidentiality of Estate Planning Communications Between Attorney and Client,” </w:t>
      </w:r>
      <w:r w:rsidRPr="00B71048">
        <w:rPr>
          <w:rFonts w:ascii="Times New Roman" w:hAnsi="Times New Roman" w:cs="Times New Roman"/>
          <w:color w:val="000000" w:themeColor="text1"/>
          <w:sz w:val="20"/>
          <w:szCs w:val="20"/>
          <w:u w:val="single"/>
        </w:rPr>
        <w:t>The Florida Bar Journal</w:t>
      </w:r>
      <w:r w:rsidRPr="00B71048">
        <w:rPr>
          <w:rFonts w:ascii="Times New Roman" w:hAnsi="Times New Roman" w:cs="Times New Roman"/>
          <w:color w:val="000000" w:themeColor="text1"/>
          <w:sz w:val="20"/>
          <w:szCs w:val="20"/>
        </w:rPr>
        <w:t>, (April 2003).</w:t>
      </w:r>
    </w:p>
    <w:p w14:paraId="37BE3054" w14:textId="77777777" w:rsidR="00B71048" w:rsidRPr="00B71048" w:rsidRDefault="00B71048" w:rsidP="00B71048">
      <w:pPr>
        <w:spacing w:line="360" w:lineRule="auto"/>
        <w:jc w:val="both"/>
        <w:rPr>
          <w:rFonts w:ascii="Times New Roman" w:hAnsi="Times New Roman" w:cs="Times New Roman"/>
          <w:color w:val="000000" w:themeColor="text1"/>
          <w:sz w:val="20"/>
          <w:szCs w:val="20"/>
        </w:rPr>
      </w:pPr>
      <w:r w:rsidRPr="00B71048">
        <w:rPr>
          <w:rFonts w:ascii="Times New Roman" w:hAnsi="Times New Roman" w:cs="Times New Roman"/>
          <w:color w:val="000000" w:themeColor="text1"/>
          <w:sz w:val="20"/>
          <w:szCs w:val="20"/>
        </w:rPr>
        <w:t>Barry currently has a keen interest in the use and misuse of nonjudicial settlement agreements under the Uniform Trust Code.</w:t>
      </w:r>
    </w:p>
    <w:p w14:paraId="3BF75A2A" w14:textId="51A3CCDE" w:rsidR="0023358C" w:rsidRPr="00BA1870" w:rsidRDefault="0023358C" w:rsidP="002C42C8">
      <w:pPr>
        <w:spacing w:line="360" w:lineRule="auto"/>
        <w:jc w:val="both"/>
        <w:rPr>
          <w:rFonts w:ascii="Times New Roman" w:hAnsi="Times New Roman" w:cs="Times New Roman"/>
          <w:color w:val="FF0000"/>
          <w:sz w:val="20"/>
          <w:szCs w:val="20"/>
        </w:rPr>
      </w:pPr>
    </w:p>
    <w:sectPr w:rsidR="0023358C" w:rsidRPr="00BA1870"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40ADA"/>
    <w:rsid w:val="004C45C1"/>
    <w:rsid w:val="005002B2"/>
    <w:rsid w:val="00640A70"/>
    <w:rsid w:val="007C45ED"/>
    <w:rsid w:val="008418FE"/>
    <w:rsid w:val="00971F86"/>
    <w:rsid w:val="009B0F38"/>
    <w:rsid w:val="009F22BF"/>
    <w:rsid w:val="00B10043"/>
    <w:rsid w:val="00B71048"/>
    <w:rsid w:val="00BA1870"/>
    <w:rsid w:val="00CB2985"/>
    <w:rsid w:val="00EA12E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B144-0C8D-4A16-8285-C0261124E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2118</Characters>
  <Application>Microsoft Office Word</Application>
  <DocSecurity>0</DocSecurity>
  <Lines>32</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2017-05-18T18:34:00Z</dcterms:created>
  <dcterms:modified xsi:type="dcterms:W3CDTF">2017-08-22T19:28:00Z</dcterms:modified>
</cp:coreProperties>
</file>