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E92F0" w14:textId="77777777" w:rsidR="00B71048" w:rsidRPr="00B71048" w:rsidRDefault="00B71048" w:rsidP="005002B2">
      <w:pPr>
        <w:spacing w:after="0" w:line="240" w:lineRule="auto"/>
        <w:jc w:val="center"/>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Barry F. Spivey</w:t>
      </w:r>
    </w:p>
    <w:p w14:paraId="4781D4EA" w14:textId="77777777" w:rsidR="00B71048" w:rsidRPr="00B71048" w:rsidRDefault="00B71048" w:rsidP="005002B2">
      <w:pPr>
        <w:spacing w:after="0" w:line="240" w:lineRule="auto"/>
        <w:jc w:val="center"/>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Spivey &amp; Fallon, P.A.</w:t>
      </w:r>
    </w:p>
    <w:p w14:paraId="54A36C35" w14:textId="6877BC24" w:rsidR="00291730" w:rsidRPr="00B71048" w:rsidRDefault="00B71048" w:rsidP="005002B2">
      <w:pPr>
        <w:spacing w:after="0" w:line="240" w:lineRule="auto"/>
        <w:jc w:val="center"/>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Sarasota</w:t>
      </w:r>
      <w:r w:rsidR="00B10043" w:rsidRPr="00B71048">
        <w:rPr>
          <w:rFonts w:ascii="Times New Roman" w:hAnsi="Times New Roman" w:cs="Times New Roman"/>
          <w:color w:val="000000" w:themeColor="text1"/>
          <w:sz w:val="20"/>
          <w:szCs w:val="20"/>
        </w:rPr>
        <w:t xml:space="preserve">, </w:t>
      </w:r>
      <w:r w:rsidRPr="00B71048">
        <w:rPr>
          <w:rFonts w:ascii="Times New Roman" w:hAnsi="Times New Roman" w:cs="Times New Roman"/>
          <w:color w:val="000000" w:themeColor="text1"/>
          <w:sz w:val="20"/>
          <w:szCs w:val="20"/>
        </w:rPr>
        <w:t>Florida</w:t>
      </w:r>
    </w:p>
    <w:p w14:paraId="1C7B22E5" w14:textId="77777777" w:rsidR="00291730" w:rsidRPr="00B71048" w:rsidRDefault="00291730" w:rsidP="00291730">
      <w:pPr>
        <w:spacing w:line="240" w:lineRule="auto"/>
        <w:jc w:val="center"/>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________________________________</w:t>
      </w:r>
    </w:p>
    <w:p w14:paraId="3AF66569" w14:textId="77777777" w:rsidR="00291730" w:rsidRPr="00B71048" w:rsidRDefault="00291730" w:rsidP="00291730">
      <w:pPr>
        <w:jc w:val="both"/>
        <w:rPr>
          <w:rFonts w:ascii="Times New Roman" w:hAnsi="Times New Roman" w:cs="Times New Roman"/>
          <w:b/>
          <w:color w:val="000000" w:themeColor="text1"/>
          <w:sz w:val="20"/>
          <w:szCs w:val="20"/>
          <w:u w:val="single"/>
        </w:rPr>
      </w:pPr>
    </w:p>
    <w:p w14:paraId="3D875B7B" w14:textId="77777777" w:rsidR="00B71048" w:rsidRDefault="00B71048" w:rsidP="00B7104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Barry F. Spivey is a shareholder in the law firm of Spivey &amp; Fallon, P.A., in Sarasota, Florida. He is a graduate of Stetson University (B.A., 1967) and received his law degree from Stetson University College of Law (J.D. cum laude, 1970). He has practiced law in Sarasota since 1972, almost exclusively in the area of estate planning, the administration of trusts and estates, and related litigation and appeals.</w:t>
      </w:r>
    </w:p>
    <w:p w14:paraId="4F6C59AD" w14:textId="77777777" w:rsidR="00D04717" w:rsidRPr="00B71048" w:rsidRDefault="00D04717" w:rsidP="00B71048">
      <w:pPr>
        <w:spacing w:line="360" w:lineRule="auto"/>
        <w:jc w:val="both"/>
        <w:rPr>
          <w:rFonts w:ascii="Times New Roman" w:hAnsi="Times New Roman" w:cs="Times New Roman"/>
          <w:color w:val="000000" w:themeColor="text1"/>
          <w:sz w:val="20"/>
          <w:szCs w:val="20"/>
        </w:rPr>
      </w:pPr>
    </w:p>
    <w:p w14:paraId="39F76022" w14:textId="77777777" w:rsidR="00B71048" w:rsidRDefault="00B71048" w:rsidP="00B7104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Barry has been Board Certified by The Florida Bar in the area of Wills, Trusts, and Estates Law since 1986. He is a Fellow of the American College of Trust and Estate Counsel (ACTEC) and a member of its Fiduciary Litigation Committee. He is a member of the Executive Council of the Real Property Probate &amp; Trust Law Section of the Florida Bar (1993-present), a member of its Probate and Trust Litigation Committee, its Probate Law and Procedure Committee, and its Trust Law Committee, which he chaired from 2006-2010. He is a recipient of the Section’s William S. Belcher Lifetime Professionalism Award. He has served as chair of that Section’s Legislation Committee and currently chairs the Section’s Ad Hoc Jurisdiction and Service of Process Committee. Barry formerly served as a member of the Probate and Guardianship Rules Committee of the Florida Bar, as a member and chair of the Wills, Trusts and Estates Certification Committee of the Florida Bar, and as a member of the Ad Hoc Trust Code Revision Committee of the RPPTL Section for adoption of the Florida Trust Code.</w:t>
      </w:r>
    </w:p>
    <w:p w14:paraId="0AB91CBD" w14:textId="77777777" w:rsidR="00D04717" w:rsidRPr="00B71048" w:rsidRDefault="00D04717" w:rsidP="00B71048">
      <w:pPr>
        <w:spacing w:line="360" w:lineRule="auto"/>
        <w:jc w:val="both"/>
        <w:rPr>
          <w:rFonts w:ascii="Times New Roman" w:hAnsi="Times New Roman" w:cs="Times New Roman"/>
          <w:color w:val="000000" w:themeColor="text1"/>
          <w:sz w:val="20"/>
          <w:szCs w:val="20"/>
        </w:rPr>
      </w:pPr>
    </w:p>
    <w:p w14:paraId="5D1010F5" w14:textId="5479AF8E" w:rsidR="00B71048" w:rsidRDefault="00B71048" w:rsidP="00B7104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 xml:space="preserve">Barry has lectured frequently for the Florida Bar on the subjects of judicial and nonjudicial trust modification, reformation, decanting, litigation under the Florida Trust Code, virtual representation, trust situs and choice of law, guardianship litigation and other litigation and non-litigation topics. He is the author and reviser since 1998 of Chapter 3 of the Florida Bar CLE manual, </w:t>
      </w:r>
      <w:r w:rsidRPr="00B71048">
        <w:rPr>
          <w:rFonts w:ascii="Times New Roman" w:hAnsi="Times New Roman" w:cs="Times New Roman"/>
          <w:color w:val="000000" w:themeColor="text1"/>
          <w:sz w:val="20"/>
          <w:szCs w:val="20"/>
          <w:u w:val="single"/>
        </w:rPr>
        <w:t>Administration of Trusts in Florida</w:t>
      </w:r>
      <w:r w:rsidRPr="00B71048">
        <w:rPr>
          <w:rFonts w:ascii="Times New Roman" w:hAnsi="Times New Roman" w:cs="Times New Roman"/>
          <w:color w:val="000000" w:themeColor="text1"/>
          <w:sz w:val="20"/>
          <w:szCs w:val="20"/>
        </w:rPr>
        <w:t xml:space="preserve">, titled “Resignation, Removal, and Appointment of Successor Trustees;” the author of “Completed Transactions, Qualified Reformations and </w:t>
      </w:r>
      <w:r w:rsidRPr="00B71048">
        <w:rPr>
          <w:rFonts w:ascii="Times New Roman" w:hAnsi="Times New Roman" w:cs="Times New Roman"/>
          <w:i/>
          <w:color w:val="000000" w:themeColor="text1"/>
          <w:sz w:val="20"/>
          <w:szCs w:val="20"/>
        </w:rPr>
        <w:t>Bosch</w:t>
      </w:r>
      <w:r w:rsidRPr="00B71048">
        <w:rPr>
          <w:rFonts w:ascii="Times New Roman" w:hAnsi="Times New Roman" w:cs="Times New Roman"/>
          <w:color w:val="000000" w:themeColor="text1"/>
          <w:sz w:val="20"/>
          <w:szCs w:val="20"/>
        </w:rPr>
        <w:t xml:space="preserve">:  When Does the IRS Care About State Law of Trust Reformation?” 26 </w:t>
      </w:r>
      <w:r w:rsidRPr="00B71048">
        <w:rPr>
          <w:rFonts w:ascii="Times New Roman" w:hAnsi="Times New Roman" w:cs="Times New Roman"/>
          <w:color w:val="000000" w:themeColor="text1"/>
          <w:sz w:val="20"/>
          <w:szCs w:val="20"/>
          <w:u w:val="single"/>
        </w:rPr>
        <w:t>ACTEC Notes</w:t>
      </w:r>
      <w:r w:rsidRPr="00B71048">
        <w:rPr>
          <w:rFonts w:ascii="Times New Roman" w:hAnsi="Times New Roman" w:cs="Times New Roman"/>
          <w:color w:val="000000" w:themeColor="text1"/>
          <w:sz w:val="20"/>
          <w:szCs w:val="20"/>
        </w:rPr>
        <w:t xml:space="preserve"> 289; and “Post-Death Confidentiality of Estate Planning Communications Between Attorney and Client,” </w:t>
      </w:r>
      <w:r w:rsidRPr="00B71048">
        <w:rPr>
          <w:rFonts w:ascii="Times New Roman" w:hAnsi="Times New Roman" w:cs="Times New Roman"/>
          <w:color w:val="000000" w:themeColor="text1"/>
          <w:sz w:val="20"/>
          <w:szCs w:val="20"/>
          <w:u w:val="single"/>
        </w:rPr>
        <w:t>The Florida Bar Journal</w:t>
      </w:r>
      <w:r w:rsidRPr="00B71048">
        <w:rPr>
          <w:rFonts w:ascii="Times New Roman" w:hAnsi="Times New Roman" w:cs="Times New Roman"/>
          <w:color w:val="000000" w:themeColor="text1"/>
          <w:sz w:val="20"/>
          <w:szCs w:val="20"/>
        </w:rPr>
        <w:t>, (April 2003).</w:t>
      </w:r>
    </w:p>
    <w:p w14:paraId="7A903ECC" w14:textId="77777777" w:rsidR="00D04717" w:rsidRPr="00B71048" w:rsidRDefault="00D04717" w:rsidP="00B71048">
      <w:pPr>
        <w:spacing w:line="360" w:lineRule="auto"/>
        <w:jc w:val="both"/>
        <w:rPr>
          <w:rFonts w:ascii="Times New Roman" w:hAnsi="Times New Roman" w:cs="Times New Roman"/>
          <w:color w:val="000000" w:themeColor="text1"/>
          <w:sz w:val="20"/>
          <w:szCs w:val="20"/>
        </w:rPr>
      </w:pPr>
    </w:p>
    <w:p w14:paraId="3BF75A2A" w14:textId="0AC60489" w:rsidR="0023358C" w:rsidRPr="00D04717" w:rsidRDefault="00B71048" w:rsidP="002C42C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Barry currently has a keen interest in the use and misuse of nonjudicial settlement agreements under the Uniform Trust Code.</w:t>
      </w:r>
      <w:bookmarkStart w:id="0" w:name="_GoBack"/>
      <w:bookmarkEnd w:id="0"/>
    </w:p>
    <w:sectPr w:rsidR="0023358C" w:rsidRPr="00D04717"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40ADA"/>
    <w:rsid w:val="004C45C1"/>
    <w:rsid w:val="005002B2"/>
    <w:rsid w:val="00640A70"/>
    <w:rsid w:val="007C45ED"/>
    <w:rsid w:val="008418FE"/>
    <w:rsid w:val="00971F86"/>
    <w:rsid w:val="009B0F38"/>
    <w:rsid w:val="009F22BF"/>
    <w:rsid w:val="00B10043"/>
    <w:rsid w:val="00B71048"/>
    <w:rsid w:val="00BA1870"/>
    <w:rsid w:val="00CB2985"/>
    <w:rsid w:val="00D04717"/>
    <w:rsid w:val="00EA12E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FFCB4-A638-FB4D-93FA-5A2F2771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2017-05-18T18:34:00Z</dcterms:created>
  <dcterms:modified xsi:type="dcterms:W3CDTF">2017-12-19T03:19:00Z</dcterms:modified>
</cp:coreProperties>
</file>