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156C2" w14:textId="77777777" w:rsidR="003035E5" w:rsidRPr="003035E5" w:rsidRDefault="003035E5" w:rsidP="0092125F">
      <w:pPr>
        <w:spacing w:after="0" w:line="240" w:lineRule="auto"/>
        <w:jc w:val="center"/>
        <w:rPr>
          <w:rFonts w:ascii="Times New Roman" w:hAnsi="Times New Roman" w:cs="Times New Roman"/>
          <w:color w:val="000000" w:themeColor="text1"/>
          <w:sz w:val="20"/>
          <w:szCs w:val="20"/>
        </w:rPr>
      </w:pPr>
      <w:bookmarkStart w:id="0" w:name="_GoBack"/>
      <w:bookmarkEnd w:id="0"/>
      <w:r w:rsidRPr="003035E5">
        <w:rPr>
          <w:rFonts w:ascii="Times New Roman" w:hAnsi="Times New Roman" w:cs="Times New Roman"/>
          <w:color w:val="000000" w:themeColor="text1"/>
          <w:sz w:val="20"/>
          <w:szCs w:val="20"/>
        </w:rPr>
        <w:t xml:space="preserve">Matthew H. </w:t>
      </w:r>
      <w:proofErr w:type="spellStart"/>
      <w:r w:rsidRPr="003035E5">
        <w:rPr>
          <w:rFonts w:ascii="Times New Roman" w:hAnsi="Times New Roman" w:cs="Times New Roman"/>
          <w:color w:val="000000" w:themeColor="text1"/>
          <w:sz w:val="20"/>
          <w:szCs w:val="20"/>
        </w:rPr>
        <w:t>Triggs</w:t>
      </w:r>
      <w:proofErr w:type="spellEnd"/>
      <w:r w:rsidRPr="003035E5">
        <w:rPr>
          <w:rFonts w:ascii="Times New Roman" w:hAnsi="Times New Roman" w:cs="Times New Roman"/>
          <w:color w:val="000000" w:themeColor="text1"/>
          <w:sz w:val="20"/>
          <w:szCs w:val="20"/>
        </w:rPr>
        <w:t xml:space="preserve"> </w:t>
      </w:r>
    </w:p>
    <w:p w14:paraId="65FBAD8C" w14:textId="77777777" w:rsidR="003035E5" w:rsidRPr="003035E5" w:rsidRDefault="003035E5" w:rsidP="0092125F">
      <w:pPr>
        <w:spacing w:after="0" w:line="240" w:lineRule="auto"/>
        <w:jc w:val="center"/>
        <w:rPr>
          <w:rFonts w:ascii="Times New Roman" w:hAnsi="Times New Roman" w:cs="Times New Roman"/>
          <w:color w:val="000000" w:themeColor="text1"/>
          <w:sz w:val="20"/>
          <w:szCs w:val="20"/>
        </w:rPr>
      </w:pPr>
      <w:proofErr w:type="spellStart"/>
      <w:r w:rsidRPr="003035E5">
        <w:rPr>
          <w:rFonts w:ascii="Times New Roman" w:hAnsi="Times New Roman" w:cs="Times New Roman"/>
          <w:color w:val="000000" w:themeColor="text1"/>
          <w:sz w:val="20"/>
          <w:szCs w:val="20"/>
        </w:rPr>
        <w:t>Proskauer</w:t>
      </w:r>
      <w:proofErr w:type="spellEnd"/>
      <w:r w:rsidRPr="003035E5">
        <w:rPr>
          <w:rFonts w:ascii="Times New Roman" w:hAnsi="Times New Roman" w:cs="Times New Roman"/>
          <w:color w:val="000000" w:themeColor="text1"/>
          <w:sz w:val="20"/>
          <w:szCs w:val="20"/>
        </w:rPr>
        <w:t xml:space="preserve"> Rose LLP </w:t>
      </w:r>
    </w:p>
    <w:p w14:paraId="54A36C35" w14:textId="156C3BB6" w:rsidR="00291730" w:rsidRPr="003035E5" w:rsidRDefault="003035E5" w:rsidP="0092125F">
      <w:pPr>
        <w:spacing w:after="0" w:line="240" w:lineRule="auto"/>
        <w:jc w:val="center"/>
        <w:rPr>
          <w:rFonts w:ascii="Times New Roman" w:hAnsi="Times New Roman" w:cs="Times New Roman"/>
          <w:color w:val="000000" w:themeColor="text1"/>
          <w:sz w:val="20"/>
          <w:szCs w:val="20"/>
        </w:rPr>
      </w:pPr>
      <w:r w:rsidRPr="003035E5">
        <w:rPr>
          <w:rFonts w:ascii="Times New Roman" w:hAnsi="Times New Roman" w:cs="Times New Roman"/>
          <w:color w:val="000000" w:themeColor="text1"/>
          <w:sz w:val="20"/>
          <w:szCs w:val="20"/>
        </w:rPr>
        <w:t>Boca Raton</w:t>
      </w:r>
      <w:r w:rsidR="0023358C" w:rsidRPr="003035E5">
        <w:rPr>
          <w:rFonts w:ascii="Times New Roman" w:hAnsi="Times New Roman" w:cs="Times New Roman"/>
          <w:color w:val="000000" w:themeColor="text1"/>
          <w:sz w:val="20"/>
          <w:szCs w:val="20"/>
        </w:rPr>
        <w:t xml:space="preserve">, </w:t>
      </w:r>
      <w:r w:rsidRPr="003035E5">
        <w:rPr>
          <w:rFonts w:ascii="Times New Roman" w:hAnsi="Times New Roman" w:cs="Times New Roman"/>
          <w:color w:val="000000" w:themeColor="text1"/>
          <w:sz w:val="20"/>
          <w:szCs w:val="20"/>
        </w:rPr>
        <w:t>Florida</w:t>
      </w:r>
    </w:p>
    <w:p w14:paraId="1C7B22E5" w14:textId="77777777" w:rsidR="00291730" w:rsidRPr="003035E5" w:rsidRDefault="00291730" w:rsidP="00291730">
      <w:pPr>
        <w:spacing w:line="240" w:lineRule="auto"/>
        <w:jc w:val="center"/>
        <w:rPr>
          <w:rFonts w:ascii="Times New Roman" w:hAnsi="Times New Roman" w:cs="Times New Roman"/>
          <w:color w:val="000000" w:themeColor="text1"/>
          <w:sz w:val="20"/>
          <w:szCs w:val="20"/>
        </w:rPr>
      </w:pPr>
      <w:r w:rsidRPr="003035E5">
        <w:rPr>
          <w:rFonts w:ascii="Times New Roman" w:hAnsi="Times New Roman" w:cs="Times New Roman"/>
          <w:color w:val="000000" w:themeColor="text1"/>
          <w:sz w:val="20"/>
          <w:szCs w:val="20"/>
        </w:rPr>
        <w:t>________________________________</w:t>
      </w:r>
    </w:p>
    <w:p w14:paraId="3AF66569" w14:textId="77777777" w:rsidR="00291730" w:rsidRPr="003035E5" w:rsidRDefault="00291730" w:rsidP="00291730">
      <w:pPr>
        <w:jc w:val="both"/>
        <w:rPr>
          <w:rFonts w:ascii="Times New Roman" w:hAnsi="Times New Roman" w:cs="Times New Roman"/>
          <w:b/>
          <w:color w:val="000000" w:themeColor="text1"/>
          <w:sz w:val="20"/>
          <w:szCs w:val="20"/>
          <w:u w:val="single"/>
        </w:rPr>
      </w:pPr>
    </w:p>
    <w:p w14:paraId="3BF75A2A" w14:textId="50555A27" w:rsidR="0023358C" w:rsidRPr="003035E5" w:rsidRDefault="003035E5" w:rsidP="0072117C">
      <w:pPr>
        <w:spacing w:line="360" w:lineRule="auto"/>
        <w:jc w:val="both"/>
        <w:rPr>
          <w:rFonts w:ascii="Times New Roman" w:hAnsi="Times New Roman" w:cs="Times New Roman"/>
          <w:color w:val="000000" w:themeColor="text1"/>
          <w:sz w:val="20"/>
          <w:szCs w:val="20"/>
        </w:rPr>
      </w:pPr>
      <w:r w:rsidRPr="003035E5">
        <w:rPr>
          <w:rFonts w:ascii="Times New Roman" w:hAnsi="Times New Roman" w:cs="Times New Roman"/>
          <w:color w:val="000000" w:themeColor="text1"/>
          <w:sz w:val="20"/>
          <w:szCs w:val="20"/>
        </w:rPr>
        <w:t xml:space="preserve">Matt </w:t>
      </w:r>
      <w:proofErr w:type="spellStart"/>
      <w:r w:rsidRPr="003035E5">
        <w:rPr>
          <w:rFonts w:ascii="Times New Roman" w:hAnsi="Times New Roman" w:cs="Times New Roman"/>
          <w:color w:val="000000" w:themeColor="text1"/>
          <w:sz w:val="20"/>
          <w:szCs w:val="20"/>
        </w:rPr>
        <w:t>Triggs</w:t>
      </w:r>
      <w:proofErr w:type="spellEnd"/>
      <w:r w:rsidRPr="003035E5">
        <w:rPr>
          <w:rFonts w:ascii="Times New Roman" w:hAnsi="Times New Roman" w:cs="Times New Roman"/>
          <w:color w:val="000000" w:themeColor="text1"/>
          <w:sz w:val="20"/>
          <w:szCs w:val="20"/>
        </w:rPr>
        <w:t xml:space="preserve"> is a partner in the Litigation Department of </w:t>
      </w:r>
      <w:proofErr w:type="spellStart"/>
      <w:r w:rsidRPr="003035E5">
        <w:rPr>
          <w:rFonts w:ascii="Times New Roman" w:hAnsi="Times New Roman" w:cs="Times New Roman"/>
          <w:color w:val="000000" w:themeColor="text1"/>
          <w:sz w:val="20"/>
          <w:szCs w:val="20"/>
        </w:rPr>
        <w:t>Proskauer</w:t>
      </w:r>
      <w:proofErr w:type="spellEnd"/>
      <w:r w:rsidRPr="003035E5">
        <w:rPr>
          <w:rFonts w:ascii="Times New Roman" w:hAnsi="Times New Roman" w:cs="Times New Roman"/>
          <w:color w:val="000000" w:themeColor="text1"/>
          <w:sz w:val="20"/>
          <w:szCs w:val="20"/>
        </w:rPr>
        <w:t xml:space="preserve"> and serves as head of that practice in Florida. Matt has a particular focus on fiduciary and probate litigation, representing both corporate and individual fiduciaries in a wide variety of probate and trust disputes. Matt is a past chair of The Florida Bar’s Probate Rules Committee and is actively involved in the Real Property, Probate and Trust Law Section of The Florida Bar, where he serves as vice-chair of the Probate Law and Procedure Committee. Matt also serves as a vice-chair of the Alternate Dispute Resolution Committee of the American Bar Association’s Real Property, Trust and Estate Law Section. Matt frequently writes and speaks on fiduciary litigation topics. Matt received his J.D. from Emory University and his B.S. from the University of Florida.</w:t>
      </w:r>
    </w:p>
    <w:sectPr w:rsidR="0023358C" w:rsidRPr="003035E5"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3A75"/>
    <w:rsid w:val="0023358C"/>
    <w:rsid w:val="00244787"/>
    <w:rsid w:val="00291730"/>
    <w:rsid w:val="002E4D83"/>
    <w:rsid w:val="003035E5"/>
    <w:rsid w:val="004C45C1"/>
    <w:rsid w:val="00640A70"/>
    <w:rsid w:val="0072117C"/>
    <w:rsid w:val="008418FE"/>
    <w:rsid w:val="0092125F"/>
    <w:rsid w:val="0096406E"/>
    <w:rsid w:val="00971F86"/>
    <w:rsid w:val="009B0F38"/>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F2581-45CF-4503-97B8-E44F489FA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790</Characters>
  <Application>Microsoft Office Word</Application>
  <DocSecurity>0</DocSecurity>
  <Lines>10</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5</cp:revision>
  <cp:lastPrinted>2016-11-29T20:32:00Z</cp:lastPrinted>
  <dcterms:created xsi:type="dcterms:W3CDTF">2017-05-16T19:23:00Z</dcterms:created>
  <dcterms:modified xsi:type="dcterms:W3CDTF">2017-08-22T19:30:00Z</dcterms:modified>
</cp:coreProperties>
</file>