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486EF" w14:textId="238B0EE8" w:rsidR="001D7785" w:rsidRPr="001C3451" w:rsidRDefault="001C3451" w:rsidP="00DB3835">
      <w:pPr>
        <w:pStyle w:val="BodyText"/>
        <w:spacing w:after="0"/>
        <w:ind w:firstLine="0"/>
        <w:jc w:val="center"/>
        <w:rPr>
          <w:sz w:val="20"/>
          <w:szCs w:val="20"/>
        </w:rPr>
      </w:pPr>
      <w:r w:rsidRPr="001C3451">
        <w:rPr>
          <w:sz w:val="20"/>
          <w:szCs w:val="20"/>
        </w:rPr>
        <w:t xml:space="preserve">Diana S.C. </w:t>
      </w:r>
      <w:proofErr w:type="spellStart"/>
      <w:r w:rsidRPr="001C3451">
        <w:rPr>
          <w:sz w:val="20"/>
          <w:szCs w:val="20"/>
        </w:rPr>
        <w:t>Zeydel</w:t>
      </w:r>
      <w:proofErr w:type="spellEnd"/>
      <w:r w:rsidR="001D7785" w:rsidRPr="001C3451">
        <w:rPr>
          <w:sz w:val="20"/>
          <w:szCs w:val="20"/>
        </w:rPr>
        <w:t xml:space="preserve"> </w:t>
      </w:r>
    </w:p>
    <w:p w14:paraId="7E576A3A" w14:textId="77777777" w:rsidR="001C3451" w:rsidRPr="001C3451" w:rsidRDefault="001C3451" w:rsidP="00DB3835">
      <w:pPr>
        <w:ind w:left="-900" w:firstLine="900"/>
        <w:jc w:val="center"/>
        <w:rPr>
          <w:sz w:val="20"/>
          <w:szCs w:val="20"/>
        </w:rPr>
      </w:pPr>
      <w:r w:rsidRPr="001C3451">
        <w:rPr>
          <w:sz w:val="20"/>
          <w:szCs w:val="20"/>
        </w:rPr>
        <w:t xml:space="preserve">Greenberg </w:t>
      </w:r>
      <w:proofErr w:type="spellStart"/>
      <w:r w:rsidRPr="001C3451">
        <w:rPr>
          <w:sz w:val="20"/>
          <w:szCs w:val="20"/>
        </w:rPr>
        <w:t>Traurig</w:t>
      </w:r>
      <w:proofErr w:type="spellEnd"/>
      <w:r w:rsidRPr="001C3451">
        <w:rPr>
          <w:sz w:val="20"/>
          <w:szCs w:val="20"/>
        </w:rPr>
        <w:t>, P.A.</w:t>
      </w:r>
    </w:p>
    <w:p w14:paraId="303FEC3C" w14:textId="37C193A2" w:rsidR="00F2212F" w:rsidRPr="003138C4" w:rsidRDefault="001C3451" w:rsidP="00DB3835">
      <w:pPr>
        <w:pStyle w:val="BodyText"/>
        <w:spacing w:after="0"/>
        <w:ind w:firstLine="0"/>
        <w:jc w:val="center"/>
        <w:rPr>
          <w:sz w:val="20"/>
          <w:szCs w:val="20"/>
        </w:rPr>
      </w:pPr>
      <w:r>
        <w:rPr>
          <w:sz w:val="20"/>
          <w:szCs w:val="20"/>
        </w:rPr>
        <w:t>Miami, Florida</w:t>
      </w:r>
    </w:p>
    <w:p w14:paraId="1F568494" w14:textId="77777777" w:rsidR="00F2212F" w:rsidRPr="003138C4" w:rsidRDefault="00F2212F" w:rsidP="006E5949">
      <w:pPr>
        <w:pStyle w:val="BodyText"/>
        <w:spacing w:after="0"/>
        <w:ind w:firstLine="0"/>
        <w:jc w:val="center"/>
        <w:rPr>
          <w:sz w:val="20"/>
          <w:szCs w:val="20"/>
        </w:rPr>
      </w:pPr>
      <w:r w:rsidRPr="003138C4">
        <w:rPr>
          <w:sz w:val="20"/>
          <w:szCs w:val="20"/>
        </w:rPr>
        <w:t>______________________________</w:t>
      </w:r>
    </w:p>
    <w:p w14:paraId="5528DFE1" w14:textId="77777777" w:rsidR="00F2212F" w:rsidRDefault="00F2212F" w:rsidP="006E5949">
      <w:pPr>
        <w:pStyle w:val="BodyText"/>
        <w:spacing w:after="0"/>
        <w:jc w:val="both"/>
        <w:rPr>
          <w:sz w:val="20"/>
          <w:szCs w:val="20"/>
        </w:rPr>
      </w:pPr>
    </w:p>
    <w:p w14:paraId="784D493C" w14:textId="77777777" w:rsidR="006E5949" w:rsidRPr="00EE67B5" w:rsidRDefault="006E5949" w:rsidP="006E5949">
      <w:pPr>
        <w:pStyle w:val="BodyText"/>
        <w:spacing w:after="0"/>
        <w:jc w:val="both"/>
        <w:rPr>
          <w:sz w:val="16"/>
          <w:szCs w:val="16"/>
        </w:rPr>
      </w:pPr>
    </w:p>
    <w:p w14:paraId="26C22DBF" w14:textId="0C684C65" w:rsidR="001C3451" w:rsidRDefault="001C3451" w:rsidP="004655DD">
      <w:pPr>
        <w:pStyle w:val="BodySglSpJ"/>
        <w:spacing w:after="160" w:line="360" w:lineRule="auto"/>
        <w:rPr>
          <w:sz w:val="20"/>
        </w:rPr>
      </w:pPr>
      <w:r w:rsidRPr="001C3451">
        <w:rPr>
          <w:sz w:val="20"/>
        </w:rPr>
        <w:t xml:space="preserve">Diana S.C. </w:t>
      </w:r>
      <w:proofErr w:type="spellStart"/>
      <w:r w:rsidRPr="001C3451">
        <w:rPr>
          <w:sz w:val="20"/>
        </w:rPr>
        <w:t>Zeydel</w:t>
      </w:r>
      <w:proofErr w:type="spellEnd"/>
      <w:r w:rsidRPr="001C3451">
        <w:rPr>
          <w:sz w:val="20"/>
        </w:rPr>
        <w:t xml:space="preserve"> is a shareholder and Global Chair of the Trusts &amp; Estates/Wealth Management practice of the law firm of Greenberg </w:t>
      </w:r>
      <w:proofErr w:type="spellStart"/>
      <w:r w:rsidRPr="001C3451">
        <w:rPr>
          <w:sz w:val="20"/>
        </w:rPr>
        <w:t>Traurig</w:t>
      </w:r>
      <w:proofErr w:type="spellEnd"/>
      <w:r w:rsidRPr="001C3451">
        <w:rPr>
          <w:sz w:val="20"/>
        </w:rPr>
        <w:t>, P.A.   She is a member of the Florida, New York and Alaska Bars.  Diana is a past member of the Board of Regents and past Chair of the Estate &amp; Gift Tax Committee of the American College of Trust and Estate Counsel.  She is an Academician of The International Academy of Estate and Trust Law.  Diana is a member of The Society of Trust and Estate Practitioners (STEP) and the Executive Council of the Real Property, Probate and Trust Law Section of the Florida Bar and an ACTEC liaison to the Section.  She is ranked Band 1 Nationwide in Wealth Management and Band 1 in Tax and Estate Planning in Florida by the Chambers USA 2015 Client Guide and is a recipient of the 2014 IFLR/</w:t>
      </w:r>
      <w:proofErr w:type="spellStart"/>
      <w:r w:rsidRPr="001C3451">
        <w:rPr>
          <w:sz w:val="20"/>
        </w:rPr>
        <w:t>Euromoney</w:t>
      </w:r>
      <w:proofErr w:type="spellEnd"/>
      <w:r w:rsidRPr="001C3451">
        <w:rPr>
          <w:sz w:val="20"/>
        </w:rPr>
        <w:t xml:space="preserve"> “Best in Wealth Management” Americas Women in Business Law Awards.  Diana is recognized as a “key figure in shaping the whole wealth management legal profession,” Chambers USA 2012 Client’s Guide.</w:t>
      </w:r>
    </w:p>
    <w:p w14:paraId="2C9E6A69" w14:textId="77777777" w:rsidR="00D71D56" w:rsidRDefault="00D71D56" w:rsidP="004655DD">
      <w:pPr>
        <w:pStyle w:val="BodySglSpJ"/>
        <w:spacing w:after="160" w:line="360" w:lineRule="auto"/>
        <w:rPr>
          <w:sz w:val="20"/>
        </w:rPr>
      </w:pPr>
    </w:p>
    <w:p w14:paraId="25DDCE0B" w14:textId="24AA8443" w:rsidR="00EE7BC0" w:rsidRDefault="001C3451" w:rsidP="004655DD">
      <w:pPr>
        <w:pStyle w:val="BodySglSpJ"/>
        <w:spacing w:after="160" w:line="360" w:lineRule="auto"/>
        <w:rPr>
          <w:sz w:val="20"/>
        </w:rPr>
      </w:pPr>
      <w:r w:rsidRPr="001C3451">
        <w:rPr>
          <w:sz w:val="20"/>
        </w:rPr>
        <w:t xml:space="preserve">She is a frequent lecturer on a variety of estate planning topics and has authored and co-authored several recent articles, including “Is Designating an Independent Trustee a Tax Panacea?” </w:t>
      </w:r>
      <w:r w:rsidRPr="001C3451">
        <w:rPr>
          <w:i/>
          <w:sz w:val="20"/>
        </w:rPr>
        <w:t>Estate Planning</w:t>
      </w:r>
      <w:r w:rsidRPr="001C3451">
        <w:rPr>
          <w:sz w:val="20"/>
        </w:rPr>
        <w:t xml:space="preserve">, February 2016; “Chapter 8:  Effective Estate Planning for Diminished Capacity – Can You Really Avoid a Guardianship?” </w:t>
      </w:r>
      <w:r w:rsidRPr="001C3451">
        <w:rPr>
          <w:i/>
          <w:sz w:val="20"/>
        </w:rPr>
        <w:t>50</w:t>
      </w:r>
      <w:r w:rsidRPr="001C3451">
        <w:rPr>
          <w:i/>
          <w:sz w:val="20"/>
          <w:vertAlign w:val="superscript"/>
        </w:rPr>
        <w:t>th</w:t>
      </w:r>
      <w:r w:rsidRPr="001C3451">
        <w:rPr>
          <w:i/>
          <w:sz w:val="20"/>
        </w:rPr>
        <w:t xml:space="preserve"> Annual </w:t>
      </w:r>
      <w:proofErr w:type="spellStart"/>
      <w:r w:rsidRPr="001C3451">
        <w:rPr>
          <w:i/>
          <w:sz w:val="20"/>
        </w:rPr>
        <w:t>Heckerling</w:t>
      </w:r>
      <w:proofErr w:type="spellEnd"/>
      <w:r w:rsidRPr="001C3451">
        <w:rPr>
          <w:i/>
          <w:sz w:val="20"/>
        </w:rPr>
        <w:t xml:space="preserve"> Institute on Estate Planning, 2016</w:t>
      </w:r>
      <w:r w:rsidRPr="001C3451">
        <w:rPr>
          <w:sz w:val="20"/>
        </w:rPr>
        <w:t xml:space="preserve">; “Regretting Recent Estate Planning Arrangements?” </w:t>
      </w:r>
      <w:r w:rsidRPr="001C3451">
        <w:rPr>
          <w:i/>
          <w:sz w:val="20"/>
        </w:rPr>
        <w:t>Estate Planning</w:t>
      </w:r>
      <w:r w:rsidRPr="001C3451">
        <w:rPr>
          <w:sz w:val="20"/>
        </w:rPr>
        <w:t xml:space="preserve">, October 2015; “Chapter 3:  Portability or No:  Death of the Credit Shelter Trust?” </w:t>
      </w:r>
      <w:r w:rsidRPr="001C3451">
        <w:rPr>
          <w:i/>
          <w:sz w:val="20"/>
        </w:rPr>
        <w:t>49</w:t>
      </w:r>
      <w:r w:rsidRPr="001C3451">
        <w:rPr>
          <w:i/>
          <w:sz w:val="20"/>
          <w:vertAlign w:val="superscript"/>
        </w:rPr>
        <w:t>th</w:t>
      </w:r>
      <w:r w:rsidRPr="001C3451">
        <w:rPr>
          <w:i/>
          <w:sz w:val="20"/>
        </w:rPr>
        <w:t xml:space="preserve"> Annual </w:t>
      </w:r>
      <w:proofErr w:type="spellStart"/>
      <w:r w:rsidRPr="001C3451">
        <w:rPr>
          <w:i/>
          <w:sz w:val="20"/>
        </w:rPr>
        <w:t>Heckerling</w:t>
      </w:r>
      <w:proofErr w:type="spellEnd"/>
      <w:r w:rsidRPr="001C3451">
        <w:rPr>
          <w:i/>
          <w:sz w:val="20"/>
        </w:rPr>
        <w:t xml:space="preserve"> Institute on Estate Planning</w:t>
      </w:r>
      <w:r w:rsidRPr="001C3451">
        <w:rPr>
          <w:sz w:val="20"/>
        </w:rPr>
        <w:t xml:space="preserve">, 2015; “Chapter 14:  Split Interest Trusts Created By Entities (and More),” </w:t>
      </w:r>
      <w:r w:rsidRPr="001C3451">
        <w:rPr>
          <w:i/>
          <w:sz w:val="20"/>
        </w:rPr>
        <w:t>49</w:t>
      </w:r>
      <w:r w:rsidRPr="001C3451">
        <w:rPr>
          <w:i/>
          <w:sz w:val="20"/>
          <w:vertAlign w:val="superscript"/>
        </w:rPr>
        <w:t>th</w:t>
      </w:r>
      <w:r w:rsidRPr="001C3451">
        <w:rPr>
          <w:i/>
          <w:sz w:val="20"/>
        </w:rPr>
        <w:t xml:space="preserve"> Annual </w:t>
      </w:r>
      <w:proofErr w:type="spellStart"/>
      <w:r w:rsidRPr="001C3451">
        <w:rPr>
          <w:i/>
          <w:sz w:val="20"/>
        </w:rPr>
        <w:t>Heckerling</w:t>
      </w:r>
      <w:proofErr w:type="spellEnd"/>
      <w:r w:rsidRPr="001C3451">
        <w:rPr>
          <w:i/>
          <w:sz w:val="20"/>
        </w:rPr>
        <w:t xml:space="preserve"> Institute on Estate Planning</w:t>
      </w:r>
      <w:r w:rsidRPr="001C3451">
        <w:rPr>
          <w:sz w:val="20"/>
        </w:rPr>
        <w:t xml:space="preserve">, 2015; “Supercharged Credit Shelter </w:t>
      </w:r>
      <w:proofErr w:type="spellStart"/>
      <w:r w:rsidRPr="001C3451">
        <w:rPr>
          <w:sz w:val="20"/>
        </w:rPr>
        <w:t>Trust</w:t>
      </w:r>
      <w:r w:rsidRPr="001C3451">
        <w:rPr>
          <w:rStyle w:val="FontSuper"/>
          <w:sz w:val="20"/>
        </w:rPr>
        <w:t>SM</w:t>
      </w:r>
      <w:proofErr w:type="spellEnd"/>
      <w:r w:rsidRPr="001C3451">
        <w:rPr>
          <w:rStyle w:val="FontSuper"/>
          <w:sz w:val="20"/>
        </w:rPr>
        <w:t xml:space="preserve"> </w:t>
      </w:r>
      <w:r w:rsidRPr="001C3451">
        <w:rPr>
          <w:sz w:val="20"/>
        </w:rPr>
        <w:t>versus Portability</w:t>
      </w:r>
      <w:r w:rsidRPr="001C3451">
        <w:rPr>
          <w:rStyle w:val="FontI"/>
          <w:sz w:val="20"/>
        </w:rPr>
        <w:t>,</w:t>
      </w:r>
      <w:r w:rsidRPr="001C3451">
        <w:rPr>
          <w:rStyle w:val="FontI"/>
          <w:i w:val="0"/>
          <w:sz w:val="20"/>
        </w:rPr>
        <w:t>”</w:t>
      </w:r>
      <w:r w:rsidRPr="001C3451">
        <w:rPr>
          <w:sz w:val="20"/>
        </w:rPr>
        <w:t xml:space="preserve"> </w:t>
      </w:r>
      <w:r w:rsidRPr="001C3451">
        <w:rPr>
          <w:rStyle w:val="FontI"/>
          <w:sz w:val="20"/>
        </w:rPr>
        <w:t>Probate and Property</w:t>
      </w:r>
      <w:r w:rsidRPr="001C3451">
        <w:rPr>
          <w:sz w:val="20"/>
        </w:rPr>
        <w:t>, March/April 2014; “Portability or No:  The Death of the Credit-Shelter Trust,”</w:t>
      </w:r>
      <w:r w:rsidRPr="001C3451">
        <w:rPr>
          <w:rStyle w:val="FontI"/>
          <w:sz w:val="20"/>
        </w:rPr>
        <w:t xml:space="preserve"> Journal of Taxation, </w:t>
      </w:r>
      <w:r w:rsidRPr="001C3451">
        <w:rPr>
          <w:sz w:val="20"/>
        </w:rPr>
        <w:t xml:space="preserve">May 2013; “Imposition of the 3.8% Medicare Tax on Estates and Trusts,” </w:t>
      </w:r>
      <w:r w:rsidRPr="001C3451">
        <w:rPr>
          <w:rStyle w:val="FontI"/>
          <w:sz w:val="20"/>
        </w:rPr>
        <w:t xml:space="preserve">Estate Planning, </w:t>
      </w:r>
      <w:r w:rsidRPr="001C3451">
        <w:rPr>
          <w:sz w:val="20"/>
        </w:rPr>
        <w:t>April 2013; “Congress Finally Gives Us a Permanent Estate Tax Law</w:t>
      </w:r>
      <w:r w:rsidRPr="001C3451">
        <w:rPr>
          <w:rStyle w:val="FontI"/>
          <w:sz w:val="20"/>
        </w:rPr>
        <w:t>,</w:t>
      </w:r>
      <w:r w:rsidRPr="001C3451">
        <w:rPr>
          <w:sz w:val="20"/>
        </w:rPr>
        <w:t>”</w:t>
      </w:r>
      <w:r w:rsidRPr="001C3451">
        <w:rPr>
          <w:rStyle w:val="FontI"/>
          <w:sz w:val="20"/>
        </w:rPr>
        <w:t xml:space="preserve"> Journal of Taxation,</w:t>
      </w:r>
      <w:r w:rsidRPr="001C3451">
        <w:rPr>
          <w:sz w:val="20"/>
        </w:rPr>
        <w:t xml:space="preserve"> February 2013; “Tricks and Traps of Planning and Reporting Generation-Skipping Transfers</w:t>
      </w:r>
      <w:r w:rsidRPr="001C3451">
        <w:rPr>
          <w:rStyle w:val="FontI"/>
          <w:sz w:val="20"/>
        </w:rPr>
        <w:t xml:space="preserve">,” </w:t>
      </w:r>
      <w:r w:rsidRPr="001C3451">
        <w:rPr>
          <w:sz w:val="20"/>
        </w:rPr>
        <w:t xml:space="preserve">47th Annual </w:t>
      </w:r>
      <w:proofErr w:type="spellStart"/>
      <w:r w:rsidRPr="001C3451">
        <w:rPr>
          <w:sz w:val="20"/>
        </w:rPr>
        <w:t>Heckerling</w:t>
      </w:r>
      <w:proofErr w:type="spellEnd"/>
      <w:r w:rsidRPr="001C3451">
        <w:rPr>
          <w:sz w:val="20"/>
        </w:rPr>
        <w:t xml:space="preserve"> Institute on Estate Planning, 2013; “New Portability Temp. </w:t>
      </w:r>
      <w:proofErr w:type="spellStart"/>
      <w:r w:rsidRPr="001C3451">
        <w:rPr>
          <w:sz w:val="20"/>
        </w:rPr>
        <w:t>Regs</w:t>
      </w:r>
      <w:proofErr w:type="spellEnd"/>
      <w:r w:rsidRPr="001C3451">
        <w:rPr>
          <w:sz w:val="20"/>
        </w:rPr>
        <w:t xml:space="preserve">. Ease Burden on Small Estates, Offer Planning for Large Ones,” </w:t>
      </w:r>
      <w:r w:rsidRPr="001C3451">
        <w:rPr>
          <w:rStyle w:val="FontI"/>
          <w:sz w:val="20"/>
        </w:rPr>
        <w:t>Journal of Taxation</w:t>
      </w:r>
      <w:r w:rsidRPr="001C3451">
        <w:rPr>
          <w:sz w:val="20"/>
        </w:rPr>
        <w:t xml:space="preserve">, October 2012; “When Is a Gift to a Trust Complete:  Did CCA 201208026 Get It Right?” </w:t>
      </w:r>
      <w:r w:rsidRPr="001C3451">
        <w:rPr>
          <w:rStyle w:val="FontI"/>
          <w:sz w:val="20"/>
        </w:rPr>
        <w:t>Journal of Taxation</w:t>
      </w:r>
      <w:r w:rsidRPr="001C3451">
        <w:rPr>
          <w:sz w:val="20"/>
        </w:rPr>
        <w:t xml:space="preserve">, September 2012; “Turner II and Family Partnerships:  Avoiding Problems and Securing Opportunity,” </w:t>
      </w:r>
      <w:r w:rsidRPr="001C3451">
        <w:rPr>
          <w:rStyle w:val="FontI"/>
          <w:sz w:val="20"/>
        </w:rPr>
        <w:t>Journal of Taxation</w:t>
      </w:r>
      <w:r w:rsidRPr="001C3451">
        <w:rPr>
          <w:sz w:val="20"/>
        </w:rPr>
        <w:t xml:space="preserve">, July 2012; “Developing Law on Changing Irrevocable Trusts:  Staying Out of the Danger Zone,” </w:t>
      </w:r>
      <w:r w:rsidRPr="001C3451">
        <w:rPr>
          <w:rStyle w:val="FontI"/>
          <w:sz w:val="20"/>
        </w:rPr>
        <w:t>Real Property, Trust and Estate Law Journal</w:t>
      </w:r>
      <w:r w:rsidRPr="001C3451">
        <w:rPr>
          <w:sz w:val="20"/>
        </w:rPr>
        <w:t xml:space="preserve">, Spring 2012; “An Analysis of the Tax Effects of Decanting,” </w:t>
      </w:r>
      <w:r w:rsidRPr="001C3451">
        <w:rPr>
          <w:rStyle w:val="FontI"/>
          <w:sz w:val="20"/>
        </w:rPr>
        <w:t>Real Property, Trust and Estate Law Journal</w:t>
      </w:r>
      <w:r w:rsidRPr="001C3451">
        <w:rPr>
          <w:sz w:val="20"/>
        </w:rPr>
        <w:t xml:space="preserve">, Spring 2012; Comments submitted by ACTEC in response to Notice 2011-101 on Decanting, April 2012; Comments submitted by ACTEC in response to Notice 2011-82 on Guidance on Electing Portability of the DSUE Amount,” October 2011; Contributor to </w:t>
      </w:r>
      <w:r w:rsidRPr="001C3451">
        <w:rPr>
          <w:rStyle w:val="FontU"/>
          <w:sz w:val="20"/>
        </w:rPr>
        <w:t>A Practical Guide to Estate Planning</w:t>
      </w:r>
      <w:r w:rsidRPr="001C3451">
        <w:rPr>
          <w:sz w:val="20"/>
        </w:rPr>
        <w:t xml:space="preserve">, Chapter 2 Irrevocable Trusts, 2011; “Estate Planning After the 2010 Tax Relief Act:  Big Changes, But Still No Certainty,” </w:t>
      </w:r>
      <w:r w:rsidRPr="001C3451">
        <w:rPr>
          <w:rStyle w:val="FontI"/>
          <w:sz w:val="20"/>
        </w:rPr>
        <w:t>Journal of Taxation</w:t>
      </w:r>
      <w:r w:rsidRPr="001C3451">
        <w:rPr>
          <w:sz w:val="20"/>
        </w:rPr>
        <w:t xml:space="preserve">, February 2011; “The Impossible Has Happened:  No Federal Estate Tax, No GST Tax, and Carryover Basis for 2010” </w:t>
      </w:r>
      <w:r w:rsidRPr="001C3451">
        <w:rPr>
          <w:rStyle w:val="FontI"/>
          <w:sz w:val="20"/>
        </w:rPr>
        <w:t>Journal of Taxation,</w:t>
      </w:r>
      <w:r w:rsidRPr="001C3451">
        <w:rPr>
          <w:sz w:val="20"/>
        </w:rPr>
        <w:t xml:space="preserve"> February 2010; “Tax Effects of Decanting - Obtaining and Preserving the Benefits,” </w:t>
      </w:r>
      <w:r w:rsidRPr="001C3451">
        <w:rPr>
          <w:rStyle w:val="FontI"/>
          <w:sz w:val="20"/>
        </w:rPr>
        <w:t xml:space="preserve">Journal of Taxation, </w:t>
      </w:r>
      <w:r w:rsidRPr="001C3451">
        <w:rPr>
          <w:sz w:val="20"/>
        </w:rPr>
        <w:t>November 2009;</w:t>
      </w:r>
      <w:r w:rsidRPr="001C3451">
        <w:rPr>
          <w:rStyle w:val="FontI"/>
          <w:sz w:val="20"/>
        </w:rPr>
        <w:t xml:space="preserve"> </w:t>
      </w:r>
      <w:r w:rsidRPr="001C3451">
        <w:rPr>
          <w:sz w:val="20"/>
        </w:rPr>
        <w:t xml:space="preserve">“Estate Planning in a Low Interest Rate Environment” </w:t>
      </w:r>
      <w:r w:rsidRPr="001C3451">
        <w:rPr>
          <w:rStyle w:val="FontI"/>
          <w:sz w:val="20"/>
        </w:rPr>
        <w:t>Estate Planning,</w:t>
      </w:r>
      <w:r w:rsidRPr="001C3451">
        <w:rPr>
          <w:sz w:val="20"/>
        </w:rPr>
        <w:t xml:space="preserve"> July 2009; “Directed Trusts:  The Statutory Approaches to Authority and Liability,” </w:t>
      </w:r>
      <w:r w:rsidRPr="001C3451">
        <w:rPr>
          <w:rStyle w:val="FontI"/>
          <w:sz w:val="20"/>
        </w:rPr>
        <w:t>Estate Planning,</w:t>
      </w:r>
      <w:r w:rsidRPr="001C3451">
        <w:rPr>
          <w:sz w:val="20"/>
        </w:rPr>
        <w:t xml:space="preserve"> September 2008; “How to Create and Administer a Successful Irrevocable Life Insurance Trust” and “A Complete Tax Guide for Irrevocable Life Insurance Trusts,” </w:t>
      </w:r>
      <w:r w:rsidRPr="001C3451">
        <w:rPr>
          <w:rStyle w:val="FontI"/>
          <w:sz w:val="20"/>
        </w:rPr>
        <w:t xml:space="preserve">Estate Planning, </w:t>
      </w:r>
      <w:r w:rsidRPr="001C3451">
        <w:rPr>
          <w:sz w:val="20"/>
        </w:rPr>
        <w:t xml:space="preserve">June/July 2007. </w:t>
      </w:r>
    </w:p>
    <w:p w14:paraId="546500FB" w14:textId="77777777" w:rsidR="00D71D56" w:rsidRPr="001C3451" w:rsidRDefault="00D71D56" w:rsidP="004655DD">
      <w:pPr>
        <w:pStyle w:val="BodySglSpJ"/>
        <w:spacing w:after="160" w:line="360" w:lineRule="auto"/>
        <w:rPr>
          <w:sz w:val="20"/>
        </w:rPr>
      </w:pPr>
      <w:bookmarkStart w:id="0" w:name="_GoBack"/>
      <w:bookmarkEnd w:id="0"/>
    </w:p>
    <w:p w14:paraId="7DCACCBD" w14:textId="77777777" w:rsidR="001C3451" w:rsidRPr="001C3451" w:rsidRDefault="001C3451" w:rsidP="004655DD">
      <w:pPr>
        <w:pStyle w:val="BodySglSpJ"/>
        <w:spacing w:after="160" w:line="360" w:lineRule="auto"/>
        <w:rPr>
          <w:rStyle w:val="FontI"/>
          <w:sz w:val="20"/>
        </w:rPr>
      </w:pPr>
      <w:r w:rsidRPr="001C3451">
        <w:rPr>
          <w:sz w:val="20"/>
        </w:rPr>
        <w:lastRenderedPageBreak/>
        <w:t xml:space="preserve">Diana received her LL.M. in Taxation from New York University School of Law (1993), her J.D. from Yale Law School (1986), and her B.A., </w:t>
      </w:r>
      <w:r w:rsidRPr="001C3451">
        <w:rPr>
          <w:rStyle w:val="FontI"/>
          <w:sz w:val="20"/>
        </w:rPr>
        <w:t>summa cum laude</w:t>
      </w:r>
      <w:r w:rsidRPr="001C3451">
        <w:rPr>
          <w:sz w:val="20"/>
        </w:rPr>
        <w:t xml:space="preserve">, from Yale University (1982), where she was elected to </w:t>
      </w:r>
      <w:r w:rsidRPr="001C3451">
        <w:rPr>
          <w:rStyle w:val="FontI"/>
          <w:sz w:val="20"/>
        </w:rPr>
        <w:t>Phi Beta Kappa.</w:t>
      </w:r>
    </w:p>
    <w:p w14:paraId="000BFEC8" w14:textId="344C7B5F" w:rsidR="001D7785" w:rsidRPr="001C3451" w:rsidRDefault="001D7785" w:rsidP="004655DD">
      <w:pPr>
        <w:spacing w:after="160" w:line="360" w:lineRule="auto"/>
        <w:jc w:val="both"/>
        <w:rPr>
          <w:sz w:val="20"/>
          <w:szCs w:val="20"/>
        </w:rPr>
      </w:pPr>
    </w:p>
    <w:sectPr w:rsidR="001D7785" w:rsidRPr="001C3451" w:rsidSect="007D5FDE">
      <w:pgSz w:w="12240" w:h="15840" w:code="1"/>
      <w:pgMar w:top="720" w:right="1080" w:bottom="274" w:left="108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7FA24" w14:textId="77777777" w:rsidR="00844A5D" w:rsidRDefault="00844A5D">
      <w:r>
        <w:separator/>
      </w:r>
    </w:p>
  </w:endnote>
  <w:endnote w:type="continuationSeparator" w:id="0">
    <w:p w14:paraId="79089FF8" w14:textId="77777777" w:rsidR="00844A5D" w:rsidRDefault="0084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DCEB6" w14:textId="77777777" w:rsidR="00844A5D" w:rsidRDefault="00844A5D">
      <w:r>
        <w:separator/>
      </w:r>
    </w:p>
  </w:footnote>
  <w:footnote w:type="continuationSeparator" w:id="0">
    <w:p w14:paraId="20CAD13C" w14:textId="77777777" w:rsidR="00844A5D" w:rsidRDefault="00844A5D">
      <w:r>
        <w:separator/>
      </w:r>
    </w:p>
  </w:footnote>
  <w:footnote w:type="continuationNotice" w:id="1">
    <w:p w14:paraId="18BAA7B6" w14:textId="77777777" w:rsidR="00844A5D" w:rsidRDefault="00844A5D">
      <w:pPr>
        <w:jc w:val="right"/>
      </w:pPr>
      <w:r>
        <w:t>(</w:t>
      </w:r>
      <w:proofErr w:type="gramStart"/>
      <w:r>
        <w:t>continued</w:t>
      </w:r>
      <w:proofErr w:type="gramEnd"/>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4BE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FD0048A"/>
    <w:lvl w:ilvl="0">
      <w:start w:val="1"/>
      <w:numFmt w:val="decimal"/>
      <w:pStyle w:val="ListNumber5"/>
      <w:lvlText w:val="%1."/>
      <w:lvlJc w:val="left"/>
      <w:pPr>
        <w:tabs>
          <w:tab w:val="num" w:pos="3600"/>
        </w:tabs>
        <w:ind w:left="3600" w:hanging="720"/>
      </w:pPr>
      <w:rPr>
        <w:rFonts w:hint="default"/>
      </w:rPr>
    </w:lvl>
  </w:abstractNum>
  <w:abstractNum w:abstractNumId="2">
    <w:nsid w:val="FFFFFF7D"/>
    <w:multiLevelType w:val="singleLevel"/>
    <w:tmpl w:val="6922D3D4"/>
    <w:lvl w:ilvl="0">
      <w:start w:val="1"/>
      <w:numFmt w:val="decimal"/>
      <w:pStyle w:val="ListNumber4"/>
      <w:lvlText w:val="%1."/>
      <w:lvlJc w:val="left"/>
      <w:pPr>
        <w:tabs>
          <w:tab w:val="num" w:pos="2880"/>
        </w:tabs>
        <w:ind w:left="2880" w:hanging="720"/>
      </w:pPr>
      <w:rPr>
        <w:rFonts w:hint="default"/>
      </w:rPr>
    </w:lvl>
  </w:abstractNum>
  <w:abstractNum w:abstractNumId="3">
    <w:nsid w:val="FFFFFF7E"/>
    <w:multiLevelType w:val="singleLevel"/>
    <w:tmpl w:val="134A4AA0"/>
    <w:lvl w:ilvl="0">
      <w:start w:val="1"/>
      <w:numFmt w:val="decimal"/>
      <w:pStyle w:val="ListNumber3"/>
      <w:lvlText w:val="%1."/>
      <w:lvlJc w:val="left"/>
      <w:pPr>
        <w:tabs>
          <w:tab w:val="num" w:pos="2160"/>
        </w:tabs>
        <w:ind w:left="2160" w:hanging="720"/>
      </w:pPr>
      <w:rPr>
        <w:rFonts w:hint="default"/>
      </w:rPr>
    </w:lvl>
  </w:abstractNum>
  <w:abstractNum w:abstractNumId="4">
    <w:nsid w:val="FFFFFF7F"/>
    <w:multiLevelType w:val="singleLevel"/>
    <w:tmpl w:val="11F42842"/>
    <w:lvl w:ilvl="0">
      <w:start w:val="1"/>
      <w:numFmt w:val="decimal"/>
      <w:pStyle w:val="ListNumber2"/>
      <w:lvlText w:val="%1."/>
      <w:lvlJc w:val="left"/>
      <w:pPr>
        <w:tabs>
          <w:tab w:val="num" w:pos="1440"/>
        </w:tabs>
        <w:ind w:left="1440" w:hanging="720"/>
      </w:pPr>
      <w:rPr>
        <w:rFonts w:hint="default"/>
      </w:rPr>
    </w:lvl>
  </w:abstractNum>
  <w:abstractNum w:abstractNumId="5">
    <w:nsid w:val="FFFFFF80"/>
    <w:multiLevelType w:val="singleLevel"/>
    <w:tmpl w:val="C630D548"/>
    <w:lvl w:ilvl="0">
      <w:start w:val="1"/>
      <w:numFmt w:val="bullet"/>
      <w:pStyle w:val="ListBullet5"/>
      <w:lvlText w:val=""/>
      <w:lvlJc w:val="left"/>
      <w:pPr>
        <w:tabs>
          <w:tab w:val="num" w:pos="720"/>
        </w:tabs>
        <w:ind w:left="3600" w:hanging="720"/>
      </w:pPr>
      <w:rPr>
        <w:rFonts w:ascii="Symbol" w:hAnsi="Symbol" w:hint="default"/>
      </w:rPr>
    </w:lvl>
  </w:abstractNum>
  <w:abstractNum w:abstractNumId="6">
    <w:nsid w:val="FFFFFF81"/>
    <w:multiLevelType w:val="singleLevel"/>
    <w:tmpl w:val="62CE16D0"/>
    <w:lvl w:ilvl="0">
      <w:start w:val="1"/>
      <w:numFmt w:val="bullet"/>
      <w:pStyle w:val="ListBullet4"/>
      <w:lvlText w:val=""/>
      <w:lvlJc w:val="left"/>
      <w:pPr>
        <w:tabs>
          <w:tab w:val="num" w:pos="720"/>
        </w:tabs>
        <w:ind w:left="2880" w:hanging="720"/>
      </w:pPr>
      <w:rPr>
        <w:rFonts w:ascii="Symbol" w:hAnsi="Symbol" w:hint="default"/>
      </w:rPr>
    </w:lvl>
  </w:abstractNum>
  <w:abstractNum w:abstractNumId="7">
    <w:nsid w:val="FFFFFF82"/>
    <w:multiLevelType w:val="singleLevel"/>
    <w:tmpl w:val="CFE2C526"/>
    <w:lvl w:ilvl="0">
      <w:start w:val="1"/>
      <w:numFmt w:val="bullet"/>
      <w:pStyle w:val="ListBullet3"/>
      <w:lvlText w:val=""/>
      <w:lvlJc w:val="left"/>
      <w:pPr>
        <w:tabs>
          <w:tab w:val="num" w:pos="720"/>
        </w:tabs>
        <w:ind w:left="2160" w:hanging="720"/>
      </w:pPr>
      <w:rPr>
        <w:rFonts w:ascii="Symbol" w:hAnsi="Symbol" w:hint="default"/>
      </w:rPr>
    </w:lvl>
  </w:abstractNum>
  <w:abstractNum w:abstractNumId="8">
    <w:nsid w:val="FFFFFF83"/>
    <w:multiLevelType w:val="singleLevel"/>
    <w:tmpl w:val="8DDE1318"/>
    <w:lvl w:ilvl="0">
      <w:start w:val="1"/>
      <w:numFmt w:val="bullet"/>
      <w:pStyle w:val="ListBullet2"/>
      <w:lvlText w:val=""/>
      <w:lvlJc w:val="left"/>
      <w:pPr>
        <w:tabs>
          <w:tab w:val="num" w:pos="720"/>
        </w:tabs>
        <w:ind w:left="1440" w:hanging="720"/>
      </w:pPr>
      <w:rPr>
        <w:rFonts w:ascii="Symbol" w:hAnsi="Symbol" w:hint="default"/>
      </w:rPr>
    </w:lvl>
  </w:abstractNum>
  <w:abstractNum w:abstractNumId="9">
    <w:nsid w:val="FFFFFF88"/>
    <w:multiLevelType w:val="singleLevel"/>
    <w:tmpl w:val="3B92A3EA"/>
    <w:lvl w:ilvl="0">
      <w:start w:val="1"/>
      <w:numFmt w:val="decimal"/>
      <w:pStyle w:val="ListNumber"/>
      <w:lvlText w:val="%1."/>
      <w:lvlJc w:val="left"/>
      <w:pPr>
        <w:tabs>
          <w:tab w:val="num" w:pos="720"/>
        </w:tabs>
        <w:ind w:left="720" w:hanging="720"/>
      </w:pPr>
      <w:rPr>
        <w:rFonts w:hint="default"/>
      </w:rPr>
    </w:lvl>
  </w:abstractNum>
  <w:abstractNum w:abstractNumId="10">
    <w:nsid w:val="FFFFFF89"/>
    <w:multiLevelType w:val="singleLevel"/>
    <w:tmpl w:val="59C073D0"/>
    <w:lvl w:ilvl="0">
      <w:start w:val="1"/>
      <w:numFmt w:val="bullet"/>
      <w:pStyle w:val="ListBullet"/>
      <w:lvlText w:val=""/>
      <w:lvlJc w:val="left"/>
      <w:pPr>
        <w:tabs>
          <w:tab w:val="num" w:pos="720"/>
        </w:tabs>
        <w:ind w:left="720" w:hanging="720"/>
      </w:pPr>
      <w:rPr>
        <w:rFonts w:ascii="Symbol" w:hAnsi="Symbol" w:hint="default"/>
      </w:rPr>
    </w:lvl>
  </w:abstractNum>
  <w:abstractNum w:abstractNumId="11">
    <w:nsid w:val="05E41CD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78A5F1F"/>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2043F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34847C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60653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15B61F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0"/>
  </w:num>
  <w:num w:numId="3">
    <w:abstractNumId w:val="8"/>
  </w:num>
  <w:num w:numId="4">
    <w:abstractNumId w:val="8"/>
  </w:num>
  <w:num w:numId="5">
    <w:abstractNumId w:val="7"/>
  </w:num>
  <w:num w:numId="6">
    <w:abstractNumId w:val="7"/>
  </w:num>
  <w:num w:numId="7">
    <w:abstractNumId w:val="6"/>
  </w:num>
  <w:num w:numId="8">
    <w:abstractNumId w:val="6"/>
  </w:num>
  <w:num w:numId="9">
    <w:abstractNumId w:val="5"/>
  </w:num>
  <w:num w:numId="10">
    <w:abstractNumId w:val="5"/>
  </w:num>
  <w:num w:numId="11">
    <w:abstractNumId w:val="9"/>
  </w:num>
  <w:num w:numId="12">
    <w:abstractNumId w:val="9"/>
  </w:num>
  <w:num w:numId="13">
    <w:abstractNumId w:val="4"/>
  </w:num>
  <w:num w:numId="14">
    <w:abstractNumId w:val="4"/>
  </w:num>
  <w:num w:numId="15">
    <w:abstractNumId w:val="3"/>
  </w:num>
  <w:num w:numId="16">
    <w:abstractNumId w:val="3"/>
  </w:num>
  <w:num w:numId="17">
    <w:abstractNumId w:val="2"/>
  </w:num>
  <w:num w:numId="18">
    <w:abstractNumId w:val="2"/>
  </w:num>
  <w:num w:numId="19">
    <w:abstractNumId w:val="1"/>
  </w:num>
  <w:num w:numId="20">
    <w:abstractNumId w:val="1"/>
  </w:num>
  <w:num w:numId="21">
    <w:abstractNumId w:val="13"/>
  </w:num>
  <w:num w:numId="22">
    <w:abstractNumId w:val="11"/>
  </w:num>
  <w:num w:numId="23">
    <w:abstractNumId w:val="15"/>
  </w:num>
  <w:num w:numId="24">
    <w:abstractNumId w:val="16"/>
  </w:num>
  <w:num w:numId="25">
    <w:abstractNumId w:val="12"/>
  </w:num>
  <w:num w:numId="26">
    <w:abstractNumId w:val="14"/>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activeWritingStyle w:appName="MSWord" w:lang="en-US" w:vendorID="64" w:dllVersion="131078" w:nlCheck="1" w:checkStyle="1"/>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Þy"/>
    <w:docVar w:name="85TrailerDateField" w:val="~}•Þz"/>
    <w:docVar w:name="85TrailerDraft" w:val="~}£Þl"/>
    <w:docVar w:name="85TrailerTime" w:val="~}“Þ|"/>
    <w:docVar w:name="85TrailerType" w:val="~}“Þ}}~"/>
    <w:docVar w:name="DocStamp_1_OptionalControlValues" w:val="~}¤Þ"/>
    <w:docVar w:name="MPDocID" w:val="~}šÞ¦ex}|{zyxzqxtxuuxxvtuww"/>
    <w:docVar w:name="MPDocIDTemplate" w:val="~}“Þq¹nËpºÉ{tÁÈ{s²Çzr»"/>
    <w:docVar w:name="MPDocIDTemplateDefault" w:val="~}“Þq¹nËpºÉ{tÁÈ{s²Çzr»"/>
    <w:docVar w:name="NewDocStampType" w:val="~}£Þm"/>
  </w:docVars>
  <w:rsids>
    <w:rsidRoot w:val="00E55E54"/>
    <w:rsid w:val="001C3451"/>
    <w:rsid w:val="001D7785"/>
    <w:rsid w:val="00272294"/>
    <w:rsid w:val="003138C4"/>
    <w:rsid w:val="003B1079"/>
    <w:rsid w:val="004655DD"/>
    <w:rsid w:val="00522D21"/>
    <w:rsid w:val="006B7172"/>
    <w:rsid w:val="006E5949"/>
    <w:rsid w:val="007D5FDE"/>
    <w:rsid w:val="00844A5D"/>
    <w:rsid w:val="008E4D8D"/>
    <w:rsid w:val="009D7E54"/>
    <w:rsid w:val="00C0126E"/>
    <w:rsid w:val="00C232C9"/>
    <w:rsid w:val="00C35CA8"/>
    <w:rsid w:val="00D21415"/>
    <w:rsid w:val="00D71D56"/>
    <w:rsid w:val="00DB3835"/>
    <w:rsid w:val="00E55E54"/>
    <w:rsid w:val="00EE67B5"/>
    <w:rsid w:val="00EE7BC0"/>
    <w:rsid w:val="00F2212F"/>
    <w:rsid w:val="00F30734"/>
    <w:rsid w:val="00F57D35"/>
    <w:rsid w:val="00FF3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57F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keepNext/>
      <w:spacing w:after="240"/>
      <w:jc w:val="center"/>
      <w:outlineLvl w:val="0"/>
    </w:pPr>
    <w:rPr>
      <w:rFonts w:cs="Arial"/>
      <w:b/>
      <w:bCs/>
    </w:rPr>
  </w:style>
  <w:style w:type="paragraph" w:styleId="Heading2">
    <w:name w:val="heading 2"/>
    <w:basedOn w:val="Heading1"/>
    <w:next w:val="BodyText"/>
    <w:qFormat/>
    <w:pPr>
      <w:outlineLvl w:val="1"/>
    </w:pPr>
    <w:rPr>
      <w:bCs w:val="0"/>
      <w:iCs/>
      <w:u w:val="single"/>
    </w:rPr>
  </w:style>
  <w:style w:type="paragraph" w:styleId="Heading3">
    <w:name w:val="heading 3"/>
    <w:basedOn w:val="Heading2"/>
    <w:next w:val="BodyText"/>
    <w:qFormat/>
    <w:pPr>
      <w:jc w:val="left"/>
      <w:outlineLvl w:val="2"/>
    </w:pPr>
    <w:rPr>
      <w:bCs/>
      <w:u w:val="none"/>
    </w:rPr>
  </w:style>
  <w:style w:type="paragraph" w:styleId="Heading4">
    <w:name w:val="heading 4"/>
    <w:basedOn w:val="Heading3"/>
    <w:next w:val="BodyText"/>
    <w:qFormat/>
    <w:pPr>
      <w:outlineLvl w:val="3"/>
    </w:pPr>
    <w:rPr>
      <w:b w:val="0"/>
      <w:bCs w:val="0"/>
      <w:u w:val="single"/>
    </w:rPr>
  </w:style>
  <w:style w:type="paragraph" w:styleId="Heading5">
    <w:name w:val="heading 5"/>
    <w:basedOn w:val="Heading4"/>
    <w:next w:val="BodyText"/>
    <w:qFormat/>
    <w:pPr>
      <w:ind w:left="720"/>
      <w:outlineLvl w:val="4"/>
    </w:pPr>
    <w:rPr>
      <w:bCs/>
      <w:iCs w:val="0"/>
      <w:u w:val="none"/>
    </w:rPr>
  </w:style>
  <w:style w:type="paragraph" w:styleId="Heading6">
    <w:name w:val="heading 6"/>
    <w:basedOn w:val="Heading5"/>
    <w:next w:val="BodyText"/>
    <w:qFormat/>
    <w:pPr>
      <w:outlineLvl w:val="5"/>
    </w:pPr>
    <w:rPr>
      <w:bCs w:val="0"/>
      <w:u w:val="single"/>
    </w:rPr>
  </w:style>
  <w:style w:type="paragraph" w:styleId="Heading7">
    <w:name w:val="heading 7"/>
    <w:basedOn w:val="Heading6"/>
    <w:next w:val="BodyText"/>
    <w:qFormat/>
    <w:pPr>
      <w:ind w:left="0"/>
      <w:jc w:val="center"/>
      <w:outlineLvl w:val="6"/>
    </w:pPr>
    <w:rPr>
      <w:b/>
      <w:u w:val="none"/>
    </w:rPr>
  </w:style>
  <w:style w:type="paragraph" w:styleId="Heading8">
    <w:name w:val="heading 8"/>
    <w:basedOn w:val="Heading7"/>
    <w:next w:val="BodyText"/>
    <w:qFormat/>
    <w:pPr>
      <w:jc w:val="left"/>
      <w:outlineLvl w:val="7"/>
    </w:pPr>
    <w:rPr>
      <w:iCs/>
    </w:rPr>
  </w:style>
  <w:style w:type="paragraph" w:styleId="Heading9">
    <w:name w:val="heading 9"/>
    <w:basedOn w:val="Heading8"/>
    <w:next w:val="BodyText"/>
    <w:qFormat/>
    <w:pPr>
      <w:outlineLvl w:val="8"/>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K"/>
    <w:basedOn w:val="Normal"/>
    <w:next w:val="BodyText"/>
    <w:pPr>
      <w:spacing w:after="240"/>
      <w:ind w:left="1440" w:right="720"/>
    </w:pPr>
  </w:style>
  <w:style w:type="paragraph" w:styleId="BodyText">
    <w:name w:val="Body Text"/>
    <w:aliases w:val="BT"/>
    <w:basedOn w:val="Normal"/>
    <w:pPr>
      <w:spacing w:after="240"/>
      <w:ind w:firstLine="720"/>
    </w:pPr>
  </w:style>
  <w:style w:type="paragraph" w:customStyle="1" w:styleId="BodyTextIndent">
    <w:name w:val="Body Text + Indent"/>
    <w:aliases w:val="BTIN"/>
    <w:basedOn w:val="BodyText"/>
    <w:pPr>
      <w:ind w:left="720"/>
    </w:pPr>
  </w:style>
  <w:style w:type="paragraph" w:customStyle="1" w:styleId="BodyTextIndent2">
    <w:name w:val="Body Text + Indent 2"/>
    <w:aliases w:val="BTIN2"/>
    <w:basedOn w:val="BodyTextIndent"/>
    <w:pPr>
      <w:ind w:left="1440"/>
    </w:pPr>
  </w:style>
  <w:style w:type="paragraph" w:styleId="BodyText2">
    <w:name w:val="Body Text 2"/>
    <w:aliases w:val="BT2"/>
    <w:basedOn w:val="Normal"/>
    <w:pPr>
      <w:spacing w:after="240" w:line="480" w:lineRule="auto"/>
      <w:ind w:firstLine="720"/>
    </w:pPr>
  </w:style>
  <w:style w:type="paragraph" w:styleId="BodyText3">
    <w:name w:val="Body Text 3"/>
    <w:aliases w:val="BT3"/>
    <w:basedOn w:val="Normal"/>
  </w:style>
  <w:style w:type="paragraph" w:customStyle="1" w:styleId="BodyTextContinued">
    <w:name w:val="Body Text Continued"/>
    <w:aliases w:val="BTC"/>
    <w:basedOn w:val="Normal"/>
    <w:next w:val="BodyText"/>
    <w:pPr>
      <w:spacing w:after="240"/>
    </w:pPr>
  </w:style>
  <w:style w:type="paragraph" w:styleId="BodyTextFirstIndent">
    <w:name w:val="Body Text First Indent"/>
    <w:aliases w:val="BTF"/>
    <w:basedOn w:val="Normal"/>
    <w:pPr>
      <w:spacing w:after="240"/>
      <w:ind w:firstLine="1440"/>
    </w:pPr>
  </w:style>
  <w:style w:type="paragraph" w:styleId="BodyTextIndent0">
    <w:name w:val="Body Text Indent"/>
    <w:aliases w:val="BTI"/>
    <w:basedOn w:val="BodyTextNoIndent"/>
    <w:pPr>
      <w:ind w:left="720"/>
    </w:pPr>
  </w:style>
  <w:style w:type="paragraph" w:styleId="BodyTextFirstIndent2">
    <w:name w:val="Body Text First Indent 2"/>
    <w:aliases w:val="BTF2"/>
    <w:basedOn w:val="BodyTextFirstIndent"/>
    <w:pPr>
      <w:ind w:left="720"/>
    </w:pPr>
  </w:style>
  <w:style w:type="paragraph" w:customStyle="1" w:styleId="BodyTextFirstIndent3">
    <w:name w:val="Body Text First Indent 3"/>
    <w:aliases w:val="BTF3"/>
    <w:basedOn w:val="BodyTextFirstIndent2"/>
    <w:pPr>
      <w:ind w:left="1440"/>
    </w:pPr>
  </w:style>
  <w:style w:type="paragraph" w:customStyle="1" w:styleId="BodyTextNoIndent">
    <w:name w:val="Body Text No Indent"/>
    <w:aliases w:val="BTNI"/>
    <w:basedOn w:val="Normal"/>
    <w:pPr>
      <w:spacing w:after="240"/>
    </w:pPr>
  </w:style>
  <w:style w:type="paragraph" w:styleId="BodyTextIndent20">
    <w:name w:val="Body Text Indent 2"/>
    <w:aliases w:val="BTI2"/>
    <w:basedOn w:val="BodyTextIndent0"/>
    <w:pPr>
      <w:ind w:left="1440"/>
    </w:pPr>
  </w:style>
  <w:style w:type="paragraph" w:styleId="BodyTextIndent3">
    <w:name w:val="Body Text Indent 3"/>
    <w:aliases w:val="BTI3"/>
    <w:basedOn w:val="BodyTextIndent20"/>
    <w:pPr>
      <w:ind w:left="2160"/>
    </w:pPr>
  </w:style>
  <w:style w:type="paragraph" w:customStyle="1" w:styleId="BTHangIndent">
    <w:name w:val="BT Hang Indent"/>
    <w:aliases w:val="BTH"/>
    <w:basedOn w:val="Normal"/>
    <w:pPr>
      <w:spacing w:after="240"/>
      <w:ind w:left="1440" w:hanging="1440"/>
    </w:pPr>
  </w:style>
  <w:style w:type="paragraph" w:customStyle="1" w:styleId="BTHangIndent2">
    <w:name w:val="BT Hang Indent 2"/>
    <w:aliases w:val="BTH2"/>
    <w:basedOn w:val="BTHangIndent"/>
    <w:pPr>
      <w:ind w:left="2160"/>
    </w:pPr>
  </w:style>
  <w:style w:type="paragraph" w:customStyle="1" w:styleId="Centered">
    <w:name w:val="Centered"/>
    <w:aliases w:val="CT"/>
    <w:basedOn w:val="Normal"/>
    <w:pPr>
      <w:spacing w:after="240"/>
      <w:jc w:val="center"/>
    </w:pPr>
  </w:style>
  <w:style w:type="paragraph" w:styleId="ListBullet">
    <w:name w:val="List Bullet"/>
    <w:basedOn w:val="Normal"/>
    <w:pPr>
      <w:numPr>
        <w:numId w:val="1"/>
      </w:numPr>
      <w:tabs>
        <w:tab w:val="clear" w:pos="720"/>
      </w:tabs>
      <w:spacing w:after="240"/>
    </w:pPr>
  </w:style>
  <w:style w:type="paragraph" w:styleId="ListBullet2">
    <w:name w:val="List Bullet 2"/>
    <w:basedOn w:val="Normal"/>
    <w:pPr>
      <w:numPr>
        <w:numId w:val="3"/>
      </w:numPr>
      <w:tabs>
        <w:tab w:val="left" w:pos="1440"/>
      </w:tabs>
      <w:spacing w:after="240"/>
    </w:pPr>
  </w:style>
  <w:style w:type="paragraph" w:styleId="ListBullet3">
    <w:name w:val="List Bullet 3"/>
    <w:basedOn w:val="Normal"/>
    <w:pPr>
      <w:numPr>
        <w:numId w:val="5"/>
      </w:numPr>
      <w:tabs>
        <w:tab w:val="left" w:pos="2160"/>
      </w:tabs>
      <w:spacing w:after="240"/>
    </w:pPr>
  </w:style>
  <w:style w:type="paragraph" w:styleId="ListBullet4">
    <w:name w:val="List Bullet 4"/>
    <w:basedOn w:val="Normal"/>
    <w:pPr>
      <w:numPr>
        <w:numId w:val="7"/>
      </w:numPr>
      <w:tabs>
        <w:tab w:val="left" w:pos="2880"/>
      </w:tabs>
      <w:spacing w:after="240"/>
    </w:pPr>
  </w:style>
  <w:style w:type="paragraph" w:styleId="ListBullet5">
    <w:name w:val="List Bullet 5"/>
    <w:basedOn w:val="Normal"/>
    <w:pPr>
      <w:numPr>
        <w:numId w:val="9"/>
      </w:numPr>
      <w:tabs>
        <w:tab w:val="left" w:pos="3600"/>
      </w:tabs>
      <w:spacing w:after="240"/>
    </w:pPr>
  </w:style>
  <w:style w:type="paragraph" w:styleId="ListNumber">
    <w:name w:val="List Number"/>
    <w:basedOn w:val="Normal"/>
    <w:pPr>
      <w:numPr>
        <w:numId w:val="11"/>
      </w:numPr>
      <w:spacing w:after="240"/>
    </w:pPr>
  </w:style>
  <w:style w:type="paragraph" w:styleId="ListNumber2">
    <w:name w:val="List Number 2"/>
    <w:basedOn w:val="Normal"/>
    <w:pPr>
      <w:numPr>
        <w:numId w:val="13"/>
      </w:numPr>
      <w:spacing w:after="240"/>
    </w:pPr>
  </w:style>
  <w:style w:type="paragraph" w:styleId="ListNumber3">
    <w:name w:val="List Number 3"/>
    <w:basedOn w:val="Normal"/>
    <w:pPr>
      <w:numPr>
        <w:numId w:val="15"/>
      </w:numPr>
      <w:spacing w:after="240"/>
    </w:pPr>
  </w:style>
  <w:style w:type="paragraph" w:styleId="ListNumber4">
    <w:name w:val="List Number 4"/>
    <w:basedOn w:val="Normal"/>
    <w:pPr>
      <w:numPr>
        <w:numId w:val="17"/>
      </w:numPr>
      <w:spacing w:after="240"/>
    </w:pPr>
  </w:style>
  <w:style w:type="paragraph" w:styleId="ListNumber5">
    <w:name w:val="List Number 5"/>
    <w:basedOn w:val="Normal"/>
    <w:pPr>
      <w:numPr>
        <w:numId w:val="19"/>
      </w:numPr>
      <w:spacing w:after="240"/>
    </w:pPr>
  </w:style>
  <w:style w:type="paragraph" w:styleId="Title">
    <w:name w:val="Title"/>
    <w:aliases w:val="T1"/>
    <w:basedOn w:val="Normal"/>
    <w:next w:val="BodyText"/>
    <w:qFormat/>
    <w:pPr>
      <w:keepNext/>
      <w:spacing w:after="240"/>
      <w:jc w:val="center"/>
    </w:pPr>
    <w:rPr>
      <w:rFonts w:cs="Arial"/>
      <w:bCs/>
    </w:rPr>
  </w:style>
  <w:style w:type="paragraph" w:customStyle="1" w:styleId="TitleB">
    <w:name w:val="Title B"/>
    <w:aliases w:val="TB"/>
    <w:basedOn w:val="Title"/>
    <w:next w:val="BodyText"/>
    <w:rPr>
      <w:b/>
    </w:rPr>
  </w:style>
  <w:style w:type="paragraph" w:customStyle="1" w:styleId="TitleU">
    <w:name w:val="Title U"/>
    <w:aliases w:val="TU"/>
    <w:basedOn w:val="TitleB"/>
    <w:next w:val="BodyText"/>
    <w:rPr>
      <w:b w:val="0"/>
      <w:u w:val="single"/>
    </w:rPr>
  </w:style>
  <w:style w:type="paragraph" w:customStyle="1" w:styleId="TitleBU">
    <w:name w:val="Title BU"/>
    <w:aliases w:val="TBU"/>
    <w:basedOn w:val="TitleU"/>
    <w:next w:val="BodyText"/>
    <w:rPr>
      <w:b/>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pPr>
      <w:tabs>
        <w:tab w:val="center" w:pos="4680"/>
        <w:tab w:val="right" w:pos="9360"/>
      </w:tabs>
    </w:pPr>
  </w:style>
  <w:style w:type="paragraph" w:styleId="Subtitle">
    <w:name w:val="Subtitle"/>
    <w:aliases w:val="S1"/>
    <w:basedOn w:val="Normal"/>
    <w:next w:val="BodyText"/>
    <w:qFormat/>
    <w:pPr>
      <w:keepNext/>
      <w:spacing w:after="480"/>
      <w:jc w:val="center"/>
    </w:pPr>
    <w:rPr>
      <w:rFonts w:cs="Arial"/>
    </w:rPr>
  </w:style>
  <w:style w:type="numbering" w:styleId="111111">
    <w:name w:val="Outline List 2"/>
    <w:basedOn w:val="NoList"/>
    <w:semiHidden/>
    <w:pPr>
      <w:numPr>
        <w:numId w:val="21"/>
      </w:numPr>
    </w:pPr>
  </w:style>
  <w:style w:type="numbering" w:styleId="1ai">
    <w:name w:val="Outline List 1"/>
    <w:basedOn w:val="NoList"/>
    <w:semiHidden/>
    <w:pPr>
      <w:numPr>
        <w:numId w:val="24"/>
      </w:numPr>
    </w:pPr>
  </w:style>
  <w:style w:type="numbering" w:styleId="ArticleSection">
    <w:name w:val="Outline List 3"/>
    <w:basedOn w:val="NoList"/>
    <w:semiHidden/>
    <w:pPr>
      <w:numPr>
        <w:numId w:val="26"/>
      </w:numPr>
    </w:pPr>
  </w:style>
  <w:style w:type="paragraph" w:styleId="BalloonText">
    <w:name w:val="Balloon Text"/>
    <w:basedOn w:val="Normal"/>
    <w:rPr>
      <w:rFonts w:ascii="Tahoma" w:hAnsi="Tahoma" w:cs="Tahoma"/>
      <w:sz w:val="16"/>
      <w:szCs w:val="16"/>
    </w:rPr>
  </w:style>
  <w:style w:type="paragraph" w:styleId="Closing">
    <w:name w:val="Closing"/>
    <w:basedOn w:val="Normal"/>
    <w:pPr>
      <w:ind w:left="4680"/>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Header">
    <w:name w:val="header"/>
    <w:basedOn w:val="Normal"/>
    <w:pPr>
      <w:tabs>
        <w:tab w:val="center" w:pos="4680"/>
        <w:tab w:val="right" w:pos="936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customStyle="1" w:styleId="Quote1">
    <w:name w:val="Quote1"/>
    <w:aliases w:val="QT"/>
    <w:basedOn w:val="Normal"/>
    <w:next w:val="BodyText"/>
    <w:pPr>
      <w:spacing w:after="240"/>
      <w:ind w:left="720" w:right="720"/>
    </w:pPr>
  </w:style>
  <w:style w:type="paragraph" w:customStyle="1" w:styleId="Right">
    <w:name w:val="Right"/>
    <w:aliases w:val="RT"/>
    <w:basedOn w:val="Normal"/>
    <w:pPr>
      <w:spacing w:before="240"/>
      <w:jc w:val="right"/>
    </w:pPr>
  </w:style>
  <w:style w:type="paragraph" w:styleId="Signature">
    <w:name w:val="Signature"/>
    <w:basedOn w:val="Normal"/>
    <w:pPr>
      <w:ind w:left="4680"/>
    </w:pPr>
  </w:style>
  <w:style w:type="paragraph" w:customStyle="1" w:styleId="SubtitleB">
    <w:name w:val="Subtitle B"/>
    <w:aliases w:val="SB"/>
    <w:basedOn w:val="Subtitle"/>
    <w:next w:val="BodyText"/>
    <w:rPr>
      <w:b/>
    </w:rPr>
  </w:style>
  <w:style w:type="paragraph" w:customStyle="1" w:styleId="SubtitleU">
    <w:name w:val="Subtitle U"/>
    <w:aliases w:val="SU"/>
    <w:basedOn w:val="SubtitleB"/>
    <w:next w:val="BodyText"/>
    <w:rPr>
      <w:b w:val="0"/>
      <w:u w:val="single"/>
    </w:rPr>
  </w:style>
  <w:style w:type="paragraph" w:customStyle="1" w:styleId="SubtitleBU">
    <w:name w:val="Subtitle BU"/>
    <w:aliases w:val="SBU"/>
    <w:basedOn w:val="SubtitleU"/>
    <w:next w:val="BodyText"/>
    <w:rPr>
      <w:b/>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u w:val="single"/>
    </w:rPr>
  </w:style>
  <w:style w:type="character" w:customStyle="1" w:styleId="zzmpTrailerItem">
    <w:name w:val="zzmpTrailerItem"/>
    <w:rsid w:val="00E55E54"/>
    <w:rPr>
      <w:rFonts w:ascii="Times New Roman" w:hAnsi="Times New Roman" w:cs="Times New Roman"/>
      <w:dstrike w:val="0"/>
      <w:noProof/>
      <w:color w:val="auto"/>
      <w:spacing w:val="0"/>
      <w:position w:val="0"/>
      <w:sz w:val="15"/>
      <w:szCs w:val="16"/>
      <w:u w:val="none"/>
      <w:effect w:val="none"/>
      <w:vertAlign w:val="baseline"/>
    </w:rPr>
  </w:style>
  <w:style w:type="paragraph" w:customStyle="1" w:styleId="GTDocID">
    <w:name w:val="GT DocID"/>
    <w:basedOn w:val="Normal"/>
    <w:link w:val="GTDocIDChar"/>
    <w:qFormat/>
    <w:rsid w:val="001C3451"/>
    <w:pPr>
      <w:spacing w:after="200" w:line="276" w:lineRule="auto"/>
    </w:pPr>
    <w:rPr>
      <w:rFonts w:ascii="Arial" w:eastAsia="Calibri" w:hAnsi="Arial"/>
      <w:i/>
      <w:sz w:val="16"/>
      <w:szCs w:val="22"/>
    </w:rPr>
  </w:style>
  <w:style w:type="character" w:customStyle="1" w:styleId="GTDocIDChar">
    <w:name w:val="GT DocID Char"/>
    <w:link w:val="GTDocID"/>
    <w:rsid w:val="001C3451"/>
    <w:rPr>
      <w:rFonts w:ascii="Arial" w:eastAsia="Calibri" w:hAnsi="Arial"/>
      <w:i/>
      <w:sz w:val="16"/>
      <w:szCs w:val="22"/>
    </w:rPr>
  </w:style>
  <w:style w:type="paragraph" w:customStyle="1" w:styleId="BodySglSpJ">
    <w:name w:val="Body Sgl Sp J"/>
    <w:basedOn w:val="Normal"/>
    <w:rsid w:val="001C3451"/>
    <w:pPr>
      <w:spacing w:after="240"/>
      <w:jc w:val="both"/>
    </w:pPr>
    <w:rPr>
      <w:szCs w:val="20"/>
    </w:rPr>
  </w:style>
  <w:style w:type="character" w:customStyle="1" w:styleId="FontI">
    <w:name w:val="Font I"/>
    <w:rsid w:val="001C3451"/>
    <w:rPr>
      <w:i/>
      <w:lang w:val="en-US" w:eastAsia="en-US" w:bidi="ar-SA"/>
    </w:rPr>
  </w:style>
  <w:style w:type="character" w:customStyle="1" w:styleId="FontU">
    <w:name w:val="Font U"/>
    <w:rsid w:val="001C3451"/>
    <w:rPr>
      <w:u w:val="single"/>
      <w:lang w:val="en-US" w:eastAsia="en-US" w:bidi="ar-SA"/>
    </w:rPr>
  </w:style>
  <w:style w:type="character" w:customStyle="1" w:styleId="FontSuper">
    <w:name w:val="Font Super"/>
    <w:uiPriority w:val="1"/>
    <w:qFormat/>
    <w:rsid w:val="001C3451"/>
    <w:rPr>
      <w:vertAlign w:val="superscript"/>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keepNext/>
      <w:spacing w:after="240"/>
      <w:jc w:val="center"/>
      <w:outlineLvl w:val="0"/>
    </w:pPr>
    <w:rPr>
      <w:rFonts w:cs="Arial"/>
      <w:b/>
      <w:bCs/>
    </w:rPr>
  </w:style>
  <w:style w:type="paragraph" w:styleId="Heading2">
    <w:name w:val="heading 2"/>
    <w:basedOn w:val="Heading1"/>
    <w:next w:val="BodyText"/>
    <w:qFormat/>
    <w:pPr>
      <w:outlineLvl w:val="1"/>
    </w:pPr>
    <w:rPr>
      <w:bCs w:val="0"/>
      <w:iCs/>
      <w:u w:val="single"/>
    </w:rPr>
  </w:style>
  <w:style w:type="paragraph" w:styleId="Heading3">
    <w:name w:val="heading 3"/>
    <w:basedOn w:val="Heading2"/>
    <w:next w:val="BodyText"/>
    <w:qFormat/>
    <w:pPr>
      <w:jc w:val="left"/>
      <w:outlineLvl w:val="2"/>
    </w:pPr>
    <w:rPr>
      <w:bCs/>
      <w:u w:val="none"/>
    </w:rPr>
  </w:style>
  <w:style w:type="paragraph" w:styleId="Heading4">
    <w:name w:val="heading 4"/>
    <w:basedOn w:val="Heading3"/>
    <w:next w:val="BodyText"/>
    <w:qFormat/>
    <w:pPr>
      <w:outlineLvl w:val="3"/>
    </w:pPr>
    <w:rPr>
      <w:b w:val="0"/>
      <w:bCs w:val="0"/>
      <w:u w:val="single"/>
    </w:rPr>
  </w:style>
  <w:style w:type="paragraph" w:styleId="Heading5">
    <w:name w:val="heading 5"/>
    <w:basedOn w:val="Heading4"/>
    <w:next w:val="BodyText"/>
    <w:qFormat/>
    <w:pPr>
      <w:ind w:left="720"/>
      <w:outlineLvl w:val="4"/>
    </w:pPr>
    <w:rPr>
      <w:bCs/>
      <w:iCs w:val="0"/>
      <w:u w:val="none"/>
    </w:rPr>
  </w:style>
  <w:style w:type="paragraph" w:styleId="Heading6">
    <w:name w:val="heading 6"/>
    <w:basedOn w:val="Heading5"/>
    <w:next w:val="BodyText"/>
    <w:qFormat/>
    <w:pPr>
      <w:outlineLvl w:val="5"/>
    </w:pPr>
    <w:rPr>
      <w:bCs w:val="0"/>
      <w:u w:val="single"/>
    </w:rPr>
  </w:style>
  <w:style w:type="paragraph" w:styleId="Heading7">
    <w:name w:val="heading 7"/>
    <w:basedOn w:val="Heading6"/>
    <w:next w:val="BodyText"/>
    <w:qFormat/>
    <w:pPr>
      <w:ind w:left="0"/>
      <w:jc w:val="center"/>
      <w:outlineLvl w:val="6"/>
    </w:pPr>
    <w:rPr>
      <w:b/>
      <w:u w:val="none"/>
    </w:rPr>
  </w:style>
  <w:style w:type="paragraph" w:styleId="Heading8">
    <w:name w:val="heading 8"/>
    <w:basedOn w:val="Heading7"/>
    <w:next w:val="BodyText"/>
    <w:qFormat/>
    <w:pPr>
      <w:jc w:val="left"/>
      <w:outlineLvl w:val="7"/>
    </w:pPr>
    <w:rPr>
      <w:iCs/>
    </w:rPr>
  </w:style>
  <w:style w:type="paragraph" w:styleId="Heading9">
    <w:name w:val="heading 9"/>
    <w:basedOn w:val="Heading8"/>
    <w:next w:val="BodyText"/>
    <w:qFormat/>
    <w:pPr>
      <w:outlineLvl w:val="8"/>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K"/>
    <w:basedOn w:val="Normal"/>
    <w:next w:val="BodyText"/>
    <w:pPr>
      <w:spacing w:after="240"/>
      <w:ind w:left="1440" w:right="720"/>
    </w:pPr>
  </w:style>
  <w:style w:type="paragraph" w:styleId="BodyText">
    <w:name w:val="Body Text"/>
    <w:aliases w:val="BT"/>
    <w:basedOn w:val="Normal"/>
    <w:pPr>
      <w:spacing w:after="240"/>
      <w:ind w:firstLine="720"/>
    </w:pPr>
  </w:style>
  <w:style w:type="paragraph" w:customStyle="1" w:styleId="BodyTextIndent">
    <w:name w:val="Body Text + Indent"/>
    <w:aliases w:val="BTIN"/>
    <w:basedOn w:val="BodyText"/>
    <w:pPr>
      <w:ind w:left="720"/>
    </w:pPr>
  </w:style>
  <w:style w:type="paragraph" w:customStyle="1" w:styleId="BodyTextIndent2">
    <w:name w:val="Body Text + Indent 2"/>
    <w:aliases w:val="BTIN2"/>
    <w:basedOn w:val="BodyTextIndent"/>
    <w:pPr>
      <w:ind w:left="1440"/>
    </w:pPr>
  </w:style>
  <w:style w:type="paragraph" w:styleId="BodyText2">
    <w:name w:val="Body Text 2"/>
    <w:aliases w:val="BT2"/>
    <w:basedOn w:val="Normal"/>
    <w:pPr>
      <w:spacing w:after="240" w:line="480" w:lineRule="auto"/>
      <w:ind w:firstLine="720"/>
    </w:pPr>
  </w:style>
  <w:style w:type="paragraph" w:styleId="BodyText3">
    <w:name w:val="Body Text 3"/>
    <w:aliases w:val="BT3"/>
    <w:basedOn w:val="Normal"/>
  </w:style>
  <w:style w:type="paragraph" w:customStyle="1" w:styleId="BodyTextContinued">
    <w:name w:val="Body Text Continued"/>
    <w:aliases w:val="BTC"/>
    <w:basedOn w:val="Normal"/>
    <w:next w:val="BodyText"/>
    <w:pPr>
      <w:spacing w:after="240"/>
    </w:pPr>
  </w:style>
  <w:style w:type="paragraph" w:styleId="BodyTextFirstIndent">
    <w:name w:val="Body Text First Indent"/>
    <w:aliases w:val="BTF"/>
    <w:basedOn w:val="Normal"/>
    <w:pPr>
      <w:spacing w:after="240"/>
      <w:ind w:firstLine="1440"/>
    </w:pPr>
  </w:style>
  <w:style w:type="paragraph" w:styleId="BodyTextIndent0">
    <w:name w:val="Body Text Indent"/>
    <w:aliases w:val="BTI"/>
    <w:basedOn w:val="BodyTextNoIndent"/>
    <w:pPr>
      <w:ind w:left="720"/>
    </w:pPr>
  </w:style>
  <w:style w:type="paragraph" w:styleId="BodyTextFirstIndent2">
    <w:name w:val="Body Text First Indent 2"/>
    <w:aliases w:val="BTF2"/>
    <w:basedOn w:val="BodyTextFirstIndent"/>
    <w:pPr>
      <w:ind w:left="720"/>
    </w:pPr>
  </w:style>
  <w:style w:type="paragraph" w:customStyle="1" w:styleId="BodyTextFirstIndent3">
    <w:name w:val="Body Text First Indent 3"/>
    <w:aliases w:val="BTF3"/>
    <w:basedOn w:val="BodyTextFirstIndent2"/>
    <w:pPr>
      <w:ind w:left="1440"/>
    </w:pPr>
  </w:style>
  <w:style w:type="paragraph" w:customStyle="1" w:styleId="BodyTextNoIndent">
    <w:name w:val="Body Text No Indent"/>
    <w:aliases w:val="BTNI"/>
    <w:basedOn w:val="Normal"/>
    <w:pPr>
      <w:spacing w:after="240"/>
    </w:pPr>
  </w:style>
  <w:style w:type="paragraph" w:styleId="BodyTextIndent20">
    <w:name w:val="Body Text Indent 2"/>
    <w:aliases w:val="BTI2"/>
    <w:basedOn w:val="BodyTextIndent0"/>
    <w:pPr>
      <w:ind w:left="1440"/>
    </w:pPr>
  </w:style>
  <w:style w:type="paragraph" w:styleId="BodyTextIndent3">
    <w:name w:val="Body Text Indent 3"/>
    <w:aliases w:val="BTI3"/>
    <w:basedOn w:val="BodyTextIndent20"/>
    <w:pPr>
      <w:ind w:left="2160"/>
    </w:pPr>
  </w:style>
  <w:style w:type="paragraph" w:customStyle="1" w:styleId="BTHangIndent">
    <w:name w:val="BT Hang Indent"/>
    <w:aliases w:val="BTH"/>
    <w:basedOn w:val="Normal"/>
    <w:pPr>
      <w:spacing w:after="240"/>
      <w:ind w:left="1440" w:hanging="1440"/>
    </w:pPr>
  </w:style>
  <w:style w:type="paragraph" w:customStyle="1" w:styleId="BTHangIndent2">
    <w:name w:val="BT Hang Indent 2"/>
    <w:aliases w:val="BTH2"/>
    <w:basedOn w:val="BTHangIndent"/>
    <w:pPr>
      <w:ind w:left="2160"/>
    </w:pPr>
  </w:style>
  <w:style w:type="paragraph" w:customStyle="1" w:styleId="Centered">
    <w:name w:val="Centered"/>
    <w:aliases w:val="CT"/>
    <w:basedOn w:val="Normal"/>
    <w:pPr>
      <w:spacing w:after="240"/>
      <w:jc w:val="center"/>
    </w:pPr>
  </w:style>
  <w:style w:type="paragraph" w:styleId="ListBullet">
    <w:name w:val="List Bullet"/>
    <w:basedOn w:val="Normal"/>
    <w:pPr>
      <w:numPr>
        <w:numId w:val="1"/>
      </w:numPr>
      <w:tabs>
        <w:tab w:val="clear" w:pos="720"/>
      </w:tabs>
      <w:spacing w:after="240"/>
    </w:pPr>
  </w:style>
  <w:style w:type="paragraph" w:styleId="ListBullet2">
    <w:name w:val="List Bullet 2"/>
    <w:basedOn w:val="Normal"/>
    <w:pPr>
      <w:numPr>
        <w:numId w:val="3"/>
      </w:numPr>
      <w:tabs>
        <w:tab w:val="left" w:pos="1440"/>
      </w:tabs>
      <w:spacing w:after="240"/>
    </w:pPr>
  </w:style>
  <w:style w:type="paragraph" w:styleId="ListBullet3">
    <w:name w:val="List Bullet 3"/>
    <w:basedOn w:val="Normal"/>
    <w:pPr>
      <w:numPr>
        <w:numId w:val="5"/>
      </w:numPr>
      <w:tabs>
        <w:tab w:val="left" w:pos="2160"/>
      </w:tabs>
      <w:spacing w:after="240"/>
    </w:pPr>
  </w:style>
  <w:style w:type="paragraph" w:styleId="ListBullet4">
    <w:name w:val="List Bullet 4"/>
    <w:basedOn w:val="Normal"/>
    <w:pPr>
      <w:numPr>
        <w:numId w:val="7"/>
      </w:numPr>
      <w:tabs>
        <w:tab w:val="left" w:pos="2880"/>
      </w:tabs>
      <w:spacing w:after="240"/>
    </w:pPr>
  </w:style>
  <w:style w:type="paragraph" w:styleId="ListBullet5">
    <w:name w:val="List Bullet 5"/>
    <w:basedOn w:val="Normal"/>
    <w:pPr>
      <w:numPr>
        <w:numId w:val="9"/>
      </w:numPr>
      <w:tabs>
        <w:tab w:val="left" w:pos="3600"/>
      </w:tabs>
      <w:spacing w:after="240"/>
    </w:pPr>
  </w:style>
  <w:style w:type="paragraph" w:styleId="ListNumber">
    <w:name w:val="List Number"/>
    <w:basedOn w:val="Normal"/>
    <w:pPr>
      <w:numPr>
        <w:numId w:val="11"/>
      </w:numPr>
      <w:spacing w:after="240"/>
    </w:pPr>
  </w:style>
  <w:style w:type="paragraph" w:styleId="ListNumber2">
    <w:name w:val="List Number 2"/>
    <w:basedOn w:val="Normal"/>
    <w:pPr>
      <w:numPr>
        <w:numId w:val="13"/>
      </w:numPr>
      <w:spacing w:after="240"/>
    </w:pPr>
  </w:style>
  <w:style w:type="paragraph" w:styleId="ListNumber3">
    <w:name w:val="List Number 3"/>
    <w:basedOn w:val="Normal"/>
    <w:pPr>
      <w:numPr>
        <w:numId w:val="15"/>
      </w:numPr>
      <w:spacing w:after="240"/>
    </w:pPr>
  </w:style>
  <w:style w:type="paragraph" w:styleId="ListNumber4">
    <w:name w:val="List Number 4"/>
    <w:basedOn w:val="Normal"/>
    <w:pPr>
      <w:numPr>
        <w:numId w:val="17"/>
      </w:numPr>
      <w:spacing w:after="240"/>
    </w:pPr>
  </w:style>
  <w:style w:type="paragraph" w:styleId="ListNumber5">
    <w:name w:val="List Number 5"/>
    <w:basedOn w:val="Normal"/>
    <w:pPr>
      <w:numPr>
        <w:numId w:val="19"/>
      </w:numPr>
      <w:spacing w:after="240"/>
    </w:pPr>
  </w:style>
  <w:style w:type="paragraph" w:styleId="Title">
    <w:name w:val="Title"/>
    <w:aliases w:val="T1"/>
    <w:basedOn w:val="Normal"/>
    <w:next w:val="BodyText"/>
    <w:qFormat/>
    <w:pPr>
      <w:keepNext/>
      <w:spacing w:after="240"/>
      <w:jc w:val="center"/>
    </w:pPr>
    <w:rPr>
      <w:rFonts w:cs="Arial"/>
      <w:bCs/>
    </w:rPr>
  </w:style>
  <w:style w:type="paragraph" w:customStyle="1" w:styleId="TitleB">
    <w:name w:val="Title B"/>
    <w:aliases w:val="TB"/>
    <w:basedOn w:val="Title"/>
    <w:next w:val="BodyText"/>
    <w:rPr>
      <w:b/>
    </w:rPr>
  </w:style>
  <w:style w:type="paragraph" w:customStyle="1" w:styleId="TitleU">
    <w:name w:val="Title U"/>
    <w:aliases w:val="TU"/>
    <w:basedOn w:val="TitleB"/>
    <w:next w:val="BodyText"/>
    <w:rPr>
      <w:b w:val="0"/>
      <w:u w:val="single"/>
    </w:rPr>
  </w:style>
  <w:style w:type="paragraph" w:customStyle="1" w:styleId="TitleBU">
    <w:name w:val="Title BU"/>
    <w:aliases w:val="TBU"/>
    <w:basedOn w:val="TitleU"/>
    <w:next w:val="BodyText"/>
    <w:rPr>
      <w:b/>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pPr>
      <w:tabs>
        <w:tab w:val="center" w:pos="4680"/>
        <w:tab w:val="right" w:pos="9360"/>
      </w:tabs>
    </w:pPr>
  </w:style>
  <w:style w:type="paragraph" w:styleId="Subtitle">
    <w:name w:val="Subtitle"/>
    <w:aliases w:val="S1"/>
    <w:basedOn w:val="Normal"/>
    <w:next w:val="BodyText"/>
    <w:qFormat/>
    <w:pPr>
      <w:keepNext/>
      <w:spacing w:after="480"/>
      <w:jc w:val="center"/>
    </w:pPr>
    <w:rPr>
      <w:rFonts w:cs="Arial"/>
    </w:rPr>
  </w:style>
  <w:style w:type="numbering" w:styleId="111111">
    <w:name w:val="Outline List 2"/>
    <w:basedOn w:val="NoList"/>
    <w:semiHidden/>
    <w:pPr>
      <w:numPr>
        <w:numId w:val="21"/>
      </w:numPr>
    </w:pPr>
  </w:style>
  <w:style w:type="numbering" w:styleId="1ai">
    <w:name w:val="Outline List 1"/>
    <w:basedOn w:val="NoList"/>
    <w:semiHidden/>
    <w:pPr>
      <w:numPr>
        <w:numId w:val="24"/>
      </w:numPr>
    </w:pPr>
  </w:style>
  <w:style w:type="numbering" w:styleId="ArticleSection">
    <w:name w:val="Outline List 3"/>
    <w:basedOn w:val="NoList"/>
    <w:semiHidden/>
    <w:pPr>
      <w:numPr>
        <w:numId w:val="26"/>
      </w:numPr>
    </w:pPr>
  </w:style>
  <w:style w:type="paragraph" w:styleId="BalloonText">
    <w:name w:val="Balloon Text"/>
    <w:basedOn w:val="Normal"/>
    <w:rPr>
      <w:rFonts w:ascii="Tahoma" w:hAnsi="Tahoma" w:cs="Tahoma"/>
      <w:sz w:val="16"/>
      <w:szCs w:val="16"/>
    </w:rPr>
  </w:style>
  <w:style w:type="paragraph" w:styleId="Closing">
    <w:name w:val="Closing"/>
    <w:basedOn w:val="Normal"/>
    <w:pPr>
      <w:ind w:left="4680"/>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Header">
    <w:name w:val="header"/>
    <w:basedOn w:val="Normal"/>
    <w:pPr>
      <w:tabs>
        <w:tab w:val="center" w:pos="4680"/>
        <w:tab w:val="right" w:pos="936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customStyle="1" w:styleId="Quote1">
    <w:name w:val="Quote1"/>
    <w:aliases w:val="QT"/>
    <w:basedOn w:val="Normal"/>
    <w:next w:val="BodyText"/>
    <w:pPr>
      <w:spacing w:after="240"/>
      <w:ind w:left="720" w:right="720"/>
    </w:pPr>
  </w:style>
  <w:style w:type="paragraph" w:customStyle="1" w:styleId="Right">
    <w:name w:val="Right"/>
    <w:aliases w:val="RT"/>
    <w:basedOn w:val="Normal"/>
    <w:pPr>
      <w:spacing w:before="240"/>
      <w:jc w:val="right"/>
    </w:pPr>
  </w:style>
  <w:style w:type="paragraph" w:styleId="Signature">
    <w:name w:val="Signature"/>
    <w:basedOn w:val="Normal"/>
    <w:pPr>
      <w:ind w:left="4680"/>
    </w:pPr>
  </w:style>
  <w:style w:type="paragraph" w:customStyle="1" w:styleId="SubtitleB">
    <w:name w:val="Subtitle B"/>
    <w:aliases w:val="SB"/>
    <w:basedOn w:val="Subtitle"/>
    <w:next w:val="BodyText"/>
    <w:rPr>
      <w:b/>
    </w:rPr>
  </w:style>
  <w:style w:type="paragraph" w:customStyle="1" w:styleId="SubtitleU">
    <w:name w:val="Subtitle U"/>
    <w:aliases w:val="SU"/>
    <w:basedOn w:val="SubtitleB"/>
    <w:next w:val="BodyText"/>
    <w:rPr>
      <w:b w:val="0"/>
      <w:u w:val="single"/>
    </w:rPr>
  </w:style>
  <w:style w:type="paragraph" w:customStyle="1" w:styleId="SubtitleBU">
    <w:name w:val="Subtitle BU"/>
    <w:aliases w:val="SBU"/>
    <w:basedOn w:val="SubtitleU"/>
    <w:next w:val="BodyText"/>
    <w:rPr>
      <w:b/>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u w:val="single"/>
    </w:rPr>
  </w:style>
  <w:style w:type="character" w:customStyle="1" w:styleId="zzmpTrailerItem">
    <w:name w:val="zzmpTrailerItem"/>
    <w:rsid w:val="00E55E54"/>
    <w:rPr>
      <w:rFonts w:ascii="Times New Roman" w:hAnsi="Times New Roman" w:cs="Times New Roman"/>
      <w:dstrike w:val="0"/>
      <w:noProof/>
      <w:color w:val="auto"/>
      <w:spacing w:val="0"/>
      <w:position w:val="0"/>
      <w:sz w:val="15"/>
      <w:szCs w:val="16"/>
      <w:u w:val="none"/>
      <w:effect w:val="none"/>
      <w:vertAlign w:val="baseline"/>
    </w:rPr>
  </w:style>
  <w:style w:type="paragraph" w:customStyle="1" w:styleId="GTDocID">
    <w:name w:val="GT DocID"/>
    <w:basedOn w:val="Normal"/>
    <w:link w:val="GTDocIDChar"/>
    <w:qFormat/>
    <w:rsid w:val="001C3451"/>
    <w:pPr>
      <w:spacing w:after="200" w:line="276" w:lineRule="auto"/>
    </w:pPr>
    <w:rPr>
      <w:rFonts w:ascii="Arial" w:eastAsia="Calibri" w:hAnsi="Arial"/>
      <w:i/>
      <w:sz w:val="16"/>
      <w:szCs w:val="22"/>
    </w:rPr>
  </w:style>
  <w:style w:type="character" w:customStyle="1" w:styleId="GTDocIDChar">
    <w:name w:val="GT DocID Char"/>
    <w:link w:val="GTDocID"/>
    <w:rsid w:val="001C3451"/>
    <w:rPr>
      <w:rFonts w:ascii="Arial" w:eastAsia="Calibri" w:hAnsi="Arial"/>
      <w:i/>
      <w:sz w:val="16"/>
      <w:szCs w:val="22"/>
    </w:rPr>
  </w:style>
  <w:style w:type="paragraph" w:customStyle="1" w:styleId="BodySglSpJ">
    <w:name w:val="Body Sgl Sp J"/>
    <w:basedOn w:val="Normal"/>
    <w:rsid w:val="001C3451"/>
    <w:pPr>
      <w:spacing w:after="240"/>
      <w:jc w:val="both"/>
    </w:pPr>
    <w:rPr>
      <w:szCs w:val="20"/>
    </w:rPr>
  </w:style>
  <w:style w:type="character" w:customStyle="1" w:styleId="FontI">
    <w:name w:val="Font I"/>
    <w:rsid w:val="001C3451"/>
    <w:rPr>
      <w:i/>
      <w:lang w:val="en-US" w:eastAsia="en-US" w:bidi="ar-SA"/>
    </w:rPr>
  </w:style>
  <w:style w:type="character" w:customStyle="1" w:styleId="FontU">
    <w:name w:val="Font U"/>
    <w:rsid w:val="001C3451"/>
    <w:rPr>
      <w:u w:val="single"/>
      <w:lang w:val="en-US" w:eastAsia="en-US" w:bidi="ar-SA"/>
    </w:rPr>
  </w:style>
  <w:style w:type="character" w:customStyle="1" w:styleId="FontSuper">
    <w:name w:val="Font Super"/>
    <w:uiPriority w:val="1"/>
    <w:qFormat/>
    <w:rsid w:val="001C3451"/>
    <w:rPr>
      <w:vertAlign w:val="superscript"/>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32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2017-07-13T16:19:00Z</dcterms:created>
  <dcterms:modified xsi:type="dcterms:W3CDTF">2017-12-19T03:17:00Z</dcterms:modified>
</cp:coreProperties>
</file>