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7145" w14:textId="5118163B" w:rsidR="00A3614F" w:rsidRPr="00DC73D4" w:rsidRDefault="00A645B2">
      <w:pPr>
        <w:rPr>
          <w:b/>
          <w:bCs/>
        </w:rPr>
      </w:pPr>
      <w:r w:rsidRPr="00DC73D4">
        <w:rPr>
          <w:b/>
          <w:bCs/>
        </w:rPr>
        <w:t xml:space="preserve">Constructing phenotype risk scores for many </w:t>
      </w:r>
      <w:proofErr w:type="gramStart"/>
      <w:r w:rsidRPr="00DC73D4">
        <w:rPr>
          <w:b/>
          <w:bCs/>
        </w:rPr>
        <w:t>cancer</w:t>
      </w:r>
      <w:proofErr w:type="gramEnd"/>
      <w:r w:rsidRPr="00DC73D4">
        <w:rPr>
          <w:b/>
          <w:bCs/>
        </w:rPr>
        <w:t xml:space="preserve"> traits accounting for selection bias in an academic medical center-based electronic health record</w:t>
      </w:r>
    </w:p>
    <w:p w14:paraId="2419A65C" w14:textId="070FD17F" w:rsidR="00A645B2" w:rsidRDefault="00A645B2"/>
    <w:p w14:paraId="53516C9D" w14:textId="03AEAB24" w:rsidR="00A645B2" w:rsidRDefault="00A645B2">
      <w:r>
        <w:t xml:space="preserve">Authors: Maxwell Salvatore, Lauren J </w:t>
      </w:r>
      <w:proofErr w:type="spellStart"/>
      <w:r>
        <w:t>Beesley</w:t>
      </w:r>
      <w:proofErr w:type="spellEnd"/>
      <w:r>
        <w:t xml:space="preserve">, </w:t>
      </w:r>
      <w:proofErr w:type="spellStart"/>
      <w:r>
        <w:t>Ritoban</w:t>
      </w:r>
      <w:proofErr w:type="spellEnd"/>
      <w:r>
        <w:t xml:space="preserve"> Kundu, Lars G. Fritsche, Christopher R. Friese, Alison M. </w:t>
      </w:r>
      <w:proofErr w:type="spellStart"/>
      <w:r>
        <w:t>Mondul</w:t>
      </w:r>
      <w:proofErr w:type="spellEnd"/>
      <w:r>
        <w:t xml:space="preserve">, David </w:t>
      </w:r>
      <w:proofErr w:type="spellStart"/>
      <w:r>
        <w:t>Hanauer</w:t>
      </w:r>
      <w:proofErr w:type="spellEnd"/>
      <w:r>
        <w:t xml:space="preserve">, Celeste Leigh Pearce, </w:t>
      </w:r>
      <w:proofErr w:type="spellStart"/>
      <w:r>
        <w:t>Bhramar</w:t>
      </w:r>
      <w:proofErr w:type="spellEnd"/>
      <w:r>
        <w:t xml:space="preserve"> Mukherjee</w:t>
      </w:r>
    </w:p>
    <w:p w14:paraId="5EE8445D" w14:textId="0F939E25" w:rsidR="00A645B2" w:rsidRDefault="00A645B2"/>
    <w:p w14:paraId="2D26BCAC" w14:textId="4220D40C" w:rsidR="00A645B2" w:rsidRDefault="00A645B2">
      <w:r>
        <w:br w:type="page"/>
      </w:r>
    </w:p>
    <w:p w14:paraId="0073A7BB" w14:textId="503DF3AD" w:rsidR="00A645B2" w:rsidRDefault="00A645B2">
      <w:r>
        <w:rPr>
          <w:b/>
          <w:bCs/>
        </w:rPr>
        <w:lastRenderedPageBreak/>
        <w:t>Abstract</w:t>
      </w:r>
    </w:p>
    <w:p w14:paraId="73BA0FB5" w14:textId="43F9871E" w:rsidR="00A645B2" w:rsidRDefault="00A645B2"/>
    <w:p w14:paraId="56C1672F" w14:textId="54A05562" w:rsidR="00A645B2" w:rsidRDefault="00A645B2">
      <w:r>
        <w:br w:type="page"/>
      </w:r>
    </w:p>
    <w:p w14:paraId="25F86C3E" w14:textId="03F1ADBB" w:rsidR="00A645B2" w:rsidRDefault="00A645B2">
      <w:r>
        <w:rPr>
          <w:b/>
          <w:bCs/>
        </w:rPr>
        <w:lastRenderedPageBreak/>
        <w:t>Introduction</w:t>
      </w:r>
    </w:p>
    <w:p w14:paraId="69A2952E" w14:textId="1D41F309" w:rsidR="00A645B2" w:rsidRDefault="00A645B2"/>
    <w:p w14:paraId="41C04C42" w14:textId="4A9818F6" w:rsidR="00537E85" w:rsidRDefault="00537E85" w:rsidP="00F36130">
      <w:pPr>
        <w:ind w:firstLine="720"/>
        <w:jc w:val="both"/>
      </w:pPr>
      <w:r>
        <w:t>Cancer is a disease of global health concern with a paper recently predicting a 47% growth in cancer incidence globally by 2040.</w:t>
      </w:r>
      <w:r>
        <w:fldChar w:fldCharType="begin"/>
      </w:r>
      <w:r>
        <w:instrText xml:space="preserve"> ADDIN ZOTERO_ITEM CSL_CITATION {"citationID":"4PCf3KCZ","properties":{"formattedCitation":"\\super 1\\nosupersub{}","plainCitation":"1","noteIndex":0},"citationItems":[{"id":3660,"uris":["http://zotero.org/users/4902889/items/GKDAHE8F"],"itemData":{"id":3660,"type":"article-journal","abstract":"This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control.","container-title":"CA: a cancer journal for clinicians","DOI":"10.3322/caac.21660","ISSN":"1542-4863","issue":"3","journalAbbreviation":"CA Cancer J Clin","language":"eng","note":"PMID: 33538338","page":"209-249","source":"PubMed","title":"Global Cancer Statistics 2020: GLOBOCAN Estimates of Incidence and Mortality Worldwide for 36 Cancers in 185 Countries","title-short":"Global Cancer Statistics 2020","volume":"71","author":[{"family":"Sung","given":"Hyuna"},{"family":"Ferlay","given":"Jacques"},{"family":"Siegel","given":"Rebecca L."},{"family":"Laversanne","given":"Mathieu"},{"family":"Soerjomataram","given":"Isabelle"},{"family":"Jemal","given":"Ahmedin"},{"family":"Bray","given":"Freddie"}],"issued":{"date-parts":[["2021",5]]}}}],"schema":"https://github.com/citation-style-language/schema/raw/master/csl-citation.json"} </w:instrText>
      </w:r>
      <w:r>
        <w:fldChar w:fldCharType="separate"/>
      </w:r>
      <w:r w:rsidRPr="00537E85">
        <w:rPr>
          <w:rFonts w:cs="Arial"/>
          <w:vertAlign w:val="superscript"/>
        </w:rPr>
        <w:t>1</w:t>
      </w:r>
      <w:r>
        <w:fldChar w:fldCharType="end"/>
      </w:r>
      <w:r>
        <w:t xml:space="preserve"> </w:t>
      </w:r>
      <w:commentRangeStart w:id="0"/>
      <w:r>
        <w:t>It is characterized by the multiplication of abnormal or damaged tissue cells that can spread throughout the body invading and impairing normal tissue and organs, often leading to death. Though the process of cell division is governed by genes, the causes of cancer cannot be explained by genetics alone.</w:t>
      </w:r>
      <w:commentRangeEnd w:id="0"/>
      <w:r w:rsidR="00F36130">
        <w:rPr>
          <w:rStyle w:val="CommentReference"/>
        </w:rPr>
        <w:commentReference w:id="0"/>
      </w:r>
      <w:r>
        <w:t xml:space="preserve"> Indeed, a twin study estimates that roughly 30-40% of variance in cancer in the population can be explained by genetics alone,</w:t>
      </w:r>
      <w:r>
        <w:fldChar w:fldCharType="begin"/>
      </w:r>
      <w:r>
        <w:instrText xml:space="preserve"> ADDIN ZOTERO_ITEM CSL_CITATION {"citationID":"x1XjcS6i","properties":{"formattedCitation":"\\super 2\\nosupersub{}","plainCitation":"2","noteIndex":0},"citationItems":[{"id":3569,"uris":["http://zotero.org/users/4902889/items/PW23BZYB"],"itemData":{"id":3569,"type":"article-journal","abstract":"Importance\nEstimates of familial cancer risk from population-based studies are essential components of cancer risk prediction.\n\nObjective\nTo estimate familial risk and heritability of cancer types in a large twin cohort.\n\nDesign, Setting, and Participants\nProspective study of 80 309 monozygotic and 123 382 same-sex dizygotic twin individuals (N = 203 691) within the population-based registers of Denmark, Finland, Norway, and Sweden. Twins were followed up a median of 32 years between 1943 and 2010. There were 50 990 individuals who died of any cause, and 3804 who emigrated and were lost to follow-up.\n\nExposures\nShared environmental and heritable risk factors among pairs of twins.\n\nMain Outcomes and Measures\nThe main outcome was incident cancer. Time-to-event analyses were used to estimate familial risk (risk of cancer in an individual given a twin's development of cancer) and heritability (proportion of variance in cancer risk due to interindividual genetic differences) with follow-up via cancer registries. Statistical models adjusted for age and follow-up time, and accounted for censoring and competing risk of death.\n\nResults\nA total of 27 156 incident cancers were diagnosed in 23 980 individuals, translating to a cumulative incidence of 32%. Cancer was diagnosed in both twins among 1383 monozygotic (2766 individuals) and 1933 dizygotic (2866 individuals) pairs. Of these, 38% of monozygotic and 26% of dizygotic pairs were diagnosed with the same cancer type. There was an excess cancer risk in twins whose co-twin was diagnosed with cancer, with estimated cumulative risks that were an absolute 5% (95% CI, 4%-6%) higher in dizygotic (37%; 95% CI, 36%-38%) and an absolute 14% (95% CI, 12%-16%) higher in monozygotic twins (46%; 95% CI, 44%-48%) whose twin also developed cancer compared with the cumulative risk in the overall cohort (32%). For most cancer types, there were significant familial risks and the cumulative risks were higher in monozygotic than dizygotic twins. Heritability of cancer overall was 33% (95% CI, 30%-37%). Significant heritability was observed for the cancer types of skin melanoma (58%; 95% CI, 43%-73%), prostate (57%; 95% CI, 51%-63%), nonmelanoma skin (43%; 95% CI, 26%-59%), ovary (39%; 95% CI, 23%-55%), kidney (38%; 95% CI, 21%-55%), breast (31%; 95% CI, 11%-51%), and corpus uteri (27%; 95% CI, 11%-43%).\n\nConclusions and Relevance\nIn this long-term follow-up study among Nordic twins, there was significant excess familial risk for cancer overall and for specific types of cancer, including prostate, melanoma, breast, ovary, and uterus. This information about hereditary risks of cancers may be helpful in patient education and cancer risk counseling.","container-title":"JAMA","DOI":"10.1001/jama.2015.17703","ISSN":"0098-7484","issue":"1","journalAbbreviation":"JAMA","note":"PMID: 26746459\nPMCID: PMC5498110","page":"68-76","source":"PubMed Central","title":"Familial Risk and Heritability of Cancer Among Twins in Nordic Countries","volume":"315","author":[{"family":"Mucci","given":"Lorelei A."},{"family":"Hjelmborg","given":"Jacob B."},{"family":"Harris","given":"Jennifer R."},{"family":"Czene","given":"Kamila"},{"family":"Havelick","given":"David J."},{"family":"Scheike","given":"Thomas"},{"family":"Graff","given":"Rebecca E."},{"family":"Holst","given":"Klaus"},{"family":"Möller","given":"Sören"},{"family":"Unger","given":"Robert H."},{"family":"McIntosh","given":"Christina"},{"family":"Nuttall","given":"Elizabeth"},{"family":"Brandt","given":"Ingunn"},{"family":"Penney","given":"Kathryn L."},{"family":"Hartman","given":"Mikael"},{"family":"Kraft","given":"Peter"},{"family":"Parmigiani","given":"Giovanni"},{"family":"Christensen","given":"Kaare"},{"family":"Koskenvuo","given":"Markku"},{"family":"Holm","given":"Niels V."},{"family":"Heikkilä","given":"Kauko"},{"family":"Pukkala","given":"Eero"},{"family":"Skytthe","given":"Axel"},{"family":"Adami","given":"Hans-Olov"},{"family":"Kaprio","given":"Jaakko"}],"issued":{"date-parts":[["2016",1,5]]}}}],"schema":"https://github.com/citation-style-language/schema/raw/master/csl-citation.json"} </w:instrText>
      </w:r>
      <w:r>
        <w:fldChar w:fldCharType="separate"/>
      </w:r>
      <w:r w:rsidRPr="00537E85">
        <w:rPr>
          <w:rFonts w:cs="Arial"/>
          <w:vertAlign w:val="superscript"/>
        </w:rPr>
        <w:t>2</w:t>
      </w:r>
      <w:r>
        <w:fldChar w:fldCharType="end"/>
      </w:r>
      <w:r>
        <w:t xml:space="preserve"> meaning most of the variance is explained and related to non-genetic factors. While many worthwhile attempts to summarize genetic contributions of cancer risk (often in the form of polygenic risk scores</w:t>
      </w:r>
      <w:r w:rsidR="00823527">
        <w:t xml:space="preserve"> (PRS)</w:t>
      </w:r>
      <w:r>
        <w:t>) continue</w:t>
      </w:r>
      <w:r w:rsidR="00823527">
        <w:t>, even the most powerful cancer PRS can be generated, other factors play a bigger role, emphasizing the need to incorporate other risk factors for personal risk prediction.</w:t>
      </w:r>
      <w:r w:rsidR="00823527">
        <w:fldChar w:fldCharType="begin"/>
      </w:r>
      <w:r w:rsidR="00823527">
        <w:instrText xml:space="preserve"> ADDIN ZOTERO_ITEM CSL_CITATION {"citationID":"Sei8LTkq","properties":{"formattedCitation":"\\super 3\\nosupersub{}","plainCitation":"3","noteIndex":0},"citationItems":[{"id":3501,"uris":["http://zotero.org/users/4902889/items/7VFPFBFN"],"itemData":{"id":3501,"type":"article-journal","abstract":"Initial expectations for genome-wide association studies were high, as such studies promised to rapidly transform personalized medicine with individualized disease risk predictions, prevention strategies and treatments. Early findings, however, revealed a more complex genetic architecture than was anticipated for most common diseases - complexity that seemed to limit the immediate utility of these findings. As a result, the practice of utilizing the DNA of an individual to predict disease has been judged to provide little to no useful information. Nevertheless, recent efforts have begun to demonstrate the utility of polygenic risk profiling to identify groups of individuals who could benefit from the knowledge of their probabilistic susceptibility to disease. In this context, we review the evidence supporting the personal and clinical utility of polygenic risk profiling.","container-title":"Nature Reviews. Genetics","DOI":"10.1038/s41576-018-0018-x","ISSN":"1471-0064","issue":"9","journalAbbreviation":"Nat Rev Genet","language":"eng","note":"PMID: 29789686","page":"581-590","source":"PubMed","title":"The personal and clinical utility of polygenic risk scores","volume":"19","author":[{"family":"Torkamani","given":"Ali"},{"family":"Wineinger","given":"Nathan E."},{"family":"Topol","given":"Eric J."}],"issued":{"date-parts":[["2018",9]]}}}],"schema":"https://github.com/citation-style-language/schema/raw/master/csl-citation.json"} </w:instrText>
      </w:r>
      <w:r w:rsidR="00823527">
        <w:fldChar w:fldCharType="separate"/>
      </w:r>
      <w:r w:rsidR="00823527" w:rsidRPr="00823527">
        <w:rPr>
          <w:rFonts w:cs="Arial"/>
          <w:vertAlign w:val="superscript"/>
        </w:rPr>
        <w:t>3</w:t>
      </w:r>
      <w:r w:rsidR="00823527">
        <w:fldChar w:fldCharType="end"/>
      </w:r>
    </w:p>
    <w:p w14:paraId="480275A6" w14:textId="25C06AB4" w:rsidR="008505F2" w:rsidRDefault="008505F2" w:rsidP="00F36130">
      <w:pPr>
        <w:jc w:val="both"/>
      </w:pPr>
      <w:r>
        <w:tab/>
        <w:t>A recent source of data that can be used to aid in risk prediction are electronic health records (EHR). EHR adoption in the US increased through the 2010s and are now commonplace.</w:t>
      </w:r>
      <w:r>
        <w:fldChar w:fldCharType="begin"/>
      </w:r>
      <w:r>
        <w:instrText xml:space="preserve"> ADDIN ZOTERO_ITEM CSL_CITATION {"citationID":"WojMmHX3","properties":{"formattedCitation":"\\super 4,5\\nosupersub{}","plainCitation":"4,5","noteIndex":0},"citationItems":[{"id":4619,"uris":["http://zotero.org/users/4902889/items/6J9D7W5R"],"itemData":{"id":4619,"type":"report","collection-title":"ONC Data Brief","language":"English","number":"23","publisher":"Office of the National Coordinator for Health Information Technology","title":"Adoption of Electronic Health Record Systems among U.S. Non-Federal Acute Care Hospitals: 2008-2014","URL":"https://www.healthit.gov/sites/default/files/data-brief/2014HospitalAdoptionDataBrief.pdf","author":[{"family":"Charles","given":"Dustin"},{"family":"Gabriel","given":"Meghan"},{"family":"Searcy","given":"Talisha"}],"accessed":{"date-parts":[["2023",1,17]]},"issued":{"date-parts":[["2015",4]]}}},{"id":3252,"uris":["http://zotero.org/users/4902889/items/Q799ZPYM"],"itemData":{"id":3252,"type":"article-journal","abstract":"Abstract\n            \n              Objective\n              While most hospitals have adopted electronic health records (EHRs), we know little about whether hospitals use EHRs in advanced ways that are critical to improving outcomes, and whether hospitals with fewer resources – small, rural, safety-net – are keeping up.\n            \n            \n              Materials and Methods\n              Using 2008–2015 American Hospital Association Information Technology Supplement survey data, we measured “basic” and “comprehensive” EHR adoption among hospitals to provide the latest national numbers. We then used new supplement questions to assess advanced use of EHRs and EHR data for performance measurement and patient engagement functions. To assess a digital “advanced use” divide, we ran logistic regression models to identify hospital characteristics associated with high adoption in each advanced use domain.\n            \n            \n              Results\n              We found that 80.5% of hospitals adopted at least a basic EHR system, a 5.3 percentage point increase from 2014. Only 37.5% of hospitals adopted at least 8 (of 10) EHR data for performance measurement functions, and 41.7% of hospitals adopted at least 8 (of 10) patient engagement functions. Critical access hospitals were less likely to have adopted at least 8 performance measurement functions (odds ratio [OR] = 0.58; P &amp;lt; .001) and at least 8 patient engagement functions (OR = 0.68; P = 0.02).\n            \n            \n              Discussion\n              While the Health Information Technology for Economic and Clinical Health Act resulted in widespread hospital EHR adoption, use of advanced EHR functions lags and a digital divide appears to be emerging, with critical-access hospitals in particular lagging behind. This is concerning, because EHR-enabled performance measurement and patient engagement are key contributors to improving hospital performance.\n            \n            \n              Conclusion\n              Hospital EHR adoption is widespread and many hospitals are using EHRs to support performance measurement and patient engagement. However, this is not happening across all hospitals.","container-title":"Journal of the American Medical Informatics Association","DOI":"10.1093/jamia/ocx080","ISSN":"1067-5027, 1527-974X","issue":"6","language":"en","page":"1142-1148","source":"DOI.org (Crossref)","title":"Electronic health record adoption in US hospitals: the emergence of a digital “advanced use” divide","title-short":"Electronic health record adoption in US hospitals","volume":"24","author":[{"family":"Adler-Milstein","given":"Julia"},{"family":"Holmgren","given":"A Jay"},{"family":"Kralovec","given":"Peter"},{"family":"Worzala","given":"Chantal"},{"family":"Searcy","given":"Talisha"},{"family":"Patel","given":"Vaishali"}],"issued":{"date-parts":[["2017",11,1]]}}}],"schema":"https://github.com/citation-style-language/schema/raw/master/csl-citation.json"} </w:instrText>
      </w:r>
      <w:r>
        <w:fldChar w:fldCharType="separate"/>
      </w:r>
      <w:r w:rsidRPr="008505F2">
        <w:rPr>
          <w:rFonts w:cs="Arial"/>
          <w:vertAlign w:val="superscript"/>
        </w:rPr>
        <w:t>4,5</w:t>
      </w:r>
      <w:r>
        <w:fldChar w:fldCharType="end"/>
      </w:r>
      <w:r>
        <w:t xml:space="preserve"> They consist of many domains of </w:t>
      </w:r>
      <w:r w:rsidR="00DC5BB2">
        <w:t xml:space="preserve">structured and unstructured </w:t>
      </w:r>
      <w:r>
        <w:t>data including</w:t>
      </w:r>
      <w:r w:rsidR="00DC5BB2">
        <w:t xml:space="preserve"> diagnosis codes, prescription information, laboratory and test results, survey results, medical/family histories, clinical narratives, imaging data, and radiology/pathology notes.</w:t>
      </w:r>
      <w:r w:rsidR="00DC5BB2">
        <w:fldChar w:fldCharType="begin"/>
      </w:r>
      <w:r w:rsidR="00DC5BB2">
        <w:instrText xml:space="preserve"> ADDIN ZOTERO_ITEM CSL_CITATION {"citationID":"T56cWKKV","properties":{"formattedCitation":"\\super 6\\nosupersub{}","plainCitation":"6","noteIndex":0},"citationItems":[{"id":120,"uris":["http://zotero.org/users/4902889/items/S4HAYSA3"],"itemData":{"id":120,"type":"article-journal","container-title":"Statistics in Medicine","DOI":"10.1002/sim.8445","ISSN":"0277-6715, 1097-0258","issue":"6","journalAbbreviation":"Statistics in Medicine","language":"en","page":"773-800","source":"DOI.org (Crossref)","title":"The emerging landscape of health research based on biobanks linked to electronic health records: Existing resources, statistical challenges, and potential opportunities","title-short":"The emerging landscape of health research based on biobanks linked to electronic health records","volume":"39","author":[{"family":"Beesley","given":"Lauren J."},{"family":"Salvatore","given":"Maxwell"},{"family":"Fritsche","given":"Lars G."},{"family":"Pandit","given":"Anita"},{"family":"Rao","given":"Arvind"},{"family":"Brummett","given":"Chad"},{"family":"Willer","given":"Cristen J."},{"family":"Lisabeth","given":"Lynda D."},{"family":"Mukherjee","given":"Bhramar"}],"issued":{"date-parts":[["2020",3,15]]}}}],"schema":"https://github.com/citation-style-language/schema/raw/master/csl-citation.json"} </w:instrText>
      </w:r>
      <w:r w:rsidR="00DC5BB2">
        <w:fldChar w:fldCharType="separate"/>
      </w:r>
      <w:r w:rsidR="00DC5BB2" w:rsidRPr="00DC5BB2">
        <w:rPr>
          <w:rFonts w:cs="Arial"/>
          <w:vertAlign w:val="superscript"/>
        </w:rPr>
        <w:t>6</w:t>
      </w:r>
      <w:r w:rsidR="00DC5BB2">
        <w:fldChar w:fldCharType="end"/>
      </w:r>
      <w:r w:rsidR="00DC5BB2">
        <w:t xml:space="preserve"> Structured data, like International Classification of Disease(ICD)-9 and -10 diagnosis codes, are coded data that are already being used to define phenotypes and predict risk. Notably, Denny and colleagues</w:t>
      </w:r>
      <w:r w:rsidR="00DC5BB2">
        <w:fldChar w:fldCharType="begin"/>
      </w:r>
      <w:r w:rsidR="00DC5BB2">
        <w:instrText xml:space="preserve"> ADDIN ZOTERO_ITEM CSL_CITATION {"citationID":"wIlmp0ZS","properties":{"formattedCitation":"\\super 7,8\\nosupersub{}","plainCitation":"7,8","noteIndex":0},"citationItems":[{"id":3726,"uris":["http://zotero.org/users/4902889/items/NUUJWHGI"],"itemData":{"id":3726,"type":"article-journal","abstract":"MOTIVATION: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SNPs.\nRESULTS: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significance.\nAVAILABILITY: The PheWAS software and code translation table are freely available at http://knowledgemap.mc.vanderbilt.edu/research.","container-title":"Bioinformatics (Oxford, England)","DOI":"10.1093/bioinformatics/btq126","ISSN":"1367-4811","issue":"9","journalAbbreviation":"Bioinformatics","language":"eng","note":"PMID: 20335276\nPMCID: PMC2859132","page":"1205-1210","source":"PubMed","title":"PheWAS: demonstrating the feasibility of a phenome-wide scan to discover gene-disease associations","title-short":"PheWAS","volume":"26","author":[{"family":"Denny","given":"Joshua C."},{"family":"Ritchie","given":"Marylyn D."},{"family":"Basford","given":"Melissa A."},{"family":"Pulley","given":"Jill M."},{"family":"Bastarache","given":"Lisa"},{"family":"Brown-Gentry","given":"Kristin"},{"family":"Wang","given":"Deede"},{"family":"Masys","given":"Dan R."},{"family":"Roden","given":"Dan M."},{"family":"Crawford","given":"Dana C."}],"issued":{"date-parts":[["2010",5,1]]}}},{"id":795,"uris":["http://zotero.org/users/4902889/items/C8UW2D4X"],"itemData":{"id":795,"type":"article-journal","container-title":"Nature Biotechnology","DOI":"10.1038/nbt.2749","ISSN":"1087-0156, 1546-1696","issue":"12","journalAbbreviation":"Nat Biotechnol","language":"en","page":"1102-1111","source":"DOI.org (Crossref)","title":"Systematic comparison of phenome-wide association study of electronic medical record data and genome-wide association study data","volume":"31","author":[{"family":"Denny","given":"Joshua C"},{"family":"Bastarache","given":"Lisa"},{"family":"Ritchie","given":"Marylyn D"},{"family":"Carroll","given":"Robert J"},{"family":"Zink","given":"Raquel"},{"family":"Mosley","given":"Jonathan D"},{"family":"Field","given":"Julie R"},{"family":"Pulley","given":"Jill M"},{"family":"Ramirez","given":"Andrea H"},{"family":"Bowton","given":"Erica"},{"family":"Basford","given":"Melissa A"},{"family":"Carrell","given":"David S"},{"family":"Peissig","given":"Peggy L"},{"family":"Kho","given":"Abel N"},{"family":"Pacheco","given":"Jennifer A"},{"family":"Rasmussen","given":"Luke V"},{"family":"Crosslin","given":"David R"},{"family":"Crane","given":"Paul K"},{"family":"Pathak","given":"Jyotishman"},{"family":"Bielinski","given":"Suzette J"},{"family":"Pendergrass","given":"Sarah A"},{"family":"Xu","given":"Hua"},{"family":"Hindorff","given":"Lucia A"},{"family":"Li","given":"Rongling"},{"family":"Manolio","given":"Teri A"},{"family":"Chute","given":"Christopher G"},{"family":"Chisholm","given":"Rex L"},{"family":"Larson","given":"Eric B"},{"family":"Jarvik","given":"Gail P"},{"family":"Brilliant","given":"Murray H"},{"family":"McCarty","given":"Catherine A"},{"family":"Kullo","given":"Iftikhar J"},{"family":"Haines","given":"Jonathan L"},{"family":"Crawford","given":"Dana C"},{"family":"Masys","given":"Daniel R"},{"family":"Roden","given":"Dan M"}],"issued":{"date-parts":[["2013",12]]}}}],"schema":"https://github.com/citation-style-language/schema/raw/master/csl-citation.json"} </w:instrText>
      </w:r>
      <w:r w:rsidR="00DC5BB2">
        <w:fldChar w:fldCharType="separate"/>
      </w:r>
      <w:r w:rsidR="00DC5BB2" w:rsidRPr="00DC5BB2">
        <w:rPr>
          <w:rFonts w:cs="Arial"/>
          <w:vertAlign w:val="superscript"/>
        </w:rPr>
        <w:t>7,8</w:t>
      </w:r>
      <w:r w:rsidR="00DC5BB2">
        <w:fldChar w:fldCharType="end"/>
      </w:r>
      <w:r w:rsidR="00DC5BB2">
        <w:t xml:space="preserve"> have aggregated similar ICD-9 and ICD-10 codes into broader yet clinically meaningful phenotypes called </w:t>
      </w:r>
      <w:proofErr w:type="spellStart"/>
      <w:r w:rsidR="00DC5BB2">
        <w:rPr>
          <w:i/>
          <w:iCs/>
        </w:rPr>
        <w:t>phecodes</w:t>
      </w:r>
      <w:proofErr w:type="spellEnd"/>
      <w:r w:rsidR="00DC5BB2">
        <w:t>.</w:t>
      </w:r>
    </w:p>
    <w:p w14:paraId="61CA3802" w14:textId="130877F9" w:rsidR="00683DA3" w:rsidRPr="00DC5BB2" w:rsidRDefault="00683DA3" w:rsidP="00F36130">
      <w:pPr>
        <w:jc w:val="both"/>
      </w:pPr>
      <w:r>
        <w:tab/>
        <w:t xml:space="preserve">Building </w:t>
      </w:r>
      <w:commentRangeStart w:id="1"/>
      <w:r>
        <w:t>on literature regarding challenges using EHR data,</w:t>
      </w:r>
      <w:r>
        <w:fldChar w:fldCharType="begin"/>
      </w:r>
      <w:r>
        <w:instrText xml:space="preserve"> ADDIN ZOTERO_ITEM CSL_CITATION {"citationID":"LaCdGPzE","properties":{"formattedCitation":"\\super 6,9\\nosupersub{}","plainCitation":"6,9","noteIndex":0},"citationItems":[{"id":120,"uris":["http://zotero.org/users/4902889/items/S4HAYSA3"],"itemData":{"id":120,"type":"article-journal","container-title":"Statistics in Medicine","DOI":"10.1002/sim.8445","ISSN":"0277-6715, 1097-0258","issue":"6","journalAbbreviation":"Statistics in Medicine","language":"en","page":"773-800","source":"DOI.org (Crossref)","title":"The emerging landscape of health research based on biobanks linked to electronic health records: Existing resources, statistical challenges, and potential opportunities","title-short":"The emerging landscape of health research based on biobanks linked to electronic health records","volume":"39","author":[{"family":"Beesley","given":"Lauren J."},{"family":"Salvatore","given":"Maxwell"},{"family":"Fritsche","given":"Lars G."},{"family":"Pandit","given":"Anita"},{"family":"Rao","given":"Arvind"},{"family":"Brummett","given":"Chad"},{"family":"Willer","given":"Cristen J."},{"family":"Lisabeth","given":"Lynda D."},{"family":"Mukherjee","given":"Bhramar"}],"issued":{"date-parts":[["2020",3,15]]}}},{"id":4217,"uris":["http://zotero.org/users/4902889/items/8C7QAM4F"],"itemData":{"id":4217,"type":"article-journal","container-title":"Biometrics","DOI":"10.1111/biom.13400","ISSN":"0006-341X, 1541-0420","journalAbbreviation":"Biometrics","language":"en","page":"biom.13400","source":"DOI.org (Crossref)","title":"Statistical inference for association studies using electronic health records: handling both selection bias and outcome misclassification","title-short":"Statistical inference for association studies using electronic health records","author":[{"family":"Beesley","given":"Lauren J."},{"family":"Mukherjee","given":"Bhramar"}],"issued":{"date-parts":[["2020",12,3]]}}}],"schema":"https://github.com/citation-style-language/schema/raw/master/csl-citation.json"} </w:instrText>
      </w:r>
      <w:r>
        <w:fldChar w:fldCharType="separate"/>
      </w:r>
      <w:r w:rsidRPr="00683DA3">
        <w:rPr>
          <w:rFonts w:cs="Arial"/>
          <w:vertAlign w:val="superscript"/>
        </w:rPr>
        <w:t>6,9</w:t>
      </w:r>
      <w:r>
        <w:fldChar w:fldCharType="end"/>
      </w:r>
      <w:r>
        <w:t xml:space="preserve"> EHR-based risk prediction</w:t>
      </w:r>
      <w:commentRangeEnd w:id="1"/>
      <w:r w:rsidR="00401895">
        <w:rPr>
          <w:rStyle w:val="CommentReference"/>
        </w:rPr>
        <w:commentReference w:id="1"/>
      </w:r>
      <w:r>
        <w:t>,</w:t>
      </w:r>
      <w:r w:rsidR="00F30119">
        <w:fldChar w:fldCharType="begin"/>
      </w:r>
      <w:r w:rsidR="00F30119">
        <w:instrText xml:space="preserve"> ADDIN ZOTERO_ITEM CSL_CITATION {"citationID":"DRHlNvTT","properties":{"formattedCitation":"\\super 10\\nosupersub{}","plainCitation":"10","noteIndex":0},"citationItems":[{"id":4160,"uris":["http://zotero.org/users/4902889/items/ALP4P79R"],"itemData":{"id":4160,"type":"article-journal","abstract":"Objective: Electronic health records (EHRs) are an increasingly common data source for clinical risk prediction, presenting both unique analytic opportunities and challenges. We sought to evaluate the current state of EHR based risk prediction modeling through a systematic review of clinical prediction studies using EHR data.\n            Methods: We searched PubMed for articles that reported on the use of an EHR to develop a risk prediction model from 2009 to 2014. Articles were extracted by two reviewers, and we abstracted information on study design, use of EHR data, model building, and performance from each publication and supplementary documentation.\n            Results: We identified 107 articles from 15 different countries. Studies were generally very large (median sample size = 26 100) and utilized a diverse array of predictors. Most used validation techniques (n = 94 of 107) and reported model coefficients for reproducibility (n = 83). However, studies did not fully leverage the breadth of EHR data, as they uncommonly used longitudinal information (n = 37) and employed relatively few predictor variables (median = 27 variables). Less than half of the studies were multicenter (n = 50) and only 26 performed validation across sites. Many studies did not fully address biases of EHR data such as missing data or loss to follow-up. Average c-statistics for different outcomes were: mortality (0.84), clinical prediction (0.83), hospitalization (0.71), and service utilization (0.71).\n            Conclusions: EHR data present both opportunities and challenges for clinical risk prediction. There is room for improvement in designing such studies.","container-title":"Journal of the American Medical Informatics Association","DOI":"10.1093/jamia/ocw042","ISSN":"1067-5027, 1527-974X","issue":"1","language":"en","page":"198-208","source":"DOI.org (Crossref)","title":"Opportunities and challenges in developing risk prediction models with electronic health records data: a systematic review","title-short":"Opportunities and challenges in developing risk prediction models with electronic health records data","volume":"24","author":[{"family":"Goldstein","given":"Benjamin A"},{"family":"Navar","given":"Ann Marie"},{"family":"Pencina","given":"Michael J"},{"family":"Ioannidis","given":"John P A"}],"issued":{"date-parts":[["2017",1,1]]}}}],"schema":"https://github.com/citation-style-language/schema/raw/master/csl-citation.json"} </w:instrText>
      </w:r>
      <w:r w:rsidR="00F30119">
        <w:fldChar w:fldCharType="separate"/>
      </w:r>
      <w:r w:rsidR="00F30119" w:rsidRPr="00F30119">
        <w:rPr>
          <w:rFonts w:cs="Arial"/>
          <w:vertAlign w:val="superscript"/>
        </w:rPr>
        <w:t>10</w:t>
      </w:r>
      <w:r w:rsidR="00F30119">
        <w:fldChar w:fldCharType="end"/>
      </w:r>
      <w:r>
        <w:t xml:space="preserve"> and Salvatore and colleagues,</w:t>
      </w:r>
      <w:r>
        <w:fldChar w:fldCharType="begin"/>
      </w:r>
      <w:r w:rsidR="00F30119">
        <w:instrText xml:space="preserve"> ADDIN ZOTERO_ITEM CSL_CITATION {"citationID":"fG1DvCd0","properties":{"formattedCitation":"\\super 11\\nosupersub{}","plainCitation":"11","noteIndex":0},"citationItems":[{"id":118,"uris":["http://zotero.org/users/4902889/items/I42VLGZR"],"itemData":{"id":118,"type":"article-journal","container-title":"Journal of Biomedical Informatics","DOI":"10.1016/j.jbi.2020.103652","ISSN":"15320464","journalAbbreviation":"Journal of Biomedical Informatics","language":"en","page":"103652","source":"DOI.org (Crossref)","title":"Phenotype risk scores (PheRS) for pancreatic cancer using time-stamped electronic health record data: Discovery and validation in two large biobanks","title-short":"Phenotype risk scores (PheRS) for pancreatic cancer using time-stamped electronic health record data","author":[{"family":"Salvatore","given":"Maxwell"},{"family":"Beesley","given":"Lauren J."},{"family":"Fritsche","given":"Lars G."},{"family":"Hanauer","given":"David"},{"family":"Shi","given":"Xu"},{"family":"Mondul","given":"Alison M."},{"family":"Leigh Pearce","given":"Celeste"},{"family":"Mukherjee","given":"Bhramar"}],"issued":{"date-parts":[["2020",12]]}}}],"schema":"https://github.com/citation-style-language/schema/raw/master/csl-citation.json"} </w:instrText>
      </w:r>
      <w:r>
        <w:fldChar w:fldCharType="separate"/>
      </w:r>
      <w:r w:rsidR="00F30119" w:rsidRPr="00F30119">
        <w:rPr>
          <w:rFonts w:cs="Arial"/>
          <w:vertAlign w:val="superscript"/>
        </w:rPr>
        <w:t>11</w:t>
      </w:r>
      <w:r>
        <w:fldChar w:fldCharType="end"/>
      </w:r>
      <w:r>
        <w:t xml:space="preserve">  </w:t>
      </w:r>
      <w:r w:rsidR="000E764E">
        <w:t xml:space="preserve">we use time-restricted </w:t>
      </w:r>
      <w:proofErr w:type="spellStart"/>
      <w:r w:rsidR="000E764E">
        <w:t>phecodes</w:t>
      </w:r>
      <w:proofErr w:type="spellEnd"/>
      <w:r w:rsidR="000E764E">
        <w:t xml:space="preserve"> (i.e., phenotypes derived from ICD codes) from EHR at the Michigan Genomics Initiative (MGI; University of Michigan) and UK Biobank (UKB) to predict cancer risk for </w:t>
      </w:r>
      <w:r w:rsidR="000E764E" w:rsidRPr="00F36130">
        <w:rPr>
          <w:b/>
          <w:bCs/>
          <w:highlight w:val="yellow"/>
        </w:rPr>
        <w:t>X</w:t>
      </w:r>
      <w:r w:rsidR="000E764E">
        <w:t xml:space="preserve"> cancer traits. We compare </w:t>
      </w:r>
      <w:commentRangeStart w:id="2"/>
      <w:r w:rsidR="000E764E">
        <w:t xml:space="preserve">naïve approaches (i.e., those not accounting for selection) and a relatively straightforward regularized regression approach (group LASSO) </w:t>
      </w:r>
      <w:commentRangeEnd w:id="2"/>
      <w:r w:rsidR="00F36130">
        <w:rPr>
          <w:rStyle w:val="CommentReference"/>
        </w:rPr>
        <w:commentReference w:id="2"/>
      </w:r>
      <w:r w:rsidR="000E764E">
        <w:t xml:space="preserve">with those that use inverse probability weighting and poststratification weighting approaches to account for selection into MGI with the goal of achieving weights (and resulting </w:t>
      </w:r>
      <w:proofErr w:type="spellStart"/>
      <w:r w:rsidR="000E764E">
        <w:t>PheRS</w:t>
      </w:r>
      <w:proofErr w:type="spellEnd"/>
      <w:r w:rsidR="000E764E">
        <w:t xml:space="preserve">) that are generalizable to the broader US population. We compare the performance of the resulting </w:t>
      </w:r>
      <w:proofErr w:type="spellStart"/>
      <w:r w:rsidR="000E764E">
        <w:t>PheRS</w:t>
      </w:r>
      <w:proofErr w:type="spellEnd"/>
      <w:r w:rsidR="000E764E">
        <w:t xml:space="preserve"> and discuss the benefits and limitations of each approach. We hope to provide a framework for </w:t>
      </w:r>
      <w:r w:rsidR="00E47858">
        <w:t xml:space="preserve">new </w:t>
      </w:r>
      <w:r w:rsidR="000E764E">
        <w:t>researchers interested in using EHR</w:t>
      </w:r>
      <w:r w:rsidR="00E47858">
        <w:t xml:space="preserve">-based </w:t>
      </w:r>
      <w:r w:rsidR="000E764E">
        <w:t>risk prediction</w:t>
      </w:r>
      <w:r w:rsidR="00E47858">
        <w:t xml:space="preserve"> to think critically about different approaches that can be used alongside other data, like lifestyle factors, laboratory results, and genetics.</w:t>
      </w:r>
    </w:p>
    <w:p w14:paraId="317D4C35" w14:textId="5D3E2444" w:rsidR="00DC5BB2" w:rsidRDefault="00DC5BB2" w:rsidP="00F36130">
      <w:pPr>
        <w:jc w:val="both"/>
      </w:pPr>
    </w:p>
    <w:p w14:paraId="76392AAD" w14:textId="7EF20540" w:rsidR="00683DA3" w:rsidRPr="00683DA3" w:rsidRDefault="00683DA3" w:rsidP="00F36130">
      <w:pPr>
        <w:jc w:val="both"/>
      </w:pPr>
      <w:r>
        <w:rPr>
          <w:i/>
          <w:iCs/>
        </w:rPr>
        <w:t>Other</w:t>
      </w:r>
      <w:r>
        <w:t>…</w:t>
      </w:r>
    </w:p>
    <w:p w14:paraId="06155446" w14:textId="5BE02A36" w:rsidR="00A645B2" w:rsidRDefault="00537E85" w:rsidP="00F36130">
      <w:pPr>
        <w:jc w:val="both"/>
      </w:pPr>
      <w:r>
        <w:t>In the USA, cancer is the second leading cause of death and will remain a leading cause of morbidity and mortality for the foreseeable future.</w:t>
      </w:r>
      <w:r w:rsidR="00A645B2">
        <w:br w:type="page"/>
      </w:r>
    </w:p>
    <w:p w14:paraId="15D53614" w14:textId="50AB1BF2" w:rsidR="00A645B2" w:rsidRDefault="00A645B2">
      <w:r>
        <w:rPr>
          <w:b/>
          <w:bCs/>
        </w:rPr>
        <w:lastRenderedPageBreak/>
        <w:t>Methods</w:t>
      </w:r>
    </w:p>
    <w:p w14:paraId="4F5BF080" w14:textId="15263352" w:rsidR="00A645B2" w:rsidRDefault="00A645B2"/>
    <w:p w14:paraId="758B9BF0" w14:textId="07EA4D83" w:rsidR="00A645B2" w:rsidRDefault="00A645B2">
      <w:r>
        <w:br w:type="page"/>
      </w:r>
    </w:p>
    <w:p w14:paraId="42AC4FDD" w14:textId="39E4C044" w:rsidR="00A645B2" w:rsidRDefault="00A645B2">
      <w:r>
        <w:rPr>
          <w:b/>
          <w:bCs/>
        </w:rPr>
        <w:lastRenderedPageBreak/>
        <w:t>Results</w:t>
      </w:r>
    </w:p>
    <w:p w14:paraId="17B0B664" w14:textId="7151CAF4" w:rsidR="00A645B2" w:rsidRDefault="00A645B2"/>
    <w:p w14:paraId="69E3EE6C" w14:textId="683E81C5" w:rsidR="00A645B2" w:rsidRDefault="00A645B2">
      <w:r>
        <w:br w:type="page"/>
      </w:r>
    </w:p>
    <w:p w14:paraId="410548EB" w14:textId="503D0DE8" w:rsidR="00A645B2" w:rsidRDefault="00A645B2">
      <w:r>
        <w:rPr>
          <w:b/>
          <w:bCs/>
        </w:rPr>
        <w:lastRenderedPageBreak/>
        <w:t>Discussion</w:t>
      </w:r>
    </w:p>
    <w:p w14:paraId="514B5911" w14:textId="52A4CE92" w:rsidR="00A645B2" w:rsidRDefault="00A645B2"/>
    <w:p w14:paraId="17959860" w14:textId="61034C7A" w:rsidR="00A645B2" w:rsidRDefault="00A645B2">
      <w:r>
        <w:br w:type="page"/>
      </w:r>
    </w:p>
    <w:p w14:paraId="4EAC78B6" w14:textId="12C7FC7E" w:rsidR="00A645B2" w:rsidRDefault="00A645B2">
      <w:r>
        <w:rPr>
          <w:b/>
          <w:bCs/>
        </w:rPr>
        <w:lastRenderedPageBreak/>
        <w:t>References</w:t>
      </w:r>
    </w:p>
    <w:p w14:paraId="1D2E321C" w14:textId="104528D4" w:rsidR="00A645B2" w:rsidRDefault="00A645B2"/>
    <w:p w14:paraId="483BF986" w14:textId="77777777" w:rsidR="00A645B2" w:rsidRPr="00A645B2" w:rsidRDefault="00A645B2"/>
    <w:sectPr w:rsidR="00A645B2" w:rsidRPr="00A645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vatore, Maxwell" w:date="2023-02-08T08:42:00Z" w:initials="MS">
    <w:p w14:paraId="09CBE531" w14:textId="77777777" w:rsidR="00F36130" w:rsidRDefault="00F36130" w:rsidP="00DD4D0F">
      <w:r>
        <w:rPr>
          <w:rStyle w:val="CommentReference"/>
        </w:rPr>
        <w:annotationRef/>
      </w:r>
      <w:r>
        <w:rPr>
          <w:sz w:val="20"/>
          <w:szCs w:val="20"/>
        </w:rPr>
        <w:t>Simplify - shorten into a single sentence</w:t>
      </w:r>
    </w:p>
  </w:comment>
  <w:comment w:id="1" w:author="Salvatore, Maxwell" w:date="2023-01-17T16:46:00Z" w:initials="SM">
    <w:p w14:paraId="10AB4BCB" w14:textId="5BAACD7E" w:rsidR="00401895" w:rsidRDefault="00401895" w:rsidP="00F63F6E">
      <w:r>
        <w:rPr>
          <w:rStyle w:val="CommentReference"/>
        </w:rPr>
        <w:annotationRef/>
      </w:r>
      <w:r>
        <w:rPr>
          <w:sz w:val="20"/>
          <w:szCs w:val="20"/>
        </w:rPr>
        <w:t>Create a literature review table and include in supplement</w:t>
      </w:r>
    </w:p>
  </w:comment>
  <w:comment w:id="2" w:author="Salvatore, Maxwell" w:date="2023-02-08T08:44:00Z" w:initials="MS">
    <w:p w14:paraId="429A4B64" w14:textId="77777777" w:rsidR="00F36130" w:rsidRDefault="00F36130" w:rsidP="00845DE6">
      <w:r>
        <w:rPr>
          <w:rStyle w:val="CommentReference"/>
        </w:rPr>
        <w:annotationRef/>
      </w:r>
      <w:r>
        <w:rPr>
          <w:color w:val="000000"/>
          <w:sz w:val="20"/>
          <w:szCs w:val="20"/>
        </w:rPr>
        <w:t>These are all in the same group - unweighted. Also considering other approaches like SuperLearner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CBE531" w15:done="0"/>
  <w15:commentEx w15:paraId="10AB4BCB" w15:done="0"/>
  <w15:commentEx w15:paraId="429A4B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DEFE" w16cex:dateUtc="2023-02-08T13:42:00Z"/>
  <w16cex:commentExtensible w16cex:durableId="27714F6B" w16cex:dateUtc="2023-01-17T21:46:00Z"/>
  <w16cex:commentExtensible w16cex:durableId="278DDF51" w16cex:dateUtc="2023-02-0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CBE531" w16cid:durableId="278DDEFE"/>
  <w16cid:commentId w16cid:paraId="10AB4BCB" w16cid:durableId="27714F6B"/>
  <w16cid:commentId w16cid:paraId="429A4B64" w16cid:durableId="278DD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vatore, Maxwell">
    <w15:presenceInfo w15:providerId="AD" w15:userId="S::mmsalva@umich.edu::4e9044bb-9acb-484e-9fd4-a0e6334707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B2"/>
    <w:rsid w:val="0006179F"/>
    <w:rsid w:val="000E764E"/>
    <w:rsid w:val="002C48DA"/>
    <w:rsid w:val="00401895"/>
    <w:rsid w:val="00537E85"/>
    <w:rsid w:val="00683DA3"/>
    <w:rsid w:val="00823527"/>
    <w:rsid w:val="008505F2"/>
    <w:rsid w:val="00A3614F"/>
    <w:rsid w:val="00A645B2"/>
    <w:rsid w:val="00DC5BB2"/>
    <w:rsid w:val="00DC73D4"/>
    <w:rsid w:val="00E47858"/>
    <w:rsid w:val="00F30119"/>
    <w:rsid w:val="00F3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65C63"/>
  <w15:chartTrackingRefBased/>
  <w15:docId w15:val="{80CF7CDA-0E11-ED41-A2EC-F3F97A9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1895"/>
    <w:rPr>
      <w:sz w:val="16"/>
      <w:szCs w:val="16"/>
    </w:rPr>
  </w:style>
  <w:style w:type="paragraph" w:styleId="CommentText">
    <w:name w:val="annotation text"/>
    <w:basedOn w:val="Normal"/>
    <w:link w:val="CommentTextChar"/>
    <w:uiPriority w:val="99"/>
    <w:semiHidden/>
    <w:unhideWhenUsed/>
    <w:rsid w:val="00401895"/>
    <w:rPr>
      <w:sz w:val="20"/>
      <w:szCs w:val="20"/>
    </w:rPr>
  </w:style>
  <w:style w:type="character" w:customStyle="1" w:styleId="CommentTextChar">
    <w:name w:val="Comment Text Char"/>
    <w:basedOn w:val="DefaultParagraphFont"/>
    <w:link w:val="CommentText"/>
    <w:uiPriority w:val="99"/>
    <w:semiHidden/>
    <w:rsid w:val="00401895"/>
    <w:rPr>
      <w:sz w:val="20"/>
      <w:szCs w:val="20"/>
    </w:rPr>
  </w:style>
  <w:style w:type="paragraph" w:styleId="CommentSubject">
    <w:name w:val="annotation subject"/>
    <w:basedOn w:val="CommentText"/>
    <w:next w:val="CommentText"/>
    <w:link w:val="CommentSubjectChar"/>
    <w:uiPriority w:val="99"/>
    <w:semiHidden/>
    <w:unhideWhenUsed/>
    <w:rsid w:val="00401895"/>
    <w:rPr>
      <w:b/>
      <w:bCs/>
    </w:rPr>
  </w:style>
  <w:style w:type="character" w:customStyle="1" w:styleId="CommentSubjectChar">
    <w:name w:val="Comment Subject Char"/>
    <w:basedOn w:val="CommentTextChar"/>
    <w:link w:val="CommentSubject"/>
    <w:uiPriority w:val="99"/>
    <w:semiHidden/>
    <w:rsid w:val="004018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4291</Words>
  <Characters>24462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Maxwell</dc:creator>
  <cp:keywords/>
  <dc:description/>
  <cp:lastModifiedBy>Salvatore, Maxwell</cp:lastModifiedBy>
  <cp:revision>8</cp:revision>
  <dcterms:created xsi:type="dcterms:W3CDTF">2023-01-17T20:13:00Z</dcterms:created>
  <dcterms:modified xsi:type="dcterms:W3CDTF">2023-02-08T13:44:00Z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id="7xSD8G9A"/&gt;&lt;style id="http://www.zotero.org/styles/american-medical-association"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