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249C6" w14:textId="589A9A75" w:rsidR="008E3260" w:rsidRDefault="008E3260">
      <w:pPr>
        <w:rPr>
          <w:b/>
          <w:bCs/>
        </w:rPr>
      </w:pPr>
      <w:proofErr w:type="spellStart"/>
      <w:r>
        <w:rPr>
          <w:b/>
          <w:bCs/>
        </w:rPr>
        <w:t>eSIR</w:t>
      </w:r>
      <w:proofErr w:type="spellEnd"/>
      <w:r>
        <w:rPr>
          <w:b/>
          <w:bCs/>
        </w:rPr>
        <w:t xml:space="preserve"> lockdown modeling</w:t>
      </w:r>
    </w:p>
    <w:p w14:paraId="2F06CDFE" w14:textId="77777777" w:rsidR="008E3260" w:rsidRDefault="008E3260">
      <w:pPr>
        <w:rPr>
          <w:b/>
          <w:bCs/>
        </w:rPr>
      </w:pPr>
    </w:p>
    <w:p w14:paraId="629FFC9B" w14:textId="3C053674" w:rsidR="00D84F19" w:rsidRDefault="007D547D">
      <w:r>
        <w:rPr>
          <w:b/>
          <w:bCs/>
        </w:rPr>
        <w:t>Goal</w:t>
      </w:r>
    </w:p>
    <w:p w14:paraId="772E6F13" w14:textId="36144F7B" w:rsidR="007D547D" w:rsidRDefault="007D547D" w:rsidP="007D547D">
      <w:pPr>
        <w:jc w:val="both"/>
      </w:pPr>
      <w:r>
        <w:t>To estimate the impact of a lockdown on the number of reported cases and deaths during the second wave of the COVID-19 pandemic in India</w:t>
      </w:r>
    </w:p>
    <w:p w14:paraId="4439F66E" w14:textId="7EAFA99B" w:rsidR="007D547D" w:rsidRDefault="007D547D"/>
    <w:p w14:paraId="340AA2BC" w14:textId="77383DB1" w:rsidR="007D547D" w:rsidRDefault="007D547D">
      <w:r>
        <w:rPr>
          <w:b/>
          <w:bCs/>
        </w:rPr>
        <w:t>Method</w:t>
      </w:r>
      <w:r w:rsidR="008E3260">
        <w:rPr>
          <w:b/>
          <w:bCs/>
        </w:rPr>
        <w:t>s</w:t>
      </w:r>
    </w:p>
    <w:p w14:paraId="204C5D2E" w14:textId="0E26F151" w:rsidR="007D547D" w:rsidRDefault="007D547D" w:rsidP="007D547D">
      <w:pPr>
        <w:jc w:val="both"/>
        <w:rPr>
          <w:rFonts w:eastAsiaTheme="minorEastAsia"/>
        </w:rPr>
      </w:pPr>
      <w:r>
        <w:t xml:space="preserve">We implement a modified version of the traditional susceptible-infected-recovered (SIR) model, called extended SIR (or </w:t>
      </w:r>
      <w:proofErr w:type="spellStart"/>
      <w:r>
        <w:t>eSIR</w:t>
      </w:r>
      <w:proofErr w:type="spellEnd"/>
      <w:r>
        <w:t>), which allows for a time-varying effective reproduction number (R</w:t>
      </w:r>
      <w:r w:rsidRPr="007D547D">
        <w:rPr>
          <w:vertAlign w:val="subscript"/>
        </w:rPr>
        <w:t>t</w:t>
      </w:r>
      <w:r>
        <w:t>). This model was developed by Wang et al. [</w:t>
      </w:r>
      <w:hyperlink r:id="rId4" w:history="1">
        <w:r w:rsidRPr="007D547D">
          <w:rPr>
            <w:rStyle w:val="Hyperlink"/>
          </w:rPr>
          <w:t>CITE</w:t>
        </w:r>
      </w:hyperlink>
      <w:r>
        <w:t xml:space="preserve">] to model the COVID-19 outbreak in China and was made available in the </w:t>
      </w:r>
      <w:proofErr w:type="spellStart"/>
      <w:r>
        <w:t>eSIR</w:t>
      </w:r>
      <w:proofErr w:type="spellEnd"/>
      <w:r>
        <w:t xml:space="preserve"> R package [</w:t>
      </w:r>
      <w:hyperlink r:id="rId5" w:history="1">
        <w:r w:rsidRPr="007D547D">
          <w:rPr>
            <w:rStyle w:val="Hyperlink"/>
          </w:rPr>
          <w:t>CITE</w:t>
        </w:r>
      </w:hyperlink>
      <w:r>
        <w:t>]. We allow the model to run and estimate R</w:t>
      </w:r>
      <w:r w:rsidRPr="007D547D">
        <w:rPr>
          <w:vertAlign w:val="subscript"/>
        </w:rPr>
        <w:t>t</w:t>
      </w:r>
      <w:r>
        <w:t xml:space="preserve"> using observed data and then implement the effect of a lockdown. That is, we impose a time-varying schedule </w:t>
      </w:r>
      <m:oMath>
        <m:r>
          <w:rPr>
            <w:rFonts w:ascii="Cambria Math" w:hAnsi="Cambria Math"/>
          </w:rPr>
          <m:t>π(t)</m:t>
        </m:r>
      </m:oMath>
      <w:r w:rsidR="003F6336">
        <w:rPr>
          <w:rFonts w:eastAsiaTheme="minorEastAsia"/>
        </w:rPr>
        <w:t>, which represents the proportion of R</w:t>
      </w:r>
      <w:r w:rsidR="003F6336" w:rsidRPr="003F6336">
        <w:rPr>
          <w:rFonts w:eastAsiaTheme="minorEastAsia"/>
          <w:vertAlign w:val="subscript"/>
        </w:rPr>
        <w:t>t</w:t>
      </w:r>
      <w:r w:rsidR="003F6336">
        <w:rPr>
          <w:rFonts w:eastAsiaTheme="minorEastAsia"/>
        </w:rPr>
        <w:t xml:space="preserve"> under a lockdown scenario.</w:t>
      </w:r>
    </w:p>
    <w:p w14:paraId="1AC5F7FE" w14:textId="37C789EA" w:rsidR="003F6336" w:rsidRDefault="003F6336" w:rsidP="007D547D">
      <w:pPr>
        <w:jc w:val="both"/>
        <w:rPr>
          <w:rFonts w:eastAsiaTheme="minorEastAsia"/>
        </w:rPr>
      </w:pPr>
    </w:p>
    <w:p w14:paraId="7D02AA26" w14:textId="667F3AA6" w:rsidR="003F6336" w:rsidRDefault="003F6336" w:rsidP="007D547D">
      <w:pPr>
        <w:jc w:val="both"/>
        <w:rPr>
          <w:rFonts w:eastAsiaTheme="minorEastAsia"/>
        </w:rPr>
      </w:pPr>
      <w:r>
        <w:rPr>
          <w:rFonts w:eastAsiaTheme="minorEastAsia"/>
        </w:rPr>
        <w:t xml:space="preserve">The primary challenge for obtaining a realistic lockdown intervention is, of course, the choice of the </w:t>
      </w:r>
      <m:oMath>
        <m:r>
          <w:rPr>
            <w:rFonts w:ascii="Cambria Math" w:eastAsiaTheme="minorEastAsia" w:hAnsi="Cambria Math"/>
          </w:rPr>
          <m:t>π(t)</m:t>
        </m:r>
      </m:oMath>
      <w:r>
        <w:rPr>
          <w:rFonts w:eastAsiaTheme="minorEastAsia"/>
        </w:rPr>
        <w:t xml:space="preserve"> schedule. Thankfully, we have two real-world examples from the COVID-19 pandemic in India on which to draw such a schedule: the national lockdown beginning in March 2020 in response to the first wave and the Maharashtra lockdown beginning in April 2021 in response to the second wave. We calculate the respective </w:t>
      </w:r>
      <m:oMath>
        <m:r>
          <w:rPr>
            <w:rFonts w:ascii="Cambria Math" w:eastAsiaTheme="minorEastAsia" w:hAnsi="Cambria Math"/>
          </w:rPr>
          <m:t>π(t)</m:t>
        </m:r>
      </m:oMath>
      <w:r>
        <w:rPr>
          <w:rFonts w:eastAsiaTheme="minorEastAsia"/>
        </w:rPr>
        <w:t xml:space="preserve"> schedules as the ratio of the R</w:t>
      </w:r>
      <w:r w:rsidR="00667405" w:rsidRPr="00667405">
        <w:rPr>
          <w:rFonts w:eastAsiaTheme="minorEastAsia"/>
          <w:vertAlign w:val="subscript"/>
        </w:rPr>
        <w:t>t</w:t>
      </w:r>
      <w:r w:rsidR="00667405">
        <w:rPr>
          <w:rFonts w:eastAsiaTheme="minorEastAsia"/>
        </w:rPr>
        <w:t xml:space="preserve"> following the lockdown over the R</w:t>
      </w:r>
      <w:r w:rsidR="00667405" w:rsidRPr="008E3260">
        <w:rPr>
          <w:rFonts w:eastAsiaTheme="minorEastAsia"/>
          <w:vertAlign w:val="subscript"/>
        </w:rPr>
        <w:t>t</w:t>
      </w:r>
      <w:r w:rsidR="00667405">
        <w:rPr>
          <w:rFonts w:eastAsiaTheme="minorEastAsia"/>
        </w:rPr>
        <w:t xml:space="preserve"> the day the lockdown started.</w:t>
      </w:r>
      <w:r w:rsidR="008E3260">
        <w:rPr>
          <w:rFonts w:eastAsiaTheme="minorEastAsia"/>
        </w:rPr>
        <w:t xml:space="preserve"> We begin the India lockdown schedule on March 27, 2020</w:t>
      </w:r>
      <w:r w:rsidR="002A4BFC">
        <w:rPr>
          <w:rFonts w:eastAsiaTheme="minorEastAsia"/>
        </w:rPr>
        <w:t>,</w:t>
      </w:r>
      <w:r w:rsidR="008E3260">
        <w:rPr>
          <w:rFonts w:eastAsiaTheme="minorEastAsia"/>
        </w:rPr>
        <w:t xml:space="preserve"> and the Maharashtra lockdown schedule on April 14, 2021. The nationwide lockdown was swift and had relatively strong immediate and long-term reductions in R</w:t>
      </w:r>
      <w:r w:rsidR="008E3260" w:rsidRPr="008E3260">
        <w:rPr>
          <w:rFonts w:eastAsiaTheme="minorEastAsia"/>
          <w:vertAlign w:val="subscript"/>
        </w:rPr>
        <w:t>t</w:t>
      </w:r>
      <w:r w:rsidR="008E3260">
        <w:rPr>
          <w:rFonts w:eastAsiaTheme="minorEastAsia"/>
          <w:vertAlign w:val="subscript"/>
        </w:rPr>
        <w:t xml:space="preserve"> </w:t>
      </w:r>
      <w:r w:rsidR="008E3260">
        <w:rPr>
          <w:rFonts w:eastAsiaTheme="minorEastAsia"/>
        </w:rPr>
        <w:t>and represents a best-case or optimistic scenario. The Maharashtra lockdown had a more subdued impact on R</w:t>
      </w:r>
      <w:r w:rsidR="008E3260" w:rsidRPr="008E3260">
        <w:rPr>
          <w:rFonts w:eastAsiaTheme="minorEastAsia"/>
          <w:vertAlign w:val="subscript"/>
        </w:rPr>
        <w:t>t</w:t>
      </w:r>
      <w:r w:rsidR="008E3260">
        <w:rPr>
          <w:rFonts w:eastAsiaTheme="minorEastAsia"/>
        </w:rPr>
        <w:t xml:space="preserve"> relative to the national lockdown the previous year and represents what we consider to be a moderate scenario.</w:t>
      </w:r>
    </w:p>
    <w:p w14:paraId="11D31082" w14:textId="692CFF26" w:rsidR="008E3260" w:rsidRDefault="008E3260" w:rsidP="007D547D">
      <w:pPr>
        <w:jc w:val="both"/>
        <w:rPr>
          <w:rFonts w:eastAsiaTheme="minorEastAsia"/>
        </w:rPr>
      </w:pPr>
    </w:p>
    <w:p w14:paraId="7E455048" w14:textId="03A78058" w:rsidR="008E3260" w:rsidRPr="0075341A" w:rsidRDefault="008E3260" w:rsidP="007D547D">
      <w:pPr>
        <w:jc w:val="both"/>
        <w:rPr>
          <w:rFonts w:eastAsiaTheme="minorEastAsia"/>
        </w:rPr>
      </w:pPr>
      <w:r>
        <w:rPr>
          <w:rFonts w:eastAsiaTheme="minorEastAsia"/>
        </w:rPr>
        <w:t xml:space="preserve">Using these </w:t>
      </w:r>
      <m:oMath>
        <m:r>
          <w:rPr>
            <w:rFonts w:ascii="Cambria Math" w:eastAsiaTheme="minorEastAsia" w:hAnsi="Cambria Math"/>
          </w:rPr>
          <m:t>π(t)</m:t>
        </m:r>
      </m:oMath>
      <w:r>
        <w:rPr>
          <w:rFonts w:eastAsiaTheme="minorEastAsia"/>
        </w:rPr>
        <w:t xml:space="preserve"> schedules and the </w:t>
      </w:r>
      <w:proofErr w:type="spellStart"/>
      <w:proofErr w:type="gramStart"/>
      <w:r>
        <w:rPr>
          <w:rFonts w:eastAsiaTheme="minorEastAsia"/>
        </w:rPr>
        <w:t>tvt.eSIR</w:t>
      </w:r>
      <w:proofErr w:type="spellEnd"/>
      <w:proofErr w:type="gramEnd"/>
      <w:r>
        <w:rPr>
          <w:rFonts w:eastAsiaTheme="minorEastAsia"/>
        </w:rPr>
        <w:t xml:space="preserve"> function from the </w:t>
      </w:r>
      <w:proofErr w:type="spellStart"/>
      <w:r>
        <w:rPr>
          <w:rFonts w:eastAsiaTheme="minorEastAsia"/>
        </w:rPr>
        <w:t>eSIR</w:t>
      </w:r>
      <w:proofErr w:type="spellEnd"/>
      <w:r>
        <w:rPr>
          <w:rFonts w:eastAsiaTheme="minorEastAsia"/>
        </w:rPr>
        <w:t xml:space="preserve"> R package, we are able to impose lockdowns at various timepoints to assess the impact of a lockdown had it been implemented. Because R</w:t>
      </w:r>
      <w:r w:rsidRPr="008E3260">
        <w:rPr>
          <w:rFonts w:eastAsiaTheme="minorEastAsia"/>
          <w:vertAlign w:val="subscript"/>
        </w:rPr>
        <w:t>t</w:t>
      </w:r>
      <w:r>
        <w:rPr>
          <w:rFonts w:eastAsiaTheme="minorEastAsia"/>
        </w:rPr>
        <w:t xml:space="preserve"> first rose above 1 in mid-February, an early warning sign of a forthcoming surge in cases, we assess lockdowns had they been implemented on March 1, March 15, March 30, April 15, and April 30, 2021.</w:t>
      </w:r>
      <w:r w:rsidR="003D4BC9">
        <w:rPr>
          <w:rFonts w:eastAsiaTheme="minorEastAsia"/>
        </w:rPr>
        <w:t xml:space="preserve"> </w:t>
      </w:r>
      <w:r w:rsidR="003D4BC9">
        <w:rPr>
          <w:rFonts w:eastAsiaTheme="minorEastAsia"/>
        </w:rPr>
        <w:t>We project each scenario out to May 15 and compare the forecasted results to observed, reported counts.</w:t>
      </w:r>
    </w:p>
    <w:p w14:paraId="6D55947E" w14:textId="072E9EC9" w:rsidR="002A4BFC" w:rsidRDefault="002A4BFC" w:rsidP="007D547D">
      <w:pPr>
        <w:jc w:val="both"/>
        <w:rPr>
          <w:rFonts w:eastAsiaTheme="minorEastAsia"/>
        </w:rPr>
      </w:pPr>
    </w:p>
    <w:p w14:paraId="228E45FC" w14:textId="0A3C4DB8" w:rsidR="002A4BFC" w:rsidRDefault="002A4BFC" w:rsidP="007D547D">
      <w:pPr>
        <w:jc w:val="both"/>
        <w:rPr>
          <w:rFonts w:eastAsiaTheme="minorEastAsia"/>
        </w:rPr>
      </w:pPr>
      <w:r>
        <w:rPr>
          <w:rFonts w:eastAsiaTheme="minorEastAsia"/>
        </w:rPr>
        <w:t>We can also estimate the number of deaths</w:t>
      </w:r>
      <w:r w:rsidR="00C66B17">
        <w:rPr>
          <w:rFonts w:eastAsiaTheme="minorEastAsia"/>
        </w:rPr>
        <w:t xml:space="preserve"> under these lockdown scenarios</w:t>
      </w:r>
      <w:r>
        <w:rPr>
          <w:rFonts w:eastAsiaTheme="minorEastAsia"/>
        </w:rPr>
        <w:t>. To do this, we apply a case-fatality rate (CFR) schedule, which was calculated as the observed, trailing 7-day average CFR (i.e., ratio of daily deaths to daily cases) for India</w:t>
      </w:r>
      <w:r w:rsidR="0075341A">
        <w:rPr>
          <w:rFonts w:eastAsiaTheme="minorEastAsia"/>
        </w:rPr>
        <w:t xml:space="preserve">, </w:t>
      </w:r>
      <w:r>
        <w:rPr>
          <w:rFonts w:eastAsiaTheme="minorEastAsia"/>
        </w:rPr>
        <w:t>for Maharashtra</w:t>
      </w:r>
      <w:r w:rsidR="0075341A">
        <w:rPr>
          <w:rFonts w:eastAsiaTheme="minorEastAsia"/>
        </w:rPr>
        <w:t>, and for Kerala</w:t>
      </w:r>
      <w:r>
        <w:rPr>
          <w:rFonts w:eastAsiaTheme="minorEastAsia"/>
        </w:rPr>
        <w:t xml:space="preserve"> through May 15. </w:t>
      </w:r>
      <w:r w:rsidR="0075341A">
        <w:rPr>
          <w:rFonts w:eastAsiaTheme="minorEastAsia"/>
        </w:rPr>
        <w:t xml:space="preserve">We </w:t>
      </w:r>
      <w:r w:rsidR="00C66B17">
        <w:rPr>
          <w:rFonts w:eastAsiaTheme="minorEastAsia"/>
        </w:rPr>
        <w:t xml:space="preserve">include the Kerala CFR schedule because of their relatively low COVID-19 CFR and their robust healthcare system, which can be interpreted as a best-case scenario. </w:t>
      </w:r>
      <w:r>
        <w:rPr>
          <w:rFonts w:eastAsiaTheme="minorEastAsia"/>
        </w:rPr>
        <w:t xml:space="preserve">We then multiply the projected case counts by the </w:t>
      </w:r>
      <w:r w:rsidR="0075341A">
        <w:rPr>
          <w:rFonts w:eastAsiaTheme="minorEastAsia"/>
        </w:rPr>
        <w:t xml:space="preserve">CFR schedule to obtain an estimate of the number of COVID-19 deaths. </w:t>
      </w:r>
    </w:p>
    <w:p w14:paraId="52EAD38C" w14:textId="15C28DE9" w:rsidR="00BC4AF5" w:rsidRDefault="00BC4AF5" w:rsidP="007D547D">
      <w:pPr>
        <w:jc w:val="both"/>
        <w:rPr>
          <w:rFonts w:eastAsiaTheme="minorEastAsia"/>
        </w:rPr>
      </w:pPr>
    </w:p>
    <w:p w14:paraId="62EE3798" w14:textId="77777777" w:rsidR="00BC4AF5" w:rsidRDefault="00BC4AF5" w:rsidP="007D547D">
      <w:pPr>
        <w:jc w:val="both"/>
        <w:rPr>
          <w:rFonts w:eastAsiaTheme="minorEastAsia"/>
          <w:b/>
          <w:bCs/>
        </w:rPr>
      </w:pPr>
    </w:p>
    <w:p w14:paraId="56C9CEC4" w14:textId="77777777" w:rsidR="00BC4AF5" w:rsidRDefault="00BC4AF5" w:rsidP="007D547D">
      <w:pPr>
        <w:jc w:val="both"/>
        <w:rPr>
          <w:rFonts w:eastAsiaTheme="minorEastAsia"/>
          <w:b/>
          <w:bCs/>
        </w:rPr>
      </w:pPr>
    </w:p>
    <w:p w14:paraId="63CAD445" w14:textId="67D7A45F" w:rsidR="00BC4AF5" w:rsidRPr="00BC4AF5" w:rsidRDefault="00BC4AF5" w:rsidP="007D547D">
      <w:pPr>
        <w:jc w:val="both"/>
        <w:rPr>
          <w:rFonts w:eastAsiaTheme="minorEastAsia"/>
        </w:rPr>
      </w:pPr>
      <w:r>
        <w:rPr>
          <w:rFonts w:eastAsiaTheme="minorEastAsia"/>
          <w:b/>
          <w:bCs/>
        </w:rPr>
        <w:t>Results</w:t>
      </w:r>
    </w:p>
    <w:p w14:paraId="0D8D68FA" w14:textId="77777777" w:rsidR="00766216" w:rsidRDefault="00766216" w:rsidP="007D547D">
      <w:pPr>
        <w:jc w:val="both"/>
        <w:rPr>
          <w:rFonts w:eastAsiaTheme="minorEastAsia"/>
        </w:rPr>
      </w:pPr>
    </w:p>
    <w:p w14:paraId="39FCCD20" w14:textId="5A192267" w:rsidR="000D127D" w:rsidRDefault="003D4BC9" w:rsidP="007D547D">
      <w:pPr>
        <w:jc w:val="both"/>
        <w:rPr>
          <w:rFonts w:eastAsiaTheme="minorEastAsia"/>
        </w:rPr>
      </w:pPr>
      <w:r>
        <w:rPr>
          <w:rFonts w:eastAsiaTheme="minorEastAsia"/>
        </w:rPr>
        <w:t>As we would expect, implementing a lockdown at various points has short- and long-term benefits with respect to case counts. This result is consistent regardless of whether the stricter India lockdown schedule (</w:t>
      </w:r>
      <w:r>
        <w:rPr>
          <w:rFonts w:eastAsiaTheme="minorEastAsia"/>
          <w:b/>
          <w:bCs/>
        </w:rPr>
        <w:t>Figure 1</w:t>
      </w:r>
      <w:r>
        <w:rPr>
          <w:rFonts w:eastAsiaTheme="minorEastAsia"/>
        </w:rPr>
        <w:t>) or more relaxed Maharashtra schedule (</w:t>
      </w:r>
      <w:r>
        <w:rPr>
          <w:rFonts w:eastAsiaTheme="minorEastAsia"/>
          <w:b/>
          <w:bCs/>
        </w:rPr>
        <w:t>Figure 2</w:t>
      </w:r>
      <w:r>
        <w:rPr>
          <w:rFonts w:eastAsiaTheme="minorEastAsia"/>
        </w:rPr>
        <w:t>) is used. Indeed, had a lockdown been instituted in mid- to late-March, the case counts would have almost immediately started to decline</w:t>
      </w:r>
      <w:r w:rsidR="000D127D">
        <w:rPr>
          <w:rFonts w:eastAsiaTheme="minorEastAsia"/>
        </w:rPr>
        <w:t>, with daily case count peaks around 18 thousand and 45 thousand, respectively</w:t>
      </w:r>
      <w:r>
        <w:rPr>
          <w:rFonts w:eastAsiaTheme="minorEastAsia"/>
        </w:rPr>
        <w:t>.</w:t>
      </w:r>
      <w:r w:rsidR="000D127D">
        <w:rPr>
          <w:rFonts w:eastAsiaTheme="minorEastAsia"/>
        </w:rPr>
        <w:t xml:space="preserve"> To put this in perspective, a March 15 lockdown under the Maharashtra </w:t>
      </w:r>
      <m:oMath>
        <m:r>
          <w:rPr>
            <w:rFonts w:ascii="Cambria Math" w:eastAsiaTheme="minorEastAsia" w:hAnsi="Cambria Math"/>
          </w:rPr>
          <m:t>π(t)</m:t>
        </m:r>
      </m:oMath>
      <w:r w:rsidR="000D127D">
        <w:rPr>
          <w:rFonts w:eastAsiaTheme="minorEastAsia"/>
        </w:rPr>
        <w:t xml:space="preserve"> schedule, a</w:t>
      </w:r>
      <w:r w:rsidR="004B54C0">
        <w:rPr>
          <w:rFonts w:eastAsiaTheme="minorEastAsia"/>
        </w:rPr>
        <w:t>pproximately 2.7 million cases</w:t>
      </w:r>
      <w:r w:rsidR="00E625CC">
        <w:rPr>
          <w:rFonts w:eastAsiaTheme="minorEastAsia"/>
        </w:rPr>
        <w:t xml:space="preserve"> (</w:t>
      </w:r>
      <w:r w:rsidR="00E625CC">
        <w:rPr>
          <w:rFonts w:eastAsiaTheme="minorEastAsia"/>
          <w:b/>
          <w:bCs/>
        </w:rPr>
        <w:t>Table 1</w:t>
      </w:r>
      <w:r w:rsidR="00E625CC">
        <w:rPr>
          <w:rFonts w:eastAsiaTheme="minorEastAsia"/>
        </w:rPr>
        <w:t>)</w:t>
      </w:r>
      <w:r w:rsidR="004B54C0">
        <w:rPr>
          <w:rFonts w:eastAsiaTheme="minorEastAsia"/>
        </w:rPr>
        <w:t xml:space="preserve"> could have been avoided by April 15, representing a 18.7% reduction in total case counts. These reductions would only continue to grow through May 15.</w:t>
      </w:r>
    </w:p>
    <w:p w14:paraId="29E1CF2D" w14:textId="77777777" w:rsidR="000D127D" w:rsidRDefault="000D127D" w:rsidP="007D547D">
      <w:pPr>
        <w:jc w:val="both"/>
        <w:rPr>
          <w:rFonts w:eastAsiaTheme="minorEastAsia"/>
        </w:rPr>
      </w:pPr>
    </w:p>
    <w:p w14:paraId="793A009D" w14:textId="6ABCC588" w:rsidR="004B54C0" w:rsidRDefault="003D4BC9" w:rsidP="007D547D">
      <w:pPr>
        <w:jc w:val="both"/>
        <w:rPr>
          <w:rFonts w:eastAsiaTheme="minorEastAsia"/>
        </w:rPr>
      </w:pPr>
      <w:r>
        <w:rPr>
          <w:rFonts w:eastAsiaTheme="minorEastAsia"/>
        </w:rPr>
        <w:t xml:space="preserve">For an intervention taking place in mid-April, the </w:t>
      </w:r>
      <w:r w:rsidR="004B54C0">
        <w:rPr>
          <w:rFonts w:eastAsiaTheme="minorEastAsia"/>
        </w:rPr>
        <w:t>benefits are not as clear</w:t>
      </w:r>
      <w:r>
        <w:rPr>
          <w:rFonts w:eastAsiaTheme="minorEastAsia"/>
        </w:rPr>
        <w:t>. A peak would have occurred shortly after the lockdown if it were as strict as the nationwide lockdown that took place in March 2020. Under the more recent April 2021 Maharashtra lockdown scenario, a near term peak is not obvious; however, it would have represented a significant reduction</w:t>
      </w:r>
      <w:r w:rsidR="004B54C0">
        <w:rPr>
          <w:rFonts w:eastAsiaTheme="minorEastAsia"/>
        </w:rPr>
        <w:t xml:space="preserve"> (approximately 22.8%)</w:t>
      </w:r>
      <w:r>
        <w:rPr>
          <w:rFonts w:eastAsiaTheme="minorEastAsia"/>
        </w:rPr>
        <w:t xml:space="preserve"> in</w:t>
      </w:r>
      <w:r w:rsidR="004B54C0">
        <w:rPr>
          <w:rFonts w:eastAsiaTheme="minorEastAsia"/>
        </w:rPr>
        <w:t xml:space="preserve"> total </w:t>
      </w:r>
      <w:r>
        <w:rPr>
          <w:rFonts w:eastAsiaTheme="minorEastAsia"/>
        </w:rPr>
        <w:t>case counts through May 15.</w:t>
      </w:r>
    </w:p>
    <w:p w14:paraId="64F1B544" w14:textId="77777777" w:rsidR="004B54C0" w:rsidRDefault="004B54C0" w:rsidP="007D547D">
      <w:pPr>
        <w:jc w:val="both"/>
        <w:rPr>
          <w:rFonts w:eastAsiaTheme="minorEastAsia"/>
        </w:rPr>
      </w:pPr>
    </w:p>
    <w:p w14:paraId="14C88260" w14:textId="46B336E7" w:rsidR="003D4BC9" w:rsidRDefault="003D4BC9" w:rsidP="007D547D">
      <w:pPr>
        <w:jc w:val="both"/>
        <w:rPr>
          <w:rFonts w:eastAsiaTheme="minorEastAsia"/>
        </w:rPr>
      </w:pPr>
      <w:r>
        <w:rPr>
          <w:rFonts w:eastAsiaTheme="minorEastAsia"/>
        </w:rPr>
        <w:t xml:space="preserve">Finally, we see that a lockdown instituted at the end of April would have essentially no effect on case counts. To put it bluntly, an end-of-April lockdown would have been too late for any benefit because the </w:t>
      </w:r>
      <w:r w:rsidR="001C01C0">
        <w:rPr>
          <w:rFonts w:eastAsiaTheme="minorEastAsia"/>
        </w:rPr>
        <w:t>outbreak had already run its course, as i</w:t>
      </w:r>
      <w:r w:rsidR="000D127D">
        <w:rPr>
          <w:rFonts w:eastAsiaTheme="minorEastAsia"/>
        </w:rPr>
        <w:t>s</w:t>
      </w:r>
      <w:r w:rsidR="001C01C0">
        <w:rPr>
          <w:rFonts w:eastAsiaTheme="minorEastAsia"/>
        </w:rPr>
        <w:t xml:space="preserve"> evident by the slowing growth of observed cases through early May.</w:t>
      </w:r>
    </w:p>
    <w:p w14:paraId="644E293D" w14:textId="2590E387" w:rsidR="005C6BE7" w:rsidRDefault="005C6BE7" w:rsidP="007D547D">
      <w:pPr>
        <w:jc w:val="both"/>
        <w:rPr>
          <w:rFonts w:eastAsiaTheme="minorEastAsia"/>
        </w:rPr>
      </w:pPr>
    </w:p>
    <w:p w14:paraId="427567C4" w14:textId="524DE6EC" w:rsidR="005C6BE7" w:rsidRDefault="005C6BE7" w:rsidP="007D547D">
      <w:pPr>
        <w:jc w:val="both"/>
        <w:rPr>
          <w:rFonts w:eastAsiaTheme="minorEastAsia"/>
        </w:rPr>
      </w:pPr>
      <w:r>
        <w:rPr>
          <w:rFonts w:eastAsiaTheme="minorEastAsia"/>
        </w:rPr>
        <w:t>A similar story can be seen with respect to death counts. Clear benefits to lockdowns beginning in mid- and late-March and early</w:t>
      </w:r>
      <w:r w:rsidR="00E625CC">
        <w:rPr>
          <w:rFonts w:eastAsiaTheme="minorEastAsia"/>
        </w:rPr>
        <w:t xml:space="preserve"> </w:t>
      </w:r>
      <w:r>
        <w:rPr>
          <w:rFonts w:eastAsiaTheme="minorEastAsia"/>
        </w:rPr>
        <w:t xml:space="preserve">April are present under both </w:t>
      </w:r>
      <m:oMath>
        <m:r>
          <w:rPr>
            <w:rFonts w:ascii="Cambria Math" w:eastAsiaTheme="minorEastAsia" w:hAnsi="Cambria Math"/>
          </w:rPr>
          <m:t>π(t)</m:t>
        </m:r>
      </m:oMath>
      <w:r>
        <w:rPr>
          <w:rFonts w:eastAsiaTheme="minorEastAsia"/>
        </w:rPr>
        <w:t xml:space="preserve"> scenarios through mid-May</w:t>
      </w:r>
      <w:r w:rsidR="0093151B">
        <w:rPr>
          <w:rFonts w:eastAsiaTheme="minorEastAsia"/>
        </w:rPr>
        <w:t xml:space="preserve"> (</w:t>
      </w:r>
      <w:r w:rsidR="0093151B">
        <w:rPr>
          <w:rFonts w:eastAsiaTheme="minorEastAsia"/>
          <w:b/>
          <w:bCs/>
        </w:rPr>
        <w:t>Figures 2</w:t>
      </w:r>
      <w:r w:rsidR="0093151B">
        <w:rPr>
          <w:rFonts w:eastAsiaTheme="minorEastAsia"/>
        </w:rPr>
        <w:t xml:space="preserve"> and </w:t>
      </w:r>
      <w:r w:rsidR="0093151B">
        <w:rPr>
          <w:rFonts w:eastAsiaTheme="minorEastAsia"/>
          <w:b/>
          <w:bCs/>
        </w:rPr>
        <w:t>3</w:t>
      </w:r>
      <w:r w:rsidR="0093151B">
        <w:rPr>
          <w:rFonts w:eastAsiaTheme="minorEastAsia"/>
        </w:rPr>
        <w:t>)</w:t>
      </w:r>
      <w:r w:rsidR="00E625CC">
        <w:rPr>
          <w:rFonts w:eastAsiaTheme="minorEastAsia"/>
        </w:rPr>
        <w:t>. However, the early April intervention with the Maharashtra schedule does not appear to lead to sustained benefits</w:t>
      </w:r>
      <w:r w:rsidR="0093151B">
        <w:rPr>
          <w:rFonts w:eastAsiaTheme="minorEastAsia"/>
        </w:rPr>
        <w:t xml:space="preserve"> (though there is still a 13.7% reduction in deaths through May 15 [</w:t>
      </w:r>
      <w:r w:rsidR="0093151B" w:rsidRPr="0093151B">
        <w:rPr>
          <w:rFonts w:eastAsiaTheme="minorEastAsia"/>
          <w:b/>
          <w:bCs/>
        </w:rPr>
        <w:t>Table 2</w:t>
      </w:r>
      <w:r w:rsidR="0093151B">
        <w:rPr>
          <w:rFonts w:eastAsiaTheme="minorEastAsia"/>
        </w:rPr>
        <w:t>]). The apparent ineffectiveness of the late lockdown scenarios on deaths is due in part to the use of data prior to the case slowdown and in part due to the increase in CFR seen in early-to-mid May (i.e., the CFR used to estimate deaths under lockdown).</w:t>
      </w:r>
    </w:p>
    <w:p w14:paraId="11A0C5CD" w14:textId="5FD109AF" w:rsidR="0093151B" w:rsidRDefault="0093151B" w:rsidP="007D547D">
      <w:pPr>
        <w:jc w:val="both"/>
        <w:rPr>
          <w:rFonts w:eastAsiaTheme="minorEastAsia"/>
        </w:rPr>
      </w:pPr>
    </w:p>
    <w:p w14:paraId="716D71F6" w14:textId="0A998309" w:rsidR="0093151B" w:rsidRDefault="0093151B" w:rsidP="007D547D">
      <w:pPr>
        <w:jc w:val="both"/>
        <w:rPr>
          <w:rFonts w:eastAsiaTheme="minorEastAsia"/>
        </w:rPr>
      </w:pPr>
      <w:r>
        <w:rPr>
          <w:rFonts w:eastAsiaTheme="minorEastAsia"/>
        </w:rPr>
        <w:t>We also estimated deaths using the observed CFR schedule in Kerala – a state with a low COVID-19 CFR and robust healthcare system. We can see that</w:t>
      </w:r>
      <w:r w:rsidR="00363886">
        <w:rPr>
          <w:rFonts w:eastAsiaTheme="minorEastAsia"/>
        </w:rPr>
        <w:t xml:space="preserve"> if, </w:t>
      </w:r>
      <w:r>
        <w:rPr>
          <w:rFonts w:eastAsiaTheme="minorEastAsia"/>
        </w:rPr>
        <w:t xml:space="preserve">regardless of the </w:t>
      </w:r>
      <w:r w:rsidR="00363886">
        <w:rPr>
          <w:rFonts w:eastAsiaTheme="minorEastAsia"/>
        </w:rPr>
        <w:t>level of impact a lockdown would have had and regardless of the timing of the lockdown (</w:t>
      </w:r>
      <w:r w:rsidR="00363886">
        <w:rPr>
          <w:rFonts w:eastAsiaTheme="minorEastAsia"/>
          <w:b/>
          <w:bCs/>
        </w:rPr>
        <w:t>Figure 4</w:t>
      </w:r>
      <w:r w:rsidR="00363886">
        <w:rPr>
          <w:rFonts w:eastAsiaTheme="minorEastAsia"/>
        </w:rPr>
        <w:t xml:space="preserve"> and </w:t>
      </w:r>
      <w:r w:rsidR="00363886">
        <w:rPr>
          <w:rFonts w:eastAsiaTheme="minorEastAsia"/>
          <w:b/>
          <w:bCs/>
        </w:rPr>
        <w:t>5</w:t>
      </w:r>
      <w:r w:rsidR="00363886">
        <w:rPr>
          <w:rFonts w:eastAsiaTheme="minorEastAsia"/>
        </w:rPr>
        <w:t>), there is sufficient healthcare capacity that a lockdown would have remarkable benefits in terms of death counts. For example, a March 15 lockdown would have resulted in an 8.1% (14 thousand deaths averted) reduction in total deaths by April 15 and a 40.7% (110 thousand deaths averted) reduction by May 15 (</w:t>
      </w:r>
      <w:r w:rsidR="00363886">
        <w:rPr>
          <w:rFonts w:eastAsiaTheme="minorEastAsia"/>
          <w:b/>
          <w:bCs/>
        </w:rPr>
        <w:t>Table 3</w:t>
      </w:r>
      <w:r w:rsidR="00363886">
        <w:rPr>
          <w:rFonts w:eastAsiaTheme="minorEastAsia"/>
        </w:rPr>
        <w:t>).</w:t>
      </w:r>
    </w:p>
    <w:p w14:paraId="5149D69B" w14:textId="3E44B428" w:rsidR="003D4BC9" w:rsidRDefault="003D4BC9" w:rsidP="007D547D">
      <w:pPr>
        <w:jc w:val="both"/>
        <w:rPr>
          <w:rFonts w:eastAsiaTheme="minorEastAsia"/>
        </w:rPr>
      </w:pPr>
    </w:p>
    <w:p w14:paraId="435E8734" w14:textId="75CCD237" w:rsidR="002A4BFC" w:rsidRDefault="00363886" w:rsidP="00363886">
      <w:pPr>
        <w:jc w:val="both"/>
        <w:rPr>
          <w:rFonts w:eastAsiaTheme="minorEastAsia"/>
        </w:rPr>
      </w:pPr>
      <w:r>
        <w:rPr>
          <w:rFonts w:eastAsiaTheme="minorEastAsia"/>
        </w:rPr>
        <w:t xml:space="preserve">Case projections under the India lockdown are shown in </w:t>
      </w:r>
      <w:r w:rsidRPr="00363886">
        <w:rPr>
          <w:rFonts w:eastAsiaTheme="minorEastAsia"/>
          <w:b/>
          <w:bCs/>
        </w:rPr>
        <w:t>Figure 1</w:t>
      </w:r>
      <w:r>
        <w:rPr>
          <w:rFonts w:eastAsiaTheme="minorEastAsia"/>
        </w:rPr>
        <w:t xml:space="preserve"> and under the Maharashtra lockdown in </w:t>
      </w:r>
      <w:r w:rsidRPr="00363886">
        <w:rPr>
          <w:rFonts w:eastAsiaTheme="minorEastAsia"/>
          <w:b/>
          <w:bCs/>
        </w:rPr>
        <w:t>Figure 2</w:t>
      </w:r>
      <w:r>
        <w:rPr>
          <w:rFonts w:eastAsiaTheme="minorEastAsia"/>
        </w:rPr>
        <w:t xml:space="preserve">, with accompanying data in </w:t>
      </w:r>
      <w:r>
        <w:rPr>
          <w:rFonts w:eastAsiaTheme="minorEastAsia"/>
          <w:b/>
          <w:bCs/>
        </w:rPr>
        <w:t>Table 1</w:t>
      </w:r>
      <w:r>
        <w:rPr>
          <w:rFonts w:eastAsiaTheme="minorEastAsia"/>
        </w:rPr>
        <w:t xml:space="preserve">. The analogous figures for deaths are shown in </w:t>
      </w:r>
      <w:r>
        <w:rPr>
          <w:rFonts w:eastAsiaTheme="minorEastAsia"/>
          <w:b/>
          <w:bCs/>
        </w:rPr>
        <w:t xml:space="preserve">Figures 3 </w:t>
      </w:r>
      <w:r>
        <w:rPr>
          <w:rFonts w:eastAsiaTheme="minorEastAsia"/>
        </w:rPr>
        <w:t xml:space="preserve">and </w:t>
      </w:r>
      <w:r>
        <w:rPr>
          <w:rFonts w:eastAsiaTheme="minorEastAsia"/>
          <w:b/>
          <w:bCs/>
        </w:rPr>
        <w:t>4</w:t>
      </w:r>
      <w:r>
        <w:rPr>
          <w:rFonts w:eastAsiaTheme="minorEastAsia"/>
        </w:rPr>
        <w:t xml:space="preserve">, respectively, with accompanying data in </w:t>
      </w:r>
      <w:r>
        <w:rPr>
          <w:rFonts w:eastAsiaTheme="minorEastAsia"/>
          <w:b/>
          <w:bCs/>
        </w:rPr>
        <w:lastRenderedPageBreak/>
        <w:t>Table 2</w:t>
      </w:r>
      <w:r>
        <w:rPr>
          <w:rFonts w:eastAsiaTheme="minorEastAsia"/>
        </w:rPr>
        <w:t xml:space="preserve">. The death projections with the Kerala CFR schedule are visualized in </w:t>
      </w:r>
      <w:r>
        <w:rPr>
          <w:rFonts w:eastAsiaTheme="minorEastAsia"/>
          <w:b/>
          <w:bCs/>
        </w:rPr>
        <w:t>Figure 5</w:t>
      </w:r>
      <w:r>
        <w:rPr>
          <w:rFonts w:eastAsiaTheme="minorEastAsia"/>
        </w:rPr>
        <w:t xml:space="preserve"> and enumerated in </w:t>
      </w:r>
      <w:r>
        <w:rPr>
          <w:rFonts w:eastAsiaTheme="minorEastAsia"/>
          <w:b/>
          <w:bCs/>
        </w:rPr>
        <w:t>Table 3</w:t>
      </w:r>
      <w:r>
        <w:rPr>
          <w:rFonts w:eastAsiaTheme="minorEastAsia"/>
        </w:rPr>
        <w:t>.</w:t>
      </w:r>
      <w:r w:rsidR="002A4BFC">
        <w:rPr>
          <w:rFonts w:eastAsiaTheme="minorEastAsia"/>
        </w:rPr>
        <w:br w:type="page"/>
      </w:r>
    </w:p>
    <w:p w14:paraId="6A144868" w14:textId="5A4BF0A4" w:rsidR="002A4BFC" w:rsidRDefault="002A4BFC" w:rsidP="007D547D">
      <w:pPr>
        <w:jc w:val="both"/>
        <w:rPr>
          <w:b/>
          <w:bCs/>
        </w:rPr>
      </w:pPr>
      <w:r>
        <w:rPr>
          <w:b/>
          <w:bCs/>
        </w:rPr>
        <w:lastRenderedPageBreak/>
        <w:t>Figures</w:t>
      </w:r>
    </w:p>
    <w:p w14:paraId="16DBCA1B" w14:textId="40E3A863" w:rsidR="00543132" w:rsidRDefault="00543132" w:rsidP="007D547D">
      <w:pPr>
        <w:jc w:val="both"/>
      </w:pPr>
      <w:r>
        <w:rPr>
          <w:noProof/>
        </w:rPr>
        <w:drawing>
          <wp:inline distT="0" distB="0" distL="0" distR="0" wp14:anchorId="78BFA931" wp14:editId="1D308B08">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E5BAD74" w14:textId="10357C05" w:rsidR="002A4BFC" w:rsidRDefault="00543132" w:rsidP="00543132">
      <w:r w:rsidRPr="00543132">
        <w:rPr>
          <w:b/>
          <w:bCs/>
        </w:rPr>
        <w:t>Figure 1</w:t>
      </w:r>
      <w:r>
        <w:t>. Observed and predicted daily cases under lockdown scenarios starting on different dates using the India lockdown schedule from February 15 to May 15, 2021.</w:t>
      </w:r>
    </w:p>
    <w:p w14:paraId="6EE3807D" w14:textId="28C52FDA" w:rsidR="00543132" w:rsidRDefault="00543132" w:rsidP="007D547D">
      <w:pPr>
        <w:jc w:val="both"/>
      </w:pPr>
    </w:p>
    <w:p w14:paraId="2FC97C2A" w14:textId="7BFC17C7" w:rsidR="00543132" w:rsidRDefault="00543132" w:rsidP="007D547D">
      <w:pPr>
        <w:jc w:val="both"/>
      </w:pPr>
      <w:r>
        <w:rPr>
          <w:noProof/>
        </w:rPr>
        <w:drawing>
          <wp:inline distT="0" distB="0" distL="0" distR="0" wp14:anchorId="11291825" wp14:editId="7BCAE138">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844BEB5" w14:textId="11B278C4" w:rsidR="002A4BFC" w:rsidRDefault="00543132" w:rsidP="00543132">
      <w:r w:rsidRPr="00543132">
        <w:rPr>
          <w:b/>
          <w:bCs/>
        </w:rPr>
        <w:t>Figure 2</w:t>
      </w:r>
      <w:r>
        <w:t xml:space="preserve">. </w:t>
      </w:r>
      <w:r>
        <w:t xml:space="preserve">Observed and predicted daily cases under lockdown scenarios starting on different dates using the </w:t>
      </w:r>
      <w:r>
        <w:t>Maharashtra</w:t>
      </w:r>
      <w:r>
        <w:t xml:space="preserve"> lockdown schedule from February 15 to May 15, 2021.</w:t>
      </w:r>
    </w:p>
    <w:p w14:paraId="68550110" w14:textId="77777777" w:rsidR="00543132" w:rsidRDefault="00543132">
      <w:r>
        <w:br w:type="page"/>
      </w:r>
    </w:p>
    <w:p w14:paraId="3278ED08" w14:textId="0513448E" w:rsidR="00D36565" w:rsidRDefault="00D36565" w:rsidP="007D547D">
      <w:pPr>
        <w:jc w:val="both"/>
      </w:pPr>
      <w:r>
        <w:rPr>
          <w:noProof/>
        </w:rPr>
        <w:lastRenderedPageBreak/>
        <w:drawing>
          <wp:inline distT="0" distB="0" distL="0" distR="0" wp14:anchorId="4F39B727" wp14:editId="6173FCE2">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79C346D" w14:textId="4CB7B785" w:rsidR="00C66B17" w:rsidRDefault="00D36565" w:rsidP="007D547D">
      <w:pPr>
        <w:jc w:val="both"/>
      </w:pPr>
      <w:r w:rsidRPr="00D36565">
        <w:rPr>
          <w:b/>
          <w:bCs/>
        </w:rPr>
        <w:t>Figure 3</w:t>
      </w:r>
      <w:r>
        <w:t xml:space="preserve">. </w:t>
      </w:r>
      <w:r>
        <w:t xml:space="preserve">Observed and predicted daily </w:t>
      </w:r>
      <w:r>
        <w:t>deaths</w:t>
      </w:r>
      <w:r>
        <w:t xml:space="preserve"> under lockdown scenarios starting on different dates using the India lockdown </w:t>
      </w:r>
      <w:r>
        <w:t xml:space="preserve">and case-fatality rate </w:t>
      </w:r>
      <w:r>
        <w:t>schedule</w:t>
      </w:r>
      <w:r>
        <w:t>s</w:t>
      </w:r>
      <w:r>
        <w:t xml:space="preserve"> from February 15 to May 15, 2021.</w:t>
      </w:r>
    </w:p>
    <w:p w14:paraId="3D49F81F" w14:textId="59C0863E" w:rsidR="00D36565" w:rsidRDefault="00D36565" w:rsidP="007D547D">
      <w:pPr>
        <w:jc w:val="both"/>
      </w:pPr>
    </w:p>
    <w:p w14:paraId="49EACF37" w14:textId="0F6A2221" w:rsidR="00D36565" w:rsidRDefault="00D36565" w:rsidP="007D547D">
      <w:pPr>
        <w:jc w:val="both"/>
      </w:pPr>
      <w:r>
        <w:rPr>
          <w:noProof/>
        </w:rPr>
        <w:drawing>
          <wp:inline distT="0" distB="0" distL="0" distR="0" wp14:anchorId="75AC071B" wp14:editId="759B259B">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FEE7E74" w14:textId="0B761B3C" w:rsidR="00A41553" w:rsidRDefault="00D36565" w:rsidP="007D547D">
      <w:pPr>
        <w:jc w:val="both"/>
      </w:pPr>
      <w:r w:rsidRPr="00A41553">
        <w:rPr>
          <w:b/>
          <w:bCs/>
        </w:rPr>
        <w:t>Figure 4</w:t>
      </w:r>
      <w:r w:rsidR="00C66B17">
        <w:t xml:space="preserve">. </w:t>
      </w:r>
      <w:r>
        <w:t xml:space="preserve">Observed and predicted daily </w:t>
      </w:r>
      <w:r>
        <w:t>deaths</w:t>
      </w:r>
      <w:r>
        <w:t xml:space="preserve"> under lockdown scenarios starting on different dates using the Maharashtra lockdown </w:t>
      </w:r>
      <w:r>
        <w:t>and case-fatality rate schedules</w:t>
      </w:r>
      <w:r>
        <w:t xml:space="preserve"> from February 15 to May 15, 2021.</w:t>
      </w:r>
    </w:p>
    <w:p w14:paraId="00E8CF1B" w14:textId="77777777" w:rsidR="00A41553" w:rsidRDefault="00A41553">
      <w:r>
        <w:br w:type="page"/>
      </w:r>
    </w:p>
    <w:p w14:paraId="75136CF7" w14:textId="5BFA46D3" w:rsidR="00A41553" w:rsidRDefault="00F9031F" w:rsidP="007D547D">
      <w:pPr>
        <w:jc w:val="both"/>
      </w:pPr>
      <w:r>
        <w:rPr>
          <w:noProof/>
        </w:rPr>
        <w:lastRenderedPageBreak/>
        <w:drawing>
          <wp:inline distT="0" distB="0" distL="0" distR="0" wp14:anchorId="2B7BF28E" wp14:editId="70839CB4">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4A21319" w14:textId="21684034" w:rsidR="00C66B17" w:rsidRDefault="00A41553" w:rsidP="007D547D">
      <w:pPr>
        <w:jc w:val="both"/>
      </w:pPr>
      <w:r w:rsidRPr="00A41553">
        <w:rPr>
          <w:b/>
          <w:bCs/>
        </w:rPr>
        <w:t>Figure 5</w:t>
      </w:r>
      <w:r w:rsidR="00C66B17">
        <w:t xml:space="preserve">. </w:t>
      </w:r>
      <w:r>
        <w:t xml:space="preserve">Observed and predicted daily deaths under lockdown scenarios starting on different dates using the </w:t>
      </w:r>
      <w:r>
        <w:t>India (</w:t>
      </w:r>
      <w:r w:rsidRPr="00A41553">
        <w:rPr>
          <w:b/>
          <w:bCs/>
        </w:rPr>
        <w:t>panel A</w:t>
      </w:r>
      <w:r>
        <w:t>) and Maharashtra (</w:t>
      </w:r>
      <w:r>
        <w:rPr>
          <w:b/>
          <w:bCs/>
        </w:rPr>
        <w:t>panel B</w:t>
      </w:r>
      <w:r>
        <w:t>)</w:t>
      </w:r>
      <w:r>
        <w:t xml:space="preserve"> lockdown and</w:t>
      </w:r>
      <w:r>
        <w:t xml:space="preserve"> Kerala</w:t>
      </w:r>
      <w:r>
        <w:t xml:space="preserve"> case-fatality rate schedules from February 15 to May 15, 2021.</w:t>
      </w:r>
    </w:p>
    <w:p w14:paraId="401BA4CB" w14:textId="7F8DE8A4" w:rsidR="00BC4AF5" w:rsidRDefault="00BC4AF5" w:rsidP="007D547D">
      <w:pPr>
        <w:jc w:val="both"/>
      </w:pPr>
    </w:p>
    <w:p w14:paraId="0D752B40" w14:textId="77777777" w:rsidR="0010153A" w:rsidRDefault="0010153A">
      <w:pPr>
        <w:rPr>
          <w:b/>
          <w:bCs/>
        </w:rPr>
      </w:pPr>
      <w:r>
        <w:rPr>
          <w:b/>
          <w:bCs/>
        </w:rPr>
        <w:br w:type="page"/>
      </w:r>
    </w:p>
    <w:p w14:paraId="0222E72C" w14:textId="0FCB8334" w:rsidR="00BC4AF5" w:rsidRDefault="00BC4AF5" w:rsidP="007D547D">
      <w:pPr>
        <w:jc w:val="both"/>
      </w:pPr>
      <w:r>
        <w:rPr>
          <w:b/>
          <w:bCs/>
        </w:rPr>
        <w:lastRenderedPageBreak/>
        <w:t>Tables</w:t>
      </w:r>
    </w:p>
    <w:p w14:paraId="38D57352" w14:textId="45E77831" w:rsidR="00AB5B9D" w:rsidRDefault="00AB5B9D" w:rsidP="007D547D">
      <w:pPr>
        <w:jc w:val="both"/>
      </w:pPr>
    </w:p>
    <w:tbl>
      <w:tblPr>
        <w:tblW w:w="8780" w:type="dxa"/>
        <w:tblLook w:val="04A0" w:firstRow="1" w:lastRow="0" w:firstColumn="1" w:lastColumn="0" w:noHBand="0" w:noVBand="1"/>
      </w:tblPr>
      <w:tblGrid>
        <w:gridCol w:w="890"/>
        <w:gridCol w:w="1315"/>
        <w:gridCol w:w="1315"/>
        <w:gridCol w:w="1315"/>
        <w:gridCol w:w="1315"/>
        <w:gridCol w:w="1315"/>
        <w:gridCol w:w="1315"/>
      </w:tblGrid>
      <w:tr w:rsidR="00AB5B9D" w:rsidRPr="00AB5B9D" w14:paraId="2D5976BB" w14:textId="77777777" w:rsidTr="00AB5B9D">
        <w:trPr>
          <w:trHeight w:val="260"/>
        </w:trPr>
        <w:tc>
          <w:tcPr>
            <w:tcW w:w="8780" w:type="dxa"/>
            <w:gridSpan w:val="7"/>
            <w:tcBorders>
              <w:top w:val="nil"/>
              <w:left w:val="nil"/>
              <w:bottom w:val="single" w:sz="4" w:space="0" w:color="auto"/>
              <w:right w:val="nil"/>
            </w:tcBorders>
            <w:shd w:val="clear" w:color="auto" w:fill="auto"/>
            <w:noWrap/>
            <w:vAlign w:val="bottom"/>
            <w:hideMark/>
          </w:tcPr>
          <w:p w14:paraId="06CACE50" w14:textId="77777777" w:rsidR="00AB5B9D" w:rsidRPr="00AB5B9D" w:rsidRDefault="00AB5B9D" w:rsidP="00AB5B9D">
            <w:pPr>
              <w:rPr>
                <w:rFonts w:ascii="Arial" w:eastAsia="Times New Roman" w:hAnsi="Arial" w:cs="Arial"/>
                <w:b/>
                <w:bCs/>
                <w:color w:val="000000"/>
                <w:sz w:val="20"/>
                <w:szCs w:val="20"/>
              </w:rPr>
            </w:pPr>
            <w:r w:rsidRPr="00AB5B9D">
              <w:rPr>
                <w:rFonts w:ascii="Arial" w:eastAsia="Times New Roman" w:hAnsi="Arial" w:cs="Arial"/>
                <w:b/>
                <w:bCs/>
                <w:color w:val="000000"/>
                <w:sz w:val="20"/>
                <w:szCs w:val="20"/>
              </w:rPr>
              <w:t>Table 1</w:t>
            </w:r>
            <w:r w:rsidRPr="00AB5B9D">
              <w:rPr>
                <w:rFonts w:ascii="Arial" w:eastAsia="Times New Roman" w:hAnsi="Arial" w:cs="Arial"/>
                <w:color w:val="000000"/>
                <w:sz w:val="20"/>
                <w:szCs w:val="20"/>
              </w:rPr>
              <w:t>. Predicted total case counts and cases averted different lockdown interventions</w:t>
            </w:r>
          </w:p>
        </w:tc>
      </w:tr>
      <w:tr w:rsidR="00AB5B9D" w:rsidRPr="00AB5B9D" w14:paraId="385FCA4C" w14:textId="77777777" w:rsidTr="00AB5B9D">
        <w:trPr>
          <w:trHeight w:val="260"/>
        </w:trPr>
        <w:tc>
          <w:tcPr>
            <w:tcW w:w="8780" w:type="dxa"/>
            <w:gridSpan w:val="7"/>
            <w:tcBorders>
              <w:top w:val="single" w:sz="4" w:space="0" w:color="auto"/>
              <w:left w:val="nil"/>
              <w:bottom w:val="single" w:sz="4" w:space="0" w:color="auto"/>
              <w:right w:val="nil"/>
            </w:tcBorders>
            <w:shd w:val="clear" w:color="auto" w:fill="auto"/>
            <w:noWrap/>
            <w:vAlign w:val="bottom"/>
            <w:hideMark/>
          </w:tcPr>
          <w:p w14:paraId="5C2CA917"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INDIA LOCKDOWN SCHEDULE</w:t>
            </w:r>
          </w:p>
        </w:tc>
      </w:tr>
      <w:tr w:rsidR="00AB5B9D" w:rsidRPr="00AB5B9D" w14:paraId="4278EB22" w14:textId="77777777" w:rsidTr="00AB5B9D">
        <w:trPr>
          <w:trHeight w:val="260"/>
        </w:trPr>
        <w:tc>
          <w:tcPr>
            <w:tcW w:w="890" w:type="dxa"/>
            <w:tcBorders>
              <w:top w:val="nil"/>
              <w:left w:val="nil"/>
              <w:bottom w:val="nil"/>
              <w:right w:val="nil"/>
            </w:tcBorders>
            <w:shd w:val="clear" w:color="auto" w:fill="auto"/>
            <w:noWrap/>
            <w:vAlign w:val="bottom"/>
            <w:hideMark/>
          </w:tcPr>
          <w:p w14:paraId="4DE09183" w14:textId="77777777" w:rsidR="00AB5B9D" w:rsidRPr="00AB5B9D" w:rsidRDefault="00AB5B9D" w:rsidP="00AB5B9D">
            <w:pPr>
              <w:jc w:val="center"/>
              <w:rPr>
                <w:rFonts w:ascii="Arial" w:eastAsia="Times New Roman" w:hAnsi="Arial" w:cs="Arial"/>
                <w:color w:val="000000"/>
                <w:sz w:val="20"/>
                <w:szCs w:val="20"/>
              </w:rPr>
            </w:pPr>
          </w:p>
        </w:tc>
        <w:tc>
          <w:tcPr>
            <w:tcW w:w="1315" w:type="dxa"/>
            <w:tcBorders>
              <w:top w:val="nil"/>
              <w:left w:val="nil"/>
              <w:bottom w:val="nil"/>
              <w:right w:val="nil"/>
            </w:tcBorders>
            <w:shd w:val="clear" w:color="auto" w:fill="auto"/>
            <w:noWrap/>
            <w:vAlign w:val="bottom"/>
            <w:hideMark/>
          </w:tcPr>
          <w:p w14:paraId="3B3B2881" w14:textId="77777777" w:rsidR="00AB5B9D" w:rsidRPr="00AB5B9D" w:rsidRDefault="00AB5B9D" w:rsidP="00AB5B9D">
            <w:pPr>
              <w:rPr>
                <w:rFonts w:ascii="Times New Roman" w:eastAsia="Times New Roman" w:hAnsi="Times New Roman" w:cs="Times New Roman"/>
                <w:sz w:val="20"/>
                <w:szCs w:val="20"/>
              </w:rPr>
            </w:pPr>
          </w:p>
        </w:tc>
        <w:tc>
          <w:tcPr>
            <w:tcW w:w="6575" w:type="dxa"/>
            <w:gridSpan w:val="5"/>
            <w:tcBorders>
              <w:top w:val="nil"/>
              <w:left w:val="nil"/>
              <w:bottom w:val="single" w:sz="4" w:space="0" w:color="auto"/>
              <w:right w:val="nil"/>
            </w:tcBorders>
            <w:shd w:val="clear" w:color="auto" w:fill="auto"/>
            <w:noWrap/>
            <w:vAlign w:val="bottom"/>
            <w:hideMark/>
          </w:tcPr>
          <w:p w14:paraId="678DB580"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Lockdown start</w:t>
            </w:r>
          </w:p>
        </w:tc>
      </w:tr>
      <w:tr w:rsidR="00AB5B9D" w:rsidRPr="00AB5B9D" w14:paraId="19CAA2F6" w14:textId="77777777" w:rsidTr="00AB5B9D">
        <w:trPr>
          <w:trHeight w:val="260"/>
        </w:trPr>
        <w:tc>
          <w:tcPr>
            <w:tcW w:w="890" w:type="dxa"/>
            <w:tcBorders>
              <w:top w:val="nil"/>
              <w:left w:val="nil"/>
              <w:bottom w:val="single" w:sz="4" w:space="0" w:color="auto"/>
              <w:right w:val="nil"/>
            </w:tcBorders>
            <w:shd w:val="clear" w:color="auto" w:fill="auto"/>
            <w:noWrap/>
            <w:vAlign w:val="bottom"/>
            <w:hideMark/>
          </w:tcPr>
          <w:p w14:paraId="33E145F4" w14:textId="77777777" w:rsidR="00AB5B9D" w:rsidRPr="00AB5B9D" w:rsidRDefault="00AB5B9D" w:rsidP="00AB5B9D">
            <w:pPr>
              <w:rPr>
                <w:rFonts w:ascii="Arial" w:eastAsia="Times New Roman" w:hAnsi="Arial" w:cs="Arial"/>
                <w:color w:val="000000"/>
                <w:sz w:val="20"/>
                <w:szCs w:val="20"/>
              </w:rPr>
            </w:pPr>
            <w:r w:rsidRPr="00AB5B9D">
              <w:rPr>
                <w:rFonts w:ascii="Arial" w:eastAsia="Times New Roman" w:hAnsi="Arial" w:cs="Arial"/>
                <w:color w:val="000000"/>
                <w:sz w:val="20"/>
                <w:szCs w:val="20"/>
              </w:rPr>
              <w:t>Date</w:t>
            </w:r>
          </w:p>
        </w:tc>
        <w:tc>
          <w:tcPr>
            <w:tcW w:w="1315" w:type="dxa"/>
            <w:tcBorders>
              <w:top w:val="nil"/>
              <w:left w:val="nil"/>
              <w:bottom w:val="single" w:sz="4" w:space="0" w:color="auto"/>
              <w:right w:val="nil"/>
            </w:tcBorders>
            <w:shd w:val="clear" w:color="auto" w:fill="auto"/>
            <w:noWrap/>
            <w:vAlign w:val="bottom"/>
            <w:hideMark/>
          </w:tcPr>
          <w:p w14:paraId="644569DF"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Observed</w:t>
            </w:r>
          </w:p>
        </w:tc>
        <w:tc>
          <w:tcPr>
            <w:tcW w:w="1315" w:type="dxa"/>
            <w:tcBorders>
              <w:top w:val="nil"/>
              <w:left w:val="nil"/>
              <w:bottom w:val="single" w:sz="4" w:space="0" w:color="auto"/>
              <w:right w:val="nil"/>
            </w:tcBorders>
            <w:shd w:val="clear" w:color="auto" w:fill="auto"/>
            <w:noWrap/>
            <w:vAlign w:val="bottom"/>
            <w:hideMark/>
          </w:tcPr>
          <w:p w14:paraId="55FB6DBF"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March 1</w:t>
            </w:r>
          </w:p>
        </w:tc>
        <w:tc>
          <w:tcPr>
            <w:tcW w:w="1315" w:type="dxa"/>
            <w:tcBorders>
              <w:top w:val="nil"/>
              <w:left w:val="nil"/>
              <w:bottom w:val="single" w:sz="4" w:space="0" w:color="auto"/>
              <w:right w:val="nil"/>
            </w:tcBorders>
            <w:shd w:val="clear" w:color="auto" w:fill="auto"/>
            <w:noWrap/>
            <w:vAlign w:val="bottom"/>
            <w:hideMark/>
          </w:tcPr>
          <w:p w14:paraId="29AE1B25"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March 15</w:t>
            </w:r>
          </w:p>
        </w:tc>
        <w:tc>
          <w:tcPr>
            <w:tcW w:w="1315" w:type="dxa"/>
            <w:tcBorders>
              <w:top w:val="nil"/>
              <w:left w:val="nil"/>
              <w:bottom w:val="single" w:sz="4" w:space="0" w:color="auto"/>
              <w:right w:val="nil"/>
            </w:tcBorders>
            <w:shd w:val="clear" w:color="auto" w:fill="auto"/>
            <w:noWrap/>
            <w:vAlign w:val="bottom"/>
            <w:hideMark/>
          </w:tcPr>
          <w:p w14:paraId="17541D5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March 30</w:t>
            </w:r>
          </w:p>
        </w:tc>
        <w:tc>
          <w:tcPr>
            <w:tcW w:w="1315" w:type="dxa"/>
            <w:tcBorders>
              <w:top w:val="nil"/>
              <w:left w:val="nil"/>
              <w:bottom w:val="single" w:sz="4" w:space="0" w:color="auto"/>
              <w:right w:val="nil"/>
            </w:tcBorders>
            <w:shd w:val="clear" w:color="auto" w:fill="auto"/>
            <w:noWrap/>
            <w:vAlign w:val="bottom"/>
            <w:hideMark/>
          </w:tcPr>
          <w:p w14:paraId="10F6E768"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April 15</w:t>
            </w:r>
          </w:p>
        </w:tc>
        <w:tc>
          <w:tcPr>
            <w:tcW w:w="1315" w:type="dxa"/>
            <w:tcBorders>
              <w:top w:val="nil"/>
              <w:left w:val="nil"/>
              <w:bottom w:val="single" w:sz="4" w:space="0" w:color="auto"/>
              <w:right w:val="nil"/>
            </w:tcBorders>
            <w:shd w:val="clear" w:color="auto" w:fill="auto"/>
            <w:noWrap/>
            <w:vAlign w:val="bottom"/>
            <w:hideMark/>
          </w:tcPr>
          <w:p w14:paraId="6B182ED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April 30</w:t>
            </w:r>
          </w:p>
        </w:tc>
      </w:tr>
      <w:tr w:rsidR="00AB5B9D" w:rsidRPr="00AB5B9D" w14:paraId="7AA0A042" w14:textId="77777777" w:rsidTr="00AB5B9D">
        <w:trPr>
          <w:trHeight w:val="260"/>
        </w:trPr>
        <w:tc>
          <w:tcPr>
            <w:tcW w:w="890" w:type="dxa"/>
            <w:tcBorders>
              <w:top w:val="nil"/>
              <w:left w:val="nil"/>
              <w:bottom w:val="nil"/>
              <w:right w:val="nil"/>
            </w:tcBorders>
            <w:shd w:val="clear" w:color="000000" w:fill="D9D9D9"/>
            <w:noWrap/>
            <w:vAlign w:val="bottom"/>
            <w:hideMark/>
          </w:tcPr>
          <w:p w14:paraId="0DDA86B8"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3/1/21</w:t>
            </w:r>
          </w:p>
        </w:tc>
        <w:tc>
          <w:tcPr>
            <w:tcW w:w="1315" w:type="dxa"/>
            <w:tcBorders>
              <w:top w:val="nil"/>
              <w:left w:val="nil"/>
              <w:bottom w:val="nil"/>
              <w:right w:val="nil"/>
            </w:tcBorders>
            <w:shd w:val="clear" w:color="000000" w:fill="D9D9D9"/>
            <w:noWrap/>
            <w:vAlign w:val="bottom"/>
            <w:hideMark/>
          </w:tcPr>
          <w:p w14:paraId="136F020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11,124,248</w:t>
            </w:r>
          </w:p>
        </w:tc>
        <w:tc>
          <w:tcPr>
            <w:tcW w:w="1315" w:type="dxa"/>
            <w:tcBorders>
              <w:top w:val="nil"/>
              <w:left w:val="nil"/>
              <w:bottom w:val="nil"/>
              <w:right w:val="nil"/>
            </w:tcBorders>
            <w:shd w:val="clear" w:color="000000" w:fill="D9D9D9"/>
            <w:noWrap/>
            <w:vAlign w:val="bottom"/>
            <w:hideMark/>
          </w:tcPr>
          <w:p w14:paraId="24ADC7C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11,117,325</w:t>
            </w:r>
          </w:p>
        </w:tc>
        <w:tc>
          <w:tcPr>
            <w:tcW w:w="1315" w:type="dxa"/>
            <w:tcBorders>
              <w:top w:val="nil"/>
              <w:left w:val="nil"/>
              <w:bottom w:val="nil"/>
              <w:right w:val="nil"/>
            </w:tcBorders>
            <w:shd w:val="clear" w:color="000000" w:fill="D9D9D9"/>
            <w:noWrap/>
            <w:vAlign w:val="bottom"/>
            <w:hideMark/>
          </w:tcPr>
          <w:p w14:paraId="39D69D40"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795B664E"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4270B82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795630F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06F3D7C7" w14:textId="77777777" w:rsidTr="00AB5B9D">
        <w:trPr>
          <w:trHeight w:val="260"/>
        </w:trPr>
        <w:tc>
          <w:tcPr>
            <w:tcW w:w="890" w:type="dxa"/>
            <w:tcBorders>
              <w:top w:val="nil"/>
              <w:left w:val="nil"/>
              <w:bottom w:val="nil"/>
              <w:right w:val="nil"/>
            </w:tcBorders>
            <w:shd w:val="clear" w:color="auto" w:fill="auto"/>
            <w:noWrap/>
            <w:vAlign w:val="bottom"/>
            <w:hideMark/>
          </w:tcPr>
          <w:p w14:paraId="7F30F6FD"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3/15/21</w:t>
            </w:r>
          </w:p>
        </w:tc>
        <w:tc>
          <w:tcPr>
            <w:tcW w:w="1315" w:type="dxa"/>
            <w:tcBorders>
              <w:top w:val="nil"/>
              <w:left w:val="nil"/>
              <w:bottom w:val="nil"/>
              <w:right w:val="nil"/>
            </w:tcBorders>
            <w:shd w:val="clear" w:color="auto" w:fill="auto"/>
            <w:noWrap/>
            <w:vAlign w:val="bottom"/>
            <w:hideMark/>
          </w:tcPr>
          <w:p w14:paraId="1480413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11,409,517</w:t>
            </w:r>
          </w:p>
        </w:tc>
        <w:tc>
          <w:tcPr>
            <w:tcW w:w="1315" w:type="dxa"/>
            <w:tcBorders>
              <w:top w:val="nil"/>
              <w:left w:val="nil"/>
              <w:bottom w:val="nil"/>
              <w:right w:val="nil"/>
            </w:tcBorders>
            <w:shd w:val="clear" w:color="auto" w:fill="auto"/>
            <w:noWrap/>
            <w:vAlign w:val="bottom"/>
            <w:hideMark/>
          </w:tcPr>
          <w:p w14:paraId="1752DE2F"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11,197,591</w:t>
            </w:r>
          </w:p>
        </w:tc>
        <w:tc>
          <w:tcPr>
            <w:tcW w:w="1315" w:type="dxa"/>
            <w:tcBorders>
              <w:top w:val="nil"/>
              <w:left w:val="nil"/>
              <w:bottom w:val="nil"/>
              <w:right w:val="nil"/>
            </w:tcBorders>
            <w:shd w:val="clear" w:color="auto" w:fill="auto"/>
            <w:noWrap/>
            <w:vAlign w:val="bottom"/>
            <w:hideMark/>
          </w:tcPr>
          <w:p w14:paraId="6122669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11,387,982</w:t>
            </w:r>
          </w:p>
        </w:tc>
        <w:tc>
          <w:tcPr>
            <w:tcW w:w="1315" w:type="dxa"/>
            <w:tcBorders>
              <w:top w:val="nil"/>
              <w:left w:val="nil"/>
              <w:bottom w:val="nil"/>
              <w:right w:val="nil"/>
            </w:tcBorders>
            <w:shd w:val="clear" w:color="auto" w:fill="auto"/>
            <w:noWrap/>
            <w:vAlign w:val="bottom"/>
            <w:hideMark/>
          </w:tcPr>
          <w:p w14:paraId="7FC5E366"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auto" w:fill="auto"/>
            <w:noWrap/>
            <w:vAlign w:val="bottom"/>
            <w:hideMark/>
          </w:tcPr>
          <w:p w14:paraId="65B1C3A0"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auto" w:fill="auto"/>
            <w:noWrap/>
            <w:vAlign w:val="bottom"/>
            <w:hideMark/>
          </w:tcPr>
          <w:p w14:paraId="6FAACFD3"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1B658AC6" w14:textId="77777777" w:rsidTr="00AB5B9D">
        <w:trPr>
          <w:trHeight w:val="260"/>
        </w:trPr>
        <w:tc>
          <w:tcPr>
            <w:tcW w:w="890" w:type="dxa"/>
            <w:tcBorders>
              <w:top w:val="nil"/>
              <w:left w:val="nil"/>
              <w:bottom w:val="nil"/>
              <w:right w:val="nil"/>
            </w:tcBorders>
            <w:shd w:val="clear" w:color="000000" w:fill="D9D9D9"/>
            <w:noWrap/>
            <w:vAlign w:val="bottom"/>
            <w:hideMark/>
          </w:tcPr>
          <w:p w14:paraId="53A9A62A"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3/30/21</w:t>
            </w:r>
          </w:p>
        </w:tc>
        <w:tc>
          <w:tcPr>
            <w:tcW w:w="1315" w:type="dxa"/>
            <w:tcBorders>
              <w:top w:val="nil"/>
              <w:left w:val="nil"/>
              <w:bottom w:val="nil"/>
              <w:right w:val="nil"/>
            </w:tcBorders>
            <w:shd w:val="clear" w:color="000000" w:fill="D9D9D9"/>
            <w:noWrap/>
            <w:vAlign w:val="bottom"/>
            <w:hideMark/>
          </w:tcPr>
          <w:p w14:paraId="2E586DEE"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12,148,521</w:t>
            </w:r>
          </w:p>
        </w:tc>
        <w:tc>
          <w:tcPr>
            <w:tcW w:w="1315" w:type="dxa"/>
            <w:tcBorders>
              <w:top w:val="nil"/>
              <w:left w:val="nil"/>
              <w:bottom w:val="nil"/>
              <w:right w:val="nil"/>
            </w:tcBorders>
            <w:shd w:val="clear" w:color="000000" w:fill="D9D9D9"/>
            <w:noWrap/>
            <w:vAlign w:val="bottom"/>
            <w:hideMark/>
          </w:tcPr>
          <w:p w14:paraId="117E00AE"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11,247,983</w:t>
            </w:r>
          </w:p>
        </w:tc>
        <w:tc>
          <w:tcPr>
            <w:tcW w:w="1315" w:type="dxa"/>
            <w:tcBorders>
              <w:top w:val="nil"/>
              <w:left w:val="nil"/>
              <w:bottom w:val="nil"/>
              <w:right w:val="nil"/>
            </w:tcBorders>
            <w:shd w:val="clear" w:color="000000" w:fill="D9D9D9"/>
            <w:noWrap/>
            <w:vAlign w:val="bottom"/>
            <w:hideMark/>
          </w:tcPr>
          <w:p w14:paraId="29ECD60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11,494,778</w:t>
            </w:r>
          </w:p>
        </w:tc>
        <w:tc>
          <w:tcPr>
            <w:tcW w:w="1315" w:type="dxa"/>
            <w:tcBorders>
              <w:top w:val="nil"/>
              <w:left w:val="nil"/>
              <w:bottom w:val="nil"/>
              <w:right w:val="nil"/>
            </w:tcBorders>
            <w:shd w:val="clear" w:color="000000" w:fill="D9D9D9"/>
            <w:noWrap/>
            <w:vAlign w:val="bottom"/>
            <w:hideMark/>
          </w:tcPr>
          <w:p w14:paraId="7DDC6518"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12,114,144</w:t>
            </w:r>
          </w:p>
        </w:tc>
        <w:tc>
          <w:tcPr>
            <w:tcW w:w="1315" w:type="dxa"/>
            <w:tcBorders>
              <w:top w:val="nil"/>
              <w:left w:val="nil"/>
              <w:bottom w:val="nil"/>
              <w:right w:val="nil"/>
            </w:tcBorders>
            <w:shd w:val="clear" w:color="000000" w:fill="D9D9D9"/>
            <w:noWrap/>
            <w:vAlign w:val="bottom"/>
            <w:hideMark/>
          </w:tcPr>
          <w:p w14:paraId="0B1F48A7"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4A32D6C1"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6512507A" w14:textId="77777777" w:rsidTr="00AB5B9D">
        <w:trPr>
          <w:trHeight w:val="260"/>
        </w:trPr>
        <w:tc>
          <w:tcPr>
            <w:tcW w:w="890" w:type="dxa"/>
            <w:tcBorders>
              <w:top w:val="nil"/>
              <w:left w:val="nil"/>
              <w:bottom w:val="nil"/>
              <w:right w:val="nil"/>
            </w:tcBorders>
            <w:shd w:val="clear" w:color="auto" w:fill="auto"/>
            <w:noWrap/>
            <w:vAlign w:val="bottom"/>
            <w:hideMark/>
          </w:tcPr>
          <w:p w14:paraId="21898D8C"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4/15/21</w:t>
            </w:r>
          </w:p>
        </w:tc>
        <w:tc>
          <w:tcPr>
            <w:tcW w:w="1315" w:type="dxa"/>
            <w:tcBorders>
              <w:top w:val="nil"/>
              <w:left w:val="nil"/>
              <w:bottom w:val="nil"/>
              <w:right w:val="nil"/>
            </w:tcBorders>
            <w:shd w:val="clear" w:color="auto" w:fill="auto"/>
            <w:noWrap/>
            <w:vAlign w:val="bottom"/>
            <w:hideMark/>
          </w:tcPr>
          <w:p w14:paraId="3507EF81"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14,287,843</w:t>
            </w:r>
          </w:p>
        </w:tc>
        <w:tc>
          <w:tcPr>
            <w:tcW w:w="1315" w:type="dxa"/>
            <w:tcBorders>
              <w:top w:val="nil"/>
              <w:left w:val="nil"/>
              <w:bottom w:val="nil"/>
              <w:right w:val="nil"/>
            </w:tcBorders>
            <w:shd w:val="clear" w:color="auto" w:fill="auto"/>
            <w:noWrap/>
            <w:vAlign w:val="bottom"/>
            <w:hideMark/>
          </w:tcPr>
          <w:p w14:paraId="0C7BF1D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11,277,868</w:t>
            </w:r>
          </w:p>
        </w:tc>
        <w:tc>
          <w:tcPr>
            <w:tcW w:w="1315" w:type="dxa"/>
            <w:tcBorders>
              <w:top w:val="nil"/>
              <w:left w:val="nil"/>
              <w:bottom w:val="nil"/>
              <w:right w:val="nil"/>
            </w:tcBorders>
            <w:shd w:val="clear" w:color="auto" w:fill="auto"/>
            <w:noWrap/>
            <w:vAlign w:val="bottom"/>
            <w:hideMark/>
          </w:tcPr>
          <w:p w14:paraId="09F8C37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11,561,550</w:t>
            </w:r>
          </w:p>
        </w:tc>
        <w:tc>
          <w:tcPr>
            <w:tcW w:w="1315" w:type="dxa"/>
            <w:tcBorders>
              <w:top w:val="nil"/>
              <w:left w:val="nil"/>
              <w:bottom w:val="nil"/>
              <w:right w:val="nil"/>
            </w:tcBorders>
            <w:shd w:val="clear" w:color="auto" w:fill="auto"/>
            <w:noWrap/>
            <w:vAlign w:val="bottom"/>
            <w:hideMark/>
          </w:tcPr>
          <w:p w14:paraId="2770166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12,473,697</w:t>
            </w:r>
          </w:p>
        </w:tc>
        <w:tc>
          <w:tcPr>
            <w:tcW w:w="1315" w:type="dxa"/>
            <w:tcBorders>
              <w:top w:val="nil"/>
              <w:left w:val="nil"/>
              <w:bottom w:val="nil"/>
              <w:right w:val="nil"/>
            </w:tcBorders>
            <w:shd w:val="clear" w:color="auto" w:fill="auto"/>
            <w:noWrap/>
            <w:vAlign w:val="bottom"/>
            <w:hideMark/>
          </w:tcPr>
          <w:p w14:paraId="1217792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14,176,161</w:t>
            </w:r>
          </w:p>
        </w:tc>
        <w:tc>
          <w:tcPr>
            <w:tcW w:w="1315" w:type="dxa"/>
            <w:tcBorders>
              <w:top w:val="nil"/>
              <w:left w:val="nil"/>
              <w:bottom w:val="nil"/>
              <w:right w:val="nil"/>
            </w:tcBorders>
            <w:shd w:val="clear" w:color="auto" w:fill="auto"/>
            <w:noWrap/>
            <w:vAlign w:val="bottom"/>
            <w:hideMark/>
          </w:tcPr>
          <w:p w14:paraId="298EC46D"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10A2B304" w14:textId="77777777" w:rsidTr="00AB5B9D">
        <w:trPr>
          <w:trHeight w:val="260"/>
        </w:trPr>
        <w:tc>
          <w:tcPr>
            <w:tcW w:w="890" w:type="dxa"/>
            <w:tcBorders>
              <w:top w:val="nil"/>
              <w:left w:val="nil"/>
              <w:bottom w:val="nil"/>
              <w:right w:val="nil"/>
            </w:tcBorders>
            <w:shd w:val="clear" w:color="000000" w:fill="D9D9D9"/>
            <w:noWrap/>
            <w:vAlign w:val="bottom"/>
            <w:hideMark/>
          </w:tcPr>
          <w:p w14:paraId="0AA65215"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4/30/21</w:t>
            </w:r>
          </w:p>
        </w:tc>
        <w:tc>
          <w:tcPr>
            <w:tcW w:w="1315" w:type="dxa"/>
            <w:tcBorders>
              <w:top w:val="nil"/>
              <w:left w:val="nil"/>
              <w:bottom w:val="nil"/>
              <w:right w:val="nil"/>
            </w:tcBorders>
            <w:shd w:val="clear" w:color="000000" w:fill="D9D9D9"/>
            <w:noWrap/>
            <w:vAlign w:val="bottom"/>
            <w:hideMark/>
          </w:tcPr>
          <w:p w14:paraId="29A7A97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19,156,979</w:t>
            </w:r>
          </w:p>
        </w:tc>
        <w:tc>
          <w:tcPr>
            <w:tcW w:w="1315" w:type="dxa"/>
            <w:tcBorders>
              <w:top w:val="nil"/>
              <w:left w:val="nil"/>
              <w:bottom w:val="nil"/>
              <w:right w:val="nil"/>
            </w:tcBorders>
            <w:shd w:val="clear" w:color="000000" w:fill="D9D9D9"/>
            <w:noWrap/>
            <w:vAlign w:val="bottom"/>
            <w:hideMark/>
          </w:tcPr>
          <w:p w14:paraId="201D697D"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11,292,034</w:t>
            </w:r>
          </w:p>
        </w:tc>
        <w:tc>
          <w:tcPr>
            <w:tcW w:w="1315" w:type="dxa"/>
            <w:tcBorders>
              <w:top w:val="nil"/>
              <w:left w:val="nil"/>
              <w:bottom w:val="nil"/>
              <w:right w:val="nil"/>
            </w:tcBorders>
            <w:shd w:val="clear" w:color="000000" w:fill="D9D9D9"/>
            <w:noWrap/>
            <w:vAlign w:val="bottom"/>
            <w:hideMark/>
          </w:tcPr>
          <w:p w14:paraId="2364B4C8"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11,599,729</w:t>
            </w:r>
          </w:p>
        </w:tc>
        <w:tc>
          <w:tcPr>
            <w:tcW w:w="1315" w:type="dxa"/>
            <w:tcBorders>
              <w:top w:val="nil"/>
              <w:left w:val="nil"/>
              <w:bottom w:val="nil"/>
              <w:right w:val="nil"/>
            </w:tcBorders>
            <w:shd w:val="clear" w:color="000000" w:fill="D9D9D9"/>
            <w:noWrap/>
            <w:vAlign w:val="bottom"/>
            <w:hideMark/>
          </w:tcPr>
          <w:p w14:paraId="6978245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12,713,444</w:t>
            </w:r>
          </w:p>
        </w:tc>
        <w:tc>
          <w:tcPr>
            <w:tcW w:w="1315" w:type="dxa"/>
            <w:tcBorders>
              <w:top w:val="nil"/>
              <w:left w:val="nil"/>
              <w:bottom w:val="nil"/>
              <w:right w:val="nil"/>
            </w:tcBorders>
            <w:shd w:val="clear" w:color="000000" w:fill="D9D9D9"/>
            <w:noWrap/>
            <w:vAlign w:val="bottom"/>
            <w:hideMark/>
          </w:tcPr>
          <w:p w14:paraId="4117D71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15,976,228</w:t>
            </w:r>
          </w:p>
        </w:tc>
        <w:tc>
          <w:tcPr>
            <w:tcW w:w="1315" w:type="dxa"/>
            <w:tcBorders>
              <w:top w:val="nil"/>
              <w:left w:val="nil"/>
              <w:bottom w:val="nil"/>
              <w:right w:val="nil"/>
            </w:tcBorders>
            <w:shd w:val="clear" w:color="000000" w:fill="D9D9D9"/>
            <w:noWrap/>
            <w:vAlign w:val="bottom"/>
            <w:hideMark/>
          </w:tcPr>
          <w:p w14:paraId="4AA4000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19,140,222</w:t>
            </w:r>
          </w:p>
        </w:tc>
      </w:tr>
      <w:tr w:rsidR="00AB5B9D" w:rsidRPr="00AB5B9D" w14:paraId="5B58D1ED" w14:textId="77777777" w:rsidTr="00AB5B9D">
        <w:trPr>
          <w:trHeight w:val="260"/>
        </w:trPr>
        <w:tc>
          <w:tcPr>
            <w:tcW w:w="890" w:type="dxa"/>
            <w:tcBorders>
              <w:top w:val="nil"/>
              <w:left w:val="nil"/>
              <w:bottom w:val="nil"/>
              <w:right w:val="nil"/>
            </w:tcBorders>
            <w:shd w:val="clear" w:color="auto" w:fill="auto"/>
            <w:noWrap/>
            <w:vAlign w:val="bottom"/>
            <w:hideMark/>
          </w:tcPr>
          <w:p w14:paraId="4CBA4E16"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5/15/21</w:t>
            </w:r>
          </w:p>
        </w:tc>
        <w:tc>
          <w:tcPr>
            <w:tcW w:w="1315" w:type="dxa"/>
            <w:tcBorders>
              <w:top w:val="nil"/>
              <w:left w:val="nil"/>
              <w:bottom w:val="nil"/>
              <w:right w:val="nil"/>
            </w:tcBorders>
            <w:shd w:val="clear" w:color="auto" w:fill="auto"/>
            <w:noWrap/>
            <w:vAlign w:val="bottom"/>
            <w:hideMark/>
          </w:tcPr>
          <w:p w14:paraId="22526D3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24,683,025</w:t>
            </w:r>
          </w:p>
        </w:tc>
        <w:tc>
          <w:tcPr>
            <w:tcW w:w="1315" w:type="dxa"/>
            <w:tcBorders>
              <w:top w:val="nil"/>
              <w:left w:val="nil"/>
              <w:bottom w:val="nil"/>
              <w:right w:val="nil"/>
            </w:tcBorders>
            <w:shd w:val="clear" w:color="auto" w:fill="auto"/>
            <w:noWrap/>
            <w:vAlign w:val="bottom"/>
            <w:hideMark/>
          </w:tcPr>
          <w:p w14:paraId="4F34E545"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11,300,197</w:t>
            </w:r>
          </w:p>
        </w:tc>
        <w:tc>
          <w:tcPr>
            <w:tcW w:w="1315" w:type="dxa"/>
            <w:tcBorders>
              <w:top w:val="nil"/>
              <w:left w:val="nil"/>
              <w:bottom w:val="nil"/>
              <w:right w:val="nil"/>
            </w:tcBorders>
            <w:shd w:val="clear" w:color="auto" w:fill="auto"/>
            <w:noWrap/>
            <w:vAlign w:val="bottom"/>
            <w:hideMark/>
          </w:tcPr>
          <w:p w14:paraId="3B4C5F6F"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11,623,270</w:t>
            </w:r>
          </w:p>
        </w:tc>
        <w:tc>
          <w:tcPr>
            <w:tcW w:w="1315" w:type="dxa"/>
            <w:tcBorders>
              <w:top w:val="nil"/>
              <w:left w:val="nil"/>
              <w:bottom w:val="nil"/>
              <w:right w:val="nil"/>
            </w:tcBorders>
            <w:shd w:val="clear" w:color="auto" w:fill="auto"/>
            <w:noWrap/>
            <w:vAlign w:val="bottom"/>
            <w:hideMark/>
          </w:tcPr>
          <w:p w14:paraId="7BF5F738"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12,878,145</w:t>
            </w:r>
          </w:p>
        </w:tc>
        <w:tc>
          <w:tcPr>
            <w:tcW w:w="1315" w:type="dxa"/>
            <w:tcBorders>
              <w:top w:val="nil"/>
              <w:left w:val="nil"/>
              <w:bottom w:val="nil"/>
              <w:right w:val="nil"/>
            </w:tcBorders>
            <w:shd w:val="clear" w:color="auto" w:fill="auto"/>
            <w:noWrap/>
            <w:vAlign w:val="bottom"/>
            <w:hideMark/>
          </w:tcPr>
          <w:p w14:paraId="261A0DA4"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17,566,407</w:t>
            </w:r>
          </w:p>
        </w:tc>
        <w:tc>
          <w:tcPr>
            <w:tcW w:w="1315" w:type="dxa"/>
            <w:tcBorders>
              <w:top w:val="nil"/>
              <w:left w:val="nil"/>
              <w:bottom w:val="nil"/>
              <w:right w:val="nil"/>
            </w:tcBorders>
            <w:shd w:val="clear" w:color="auto" w:fill="auto"/>
            <w:noWrap/>
            <w:vAlign w:val="bottom"/>
            <w:hideMark/>
          </w:tcPr>
          <w:p w14:paraId="508A0E70"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24,566,809</w:t>
            </w:r>
          </w:p>
        </w:tc>
      </w:tr>
      <w:tr w:rsidR="00AB5B9D" w:rsidRPr="00AB5B9D" w14:paraId="295E7801" w14:textId="77777777" w:rsidTr="00AB5B9D">
        <w:trPr>
          <w:trHeight w:val="260"/>
        </w:trPr>
        <w:tc>
          <w:tcPr>
            <w:tcW w:w="890" w:type="dxa"/>
            <w:tcBorders>
              <w:top w:val="nil"/>
              <w:left w:val="nil"/>
              <w:bottom w:val="nil"/>
              <w:right w:val="nil"/>
            </w:tcBorders>
            <w:shd w:val="clear" w:color="auto" w:fill="auto"/>
            <w:noWrap/>
            <w:vAlign w:val="bottom"/>
            <w:hideMark/>
          </w:tcPr>
          <w:p w14:paraId="797A58DF" w14:textId="77777777" w:rsidR="00AB5B9D" w:rsidRPr="00AB5B9D" w:rsidRDefault="00AB5B9D" w:rsidP="00AB5B9D">
            <w:pPr>
              <w:jc w:val="center"/>
              <w:rPr>
                <w:rFonts w:ascii="Arial" w:eastAsia="Times New Roman" w:hAnsi="Arial" w:cs="Arial"/>
                <w:color w:val="000000"/>
                <w:sz w:val="20"/>
                <w:szCs w:val="20"/>
              </w:rPr>
            </w:pPr>
          </w:p>
        </w:tc>
        <w:tc>
          <w:tcPr>
            <w:tcW w:w="1315" w:type="dxa"/>
            <w:tcBorders>
              <w:top w:val="nil"/>
              <w:left w:val="nil"/>
              <w:bottom w:val="nil"/>
              <w:right w:val="nil"/>
            </w:tcBorders>
            <w:shd w:val="clear" w:color="auto" w:fill="auto"/>
            <w:noWrap/>
            <w:vAlign w:val="bottom"/>
            <w:hideMark/>
          </w:tcPr>
          <w:p w14:paraId="65B052CE" w14:textId="77777777" w:rsidR="00AB5B9D" w:rsidRPr="00AB5B9D" w:rsidRDefault="00AB5B9D" w:rsidP="00AB5B9D">
            <w:pPr>
              <w:rPr>
                <w:rFonts w:ascii="Times New Roman" w:eastAsia="Times New Roman" w:hAnsi="Times New Roman" w:cs="Times New Roman"/>
                <w:sz w:val="20"/>
                <w:szCs w:val="20"/>
              </w:rPr>
            </w:pPr>
          </w:p>
        </w:tc>
        <w:tc>
          <w:tcPr>
            <w:tcW w:w="6575" w:type="dxa"/>
            <w:gridSpan w:val="5"/>
            <w:tcBorders>
              <w:top w:val="nil"/>
              <w:left w:val="nil"/>
              <w:bottom w:val="single" w:sz="4" w:space="0" w:color="auto"/>
              <w:right w:val="nil"/>
            </w:tcBorders>
            <w:shd w:val="clear" w:color="auto" w:fill="auto"/>
            <w:noWrap/>
            <w:vAlign w:val="bottom"/>
            <w:hideMark/>
          </w:tcPr>
          <w:p w14:paraId="386582F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Cases averted</w:t>
            </w:r>
          </w:p>
        </w:tc>
      </w:tr>
      <w:tr w:rsidR="00AB5B9D" w:rsidRPr="00AB5B9D" w14:paraId="75862A1A" w14:textId="77777777" w:rsidTr="00AB5B9D">
        <w:trPr>
          <w:trHeight w:val="260"/>
        </w:trPr>
        <w:tc>
          <w:tcPr>
            <w:tcW w:w="890" w:type="dxa"/>
            <w:tcBorders>
              <w:top w:val="nil"/>
              <w:left w:val="nil"/>
              <w:bottom w:val="nil"/>
              <w:right w:val="nil"/>
            </w:tcBorders>
            <w:shd w:val="clear" w:color="000000" w:fill="D9D9D9"/>
            <w:noWrap/>
            <w:vAlign w:val="bottom"/>
            <w:hideMark/>
          </w:tcPr>
          <w:p w14:paraId="282E8745"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3/1/21</w:t>
            </w:r>
          </w:p>
        </w:tc>
        <w:tc>
          <w:tcPr>
            <w:tcW w:w="1315" w:type="dxa"/>
            <w:tcBorders>
              <w:top w:val="nil"/>
              <w:left w:val="nil"/>
              <w:bottom w:val="nil"/>
              <w:right w:val="nil"/>
            </w:tcBorders>
            <w:shd w:val="clear" w:color="000000" w:fill="D9D9D9"/>
            <w:noWrap/>
            <w:vAlign w:val="bottom"/>
            <w:hideMark/>
          </w:tcPr>
          <w:p w14:paraId="1C0831C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11,124,248</w:t>
            </w:r>
          </w:p>
        </w:tc>
        <w:tc>
          <w:tcPr>
            <w:tcW w:w="1315" w:type="dxa"/>
            <w:tcBorders>
              <w:top w:val="nil"/>
              <w:left w:val="nil"/>
              <w:bottom w:val="nil"/>
              <w:right w:val="nil"/>
            </w:tcBorders>
            <w:shd w:val="clear" w:color="000000" w:fill="D9D9D9"/>
            <w:noWrap/>
            <w:vAlign w:val="bottom"/>
            <w:hideMark/>
          </w:tcPr>
          <w:p w14:paraId="016AF66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7,367</w:t>
            </w:r>
          </w:p>
        </w:tc>
        <w:tc>
          <w:tcPr>
            <w:tcW w:w="1315" w:type="dxa"/>
            <w:tcBorders>
              <w:top w:val="nil"/>
              <w:left w:val="nil"/>
              <w:bottom w:val="nil"/>
              <w:right w:val="nil"/>
            </w:tcBorders>
            <w:shd w:val="clear" w:color="000000" w:fill="D9D9D9"/>
            <w:noWrap/>
            <w:vAlign w:val="bottom"/>
            <w:hideMark/>
          </w:tcPr>
          <w:p w14:paraId="7F7C06C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541D5BC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055607E8"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507A0E5F"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033FAB19" w14:textId="77777777" w:rsidTr="00AB5B9D">
        <w:trPr>
          <w:trHeight w:val="260"/>
        </w:trPr>
        <w:tc>
          <w:tcPr>
            <w:tcW w:w="890" w:type="dxa"/>
            <w:tcBorders>
              <w:top w:val="nil"/>
              <w:left w:val="nil"/>
              <w:bottom w:val="nil"/>
              <w:right w:val="nil"/>
            </w:tcBorders>
            <w:shd w:val="clear" w:color="auto" w:fill="auto"/>
            <w:noWrap/>
            <w:vAlign w:val="bottom"/>
            <w:hideMark/>
          </w:tcPr>
          <w:p w14:paraId="370A0E3F"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3/15/21</w:t>
            </w:r>
          </w:p>
        </w:tc>
        <w:tc>
          <w:tcPr>
            <w:tcW w:w="1315" w:type="dxa"/>
            <w:tcBorders>
              <w:top w:val="nil"/>
              <w:left w:val="nil"/>
              <w:bottom w:val="nil"/>
              <w:right w:val="nil"/>
            </w:tcBorders>
            <w:shd w:val="clear" w:color="auto" w:fill="auto"/>
            <w:noWrap/>
            <w:vAlign w:val="bottom"/>
            <w:hideMark/>
          </w:tcPr>
          <w:p w14:paraId="17D168D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11,409,517</w:t>
            </w:r>
          </w:p>
        </w:tc>
        <w:tc>
          <w:tcPr>
            <w:tcW w:w="1315" w:type="dxa"/>
            <w:tcBorders>
              <w:top w:val="nil"/>
              <w:left w:val="nil"/>
              <w:bottom w:val="nil"/>
              <w:right w:val="nil"/>
            </w:tcBorders>
            <w:shd w:val="clear" w:color="auto" w:fill="auto"/>
            <w:noWrap/>
            <w:vAlign w:val="bottom"/>
            <w:hideMark/>
          </w:tcPr>
          <w:p w14:paraId="57AF0346"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211,940</w:t>
            </w:r>
          </w:p>
        </w:tc>
        <w:tc>
          <w:tcPr>
            <w:tcW w:w="1315" w:type="dxa"/>
            <w:tcBorders>
              <w:top w:val="nil"/>
              <w:left w:val="nil"/>
              <w:bottom w:val="nil"/>
              <w:right w:val="nil"/>
            </w:tcBorders>
            <w:shd w:val="clear" w:color="auto" w:fill="auto"/>
            <w:noWrap/>
            <w:vAlign w:val="bottom"/>
            <w:hideMark/>
          </w:tcPr>
          <w:p w14:paraId="701D7D1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20,948</w:t>
            </w:r>
          </w:p>
        </w:tc>
        <w:tc>
          <w:tcPr>
            <w:tcW w:w="1315" w:type="dxa"/>
            <w:tcBorders>
              <w:top w:val="nil"/>
              <w:left w:val="nil"/>
              <w:bottom w:val="nil"/>
              <w:right w:val="nil"/>
            </w:tcBorders>
            <w:shd w:val="clear" w:color="auto" w:fill="auto"/>
            <w:noWrap/>
            <w:vAlign w:val="bottom"/>
            <w:hideMark/>
          </w:tcPr>
          <w:p w14:paraId="3655452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auto" w:fill="auto"/>
            <w:noWrap/>
            <w:vAlign w:val="bottom"/>
            <w:hideMark/>
          </w:tcPr>
          <w:p w14:paraId="0049F868"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auto" w:fill="auto"/>
            <w:noWrap/>
            <w:vAlign w:val="bottom"/>
            <w:hideMark/>
          </w:tcPr>
          <w:p w14:paraId="30CB531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2E2427D0" w14:textId="77777777" w:rsidTr="00AB5B9D">
        <w:trPr>
          <w:trHeight w:val="260"/>
        </w:trPr>
        <w:tc>
          <w:tcPr>
            <w:tcW w:w="890" w:type="dxa"/>
            <w:tcBorders>
              <w:top w:val="nil"/>
              <w:left w:val="nil"/>
              <w:bottom w:val="nil"/>
              <w:right w:val="nil"/>
            </w:tcBorders>
            <w:shd w:val="clear" w:color="000000" w:fill="D9D9D9"/>
            <w:noWrap/>
            <w:vAlign w:val="bottom"/>
            <w:hideMark/>
          </w:tcPr>
          <w:p w14:paraId="3C9384BF"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3/30/21</w:t>
            </w:r>
          </w:p>
        </w:tc>
        <w:tc>
          <w:tcPr>
            <w:tcW w:w="1315" w:type="dxa"/>
            <w:tcBorders>
              <w:top w:val="nil"/>
              <w:left w:val="nil"/>
              <w:bottom w:val="nil"/>
              <w:right w:val="nil"/>
            </w:tcBorders>
            <w:shd w:val="clear" w:color="000000" w:fill="D9D9D9"/>
            <w:noWrap/>
            <w:vAlign w:val="bottom"/>
            <w:hideMark/>
          </w:tcPr>
          <w:p w14:paraId="025862BE"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12,148,521</w:t>
            </w:r>
          </w:p>
        </w:tc>
        <w:tc>
          <w:tcPr>
            <w:tcW w:w="1315" w:type="dxa"/>
            <w:tcBorders>
              <w:top w:val="nil"/>
              <w:left w:val="nil"/>
              <w:bottom w:val="nil"/>
              <w:right w:val="nil"/>
            </w:tcBorders>
            <w:shd w:val="clear" w:color="000000" w:fill="D9D9D9"/>
            <w:noWrap/>
            <w:vAlign w:val="bottom"/>
            <w:hideMark/>
          </w:tcPr>
          <w:p w14:paraId="13D0C4D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900,578</w:t>
            </w:r>
          </w:p>
        </w:tc>
        <w:tc>
          <w:tcPr>
            <w:tcW w:w="1315" w:type="dxa"/>
            <w:tcBorders>
              <w:top w:val="nil"/>
              <w:left w:val="nil"/>
              <w:bottom w:val="nil"/>
              <w:right w:val="nil"/>
            </w:tcBorders>
            <w:shd w:val="clear" w:color="000000" w:fill="D9D9D9"/>
            <w:noWrap/>
            <w:vAlign w:val="bottom"/>
            <w:hideMark/>
          </w:tcPr>
          <w:p w14:paraId="4B1CB105"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653,627</w:t>
            </w:r>
          </w:p>
        </w:tc>
        <w:tc>
          <w:tcPr>
            <w:tcW w:w="1315" w:type="dxa"/>
            <w:tcBorders>
              <w:top w:val="nil"/>
              <w:left w:val="nil"/>
              <w:bottom w:val="nil"/>
              <w:right w:val="nil"/>
            </w:tcBorders>
            <w:shd w:val="clear" w:color="000000" w:fill="D9D9D9"/>
            <w:noWrap/>
            <w:vAlign w:val="bottom"/>
            <w:hideMark/>
          </w:tcPr>
          <w:p w14:paraId="26BFE4C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34,851</w:t>
            </w:r>
          </w:p>
        </w:tc>
        <w:tc>
          <w:tcPr>
            <w:tcW w:w="1315" w:type="dxa"/>
            <w:tcBorders>
              <w:top w:val="nil"/>
              <w:left w:val="nil"/>
              <w:bottom w:val="nil"/>
              <w:right w:val="nil"/>
            </w:tcBorders>
            <w:shd w:val="clear" w:color="000000" w:fill="D9D9D9"/>
            <w:noWrap/>
            <w:vAlign w:val="bottom"/>
            <w:hideMark/>
          </w:tcPr>
          <w:p w14:paraId="2AB8AFF0"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0A425784"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1817F0B4" w14:textId="77777777" w:rsidTr="00AB5B9D">
        <w:trPr>
          <w:trHeight w:val="260"/>
        </w:trPr>
        <w:tc>
          <w:tcPr>
            <w:tcW w:w="890" w:type="dxa"/>
            <w:tcBorders>
              <w:top w:val="nil"/>
              <w:left w:val="nil"/>
              <w:bottom w:val="nil"/>
              <w:right w:val="nil"/>
            </w:tcBorders>
            <w:shd w:val="clear" w:color="auto" w:fill="auto"/>
            <w:noWrap/>
            <w:vAlign w:val="bottom"/>
            <w:hideMark/>
          </w:tcPr>
          <w:p w14:paraId="3C182DA1"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4/15/21</w:t>
            </w:r>
          </w:p>
        </w:tc>
        <w:tc>
          <w:tcPr>
            <w:tcW w:w="1315" w:type="dxa"/>
            <w:tcBorders>
              <w:top w:val="nil"/>
              <w:left w:val="nil"/>
              <w:bottom w:val="nil"/>
              <w:right w:val="nil"/>
            </w:tcBorders>
            <w:shd w:val="clear" w:color="auto" w:fill="auto"/>
            <w:noWrap/>
            <w:vAlign w:val="bottom"/>
            <w:hideMark/>
          </w:tcPr>
          <w:p w14:paraId="069B55E1"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14,287,843</w:t>
            </w:r>
          </w:p>
        </w:tc>
        <w:tc>
          <w:tcPr>
            <w:tcW w:w="1315" w:type="dxa"/>
            <w:tcBorders>
              <w:top w:val="nil"/>
              <w:left w:val="nil"/>
              <w:bottom w:val="nil"/>
              <w:right w:val="nil"/>
            </w:tcBorders>
            <w:shd w:val="clear" w:color="auto" w:fill="auto"/>
            <w:noWrap/>
            <w:vAlign w:val="bottom"/>
            <w:hideMark/>
          </w:tcPr>
          <w:p w14:paraId="103A4AC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3,011,628</w:t>
            </w:r>
          </w:p>
        </w:tc>
        <w:tc>
          <w:tcPr>
            <w:tcW w:w="1315" w:type="dxa"/>
            <w:tcBorders>
              <w:top w:val="nil"/>
              <w:left w:val="nil"/>
              <w:bottom w:val="nil"/>
              <w:right w:val="nil"/>
            </w:tcBorders>
            <w:shd w:val="clear" w:color="auto" w:fill="auto"/>
            <w:noWrap/>
            <w:vAlign w:val="bottom"/>
            <w:hideMark/>
          </w:tcPr>
          <w:p w14:paraId="27540E1D"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2,726,322</w:t>
            </w:r>
          </w:p>
        </w:tc>
        <w:tc>
          <w:tcPr>
            <w:tcW w:w="1315" w:type="dxa"/>
            <w:tcBorders>
              <w:top w:val="nil"/>
              <w:left w:val="nil"/>
              <w:bottom w:val="nil"/>
              <w:right w:val="nil"/>
            </w:tcBorders>
            <w:shd w:val="clear" w:color="auto" w:fill="auto"/>
            <w:noWrap/>
            <w:vAlign w:val="bottom"/>
            <w:hideMark/>
          </w:tcPr>
          <w:p w14:paraId="5EAE232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1,817,227</w:t>
            </w:r>
          </w:p>
        </w:tc>
        <w:tc>
          <w:tcPr>
            <w:tcW w:w="1315" w:type="dxa"/>
            <w:tcBorders>
              <w:top w:val="nil"/>
              <w:left w:val="nil"/>
              <w:bottom w:val="nil"/>
              <w:right w:val="nil"/>
            </w:tcBorders>
            <w:shd w:val="clear" w:color="auto" w:fill="auto"/>
            <w:noWrap/>
            <w:vAlign w:val="bottom"/>
            <w:hideMark/>
          </w:tcPr>
          <w:p w14:paraId="5986BCD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109,858</w:t>
            </w:r>
          </w:p>
        </w:tc>
        <w:tc>
          <w:tcPr>
            <w:tcW w:w="1315" w:type="dxa"/>
            <w:tcBorders>
              <w:top w:val="nil"/>
              <w:left w:val="nil"/>
              <w:bottom w:val="nil"/>
              <w:right w:val="nil"/>
            </w:tcBorders>
            <w:shd w:val="clear" w:color="auto" w:fill="auto"/>
            <w:noWrap/>
            <w:vAlign w:val="bottom"/>
            <w:hideMark/>
          </w:tcPr>
          <w:p w14:paraId="2106AC97"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021D4A8C" w14:textId="77777777" w:rsidTr="00AB5B9D">
        <w:trPr>
          <w:trHeight w:val="260"/>
        </w:trPr>
        <w:tc>
          <w:tcPr>
            <w:tcW w:w="890" w:type="dxa"/>
            <w:tcBorders>
              <w:top w:val="nil"/>
              <w:left w:val="nil"/>
              <w:bottom w:val="nil"/>
              <w:right w:val="nil"/>
            </w:tcBorders>
            <w:shd w:val="clear" w:color="000000" w:fill="D9D9D9"/>
            <w:noWrap/>
            <w:vAlign w:val="bottom"/>
            <w:hideMark/>
          </w:tcPr>
          <w:p w14:paraId="6979E6AE"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4/30/21</w:t>
            </w:r>
          </w:p>
        </w:tc>
        <w:tc>
          <w:tcPr>
            <w:tcW w:w="1315" w:type="dxa"/>
            <w:tcBorders>
              <w:top w:val="nil"/>
              <w:left w:val="nil"/>
              <w:bottom w:val="nil"/>
              <w:right w:val="nil"/>
            </w:tcBorders>
            <w:shd w:val="clear" w:color="000000" w:fill="D9D9D9"/>
            <w:noWrap/>
            <w:vAlign w:val="bottom"/>
            <w:hideMark/>
          </w:tcPr>
          <w:p w14:paraId="0493916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19,156,979</w:t>
            </w:r>
          </w:p>
        </w:tc>
        <w:tc>
          <w:tcPr>
            <w:tcW w:w="1315" w:type="dxa"/>
            <w:tcBorders>
              <w:top w:val="nil"/>
              <w:left w:val="nil"/>
              <w:bottom w:val="nil"/>
              <w:right w:val="nil"/>
            </w:tcBorders>
            <w:shd w:val="clear" w:color="000000" w:fill="D9D9D9"/>
            <w:noWrap/>
            <w:vAlign w:val="bottom"/>
            <w:hideMark/>
          </w:tcPr>
          <w:p w14:paraId="2C3D0CD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7,863,339</w:t>
            </w:r>
          </w:p>
        </w:tc>
        <w:tc>
          <w:tcPr>
            <w:tcW w:w="1315" w:type="dxa"/>
            <w:tcBorders>
              <w:top w:val="nil"/>
              <w:left w:val="nil"/>
              <w:bottom w:val="nil"/>
              <w:right w:val="nil"/>
            </w:tcBorders>
            <w:shd w:val="clear" w:color="000000" w:fill="D9D9D9"/>
            <w:noWrap/>
            <w:vAlign w:val="bottom"/>
            <w:hideMark/>
          </w:tcPr>
          <w:p w14:paraId="3D230680"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7,556,965</w:t>
            </w:r>
          </w:p>
        </w:tc>
        <w:tc>
          <w:tcPr>
            <w:tcW w:w="1315" w:type="dxa"/>
            <w:tcBorders>
              <w:top w:val="nil"/>
              <w:left w:val="nil"/>
              <w:bottom w:val="nil"/>
              <w:right w:val="nil"/>
            </w:tcBorders>
            <w:shd w:val="clear" w:color="000000" w:fill="D9D9D9"/>
            <w:noWrap/>
            <w:vAlign w:val="bottom"/>
            <w:hideMark/>
          </w:tcPr>
          <w:p w14:paraId="03BD2748"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6,447,428</w:t>
            </w:r>
          </w:p>
        </w:tc>
        <w:tc>
          <w:tcPr>
            <w:tcW w:w="1315" w:type="dxa"/>
            <w:tcBorders>
              <w:top w:val="nil"/>
              <w:left w:val="nil"/>
              <w:bottom w:val="nil"/>
              <w:right w:val="nil"/>
            </w:tcBorders>
            <w:shd w:val="clear" w:color="000000" w:fill="D9D9D9"/>
            <w:noWrap/>
            <w:vAlign w:val="bottom"/>
            <w:hideMark/>
          </w:tcPr>
          <w:p w14:paraId="0A98B347"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3,178,199</w:t>
            </w:r>
          </w:p>
        </w:tc>
        <w:tc>
          <w:tcPr>
            <w:tcW w:w="1315" w:type="dxa"/>
            <w:tcBorders>
              <w:top w:val="nil"/>
              <w:left w:val="nil"/>
              <w:bottom w:val="nil"/>
              <w:right w:val="nil"/>
            </w:tcBorders>
            <w:shd w:val="clear" w:color="000000" w:fill="D9D9D9"/>
            <w:noWrap/>
            <w:vAlign w:val="bottom"/>
            <w:hideMark/>
          </w:tcPr>
          <w:p w14:paraId="1F224E2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16,171</w:t>
            </w:r>
          </w:p>
        </w:tc>
      </w:tr>
      <w:tr w:rsidR="00AB5B9D" w:rsidRPr="00AB5B9D" w14:paraId="23438DAC" w14:textId="77777777" w:rsidTr="00AB5B9D">
        <w:trPr>
          <w:trHeight w:val="280"/>
        </w:trPr>
        <w:tc>
          <w:tcPr>
            <w:tcW w:w="890" w:type="dxa"/>
            <w:tcBorders>
              <w:top w:val="nil"/>
              <w:left w:val="nil"/>
              <w:bottom w:val="double" w:sz="6" w:space="0" w:color="auto"/>
              <w:right w:val="nil"/>
            </w:tcBorders>
            <w:shd w:val="clear" w:color="auto" w:fill="auto"/>
            <w:noWrap/>
            <w:vAlign w:val="bottom"/>
            <w:hideMark/>
          </w:tcPr>
          <w:p w14:paraId="38C1938F"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5/15/21</w:t>
            </w:r>
          </w:p>
        </w:tc>
        <w:tc>
          <w:tcPr>
            <w:tcW w:w="1315" w:type="dxa"/>
            <w:tcBorders>
              <w:top w:val="nil"/>
              <w:left w:val="nil"/>
              <w:bottom w:val="double" w:sz="6" w:space="0" w:color="auto"/>
              <w:right w:val="nil"/>
            </w:tcBorders>
            <w:shd w:val="clear" w:color="auto" w:fill="auto"/>
            <w:noWrap/>
            <w:vAlign w:val="bottom"/>
            <w:hideMark/>
          </w:tcPr>
          <w:p w14:paraId="75469F5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24,683,025</w:t>
            </w:r>
          </w:p>
        </w:tc>
        <w:tc>
          <w:tcPr>
            <w:tcW w:w="1315" w:type="dxa"/>
            <w:tcBorders>
              <w:top w:val="nil"/>
              <w:left w:val="nil"/>
              <w:bottom w:val="double" w:sz="6" w:space="0" w:color="auto"/>
              <w:right w:val="nil"/>
            </w:tcBorders>
            <w:shd w:val="clear" w:color="auto" w:fill="auto"/>
            <w:noWrap/>
            <w:vAlign w:val="bottom"/>
            <w:hideMark/>
          </w:tcPr>
          <w:p w14:paraId="315C3EB3"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13,379,076</w:t>
            </w:r>
          </w:p>
        </w:tc>
        <w:tc>
          <w:tcPr>
            <w:tcW w:w="1315" w:type="dxa"/>
            <w:tcBorders>
              <w:top w:val="nil"/>
              <w:left w:val="nil"/>
              <w:bottom w:val="double" w:sz="6" w:space="0" w:color="auto"/>
              <w:right w:val="nil"/>
            </w:tcBorders>
            <w:shd w:val="clear" w:color="auto" w:fill="auto"/>
            <w:noWrap/>
            <w:vAlign w:val="bottom"/>
            <w:hideMark/>
          </w:tcPr>
          <w:p w14:paraId="3ADE2E5F"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13,060,706</w:t>
            </w:r>
          </w:p>
        </w:tc>
        <w:tc>
          <w:tcPr>
            <w:tcW w:w="1315" w:type="dxa"/>
            <w:tcBorders>
              <w:top w:val="nil"/>
              <w:left w:val="nil"/>
              <w:bottom w:val="double" w:sz="6" w:space="0" w:color="auto"/>
              <w:right w:val="nil"/>
            </w:tcBorders>
            <w:shd w:val="clear" w:color="auto" w:fill="auto"/>
            <w:noWrap/>
            <w:vAlign w:val="bottom"/>
            <w:hideMark/>
          </w:tcPr>
          <w:p w14:paraId="78A5C814"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11,810,237</w:t>
            </w:r>
          </w:p>
        </w:tc>
        <w:tc>
          <w:tcPr>
            <w:tcW w:w="1315" w:type="dxa"/>
            <w:tcBorders>
              <w:top w:val="nil"/>
              <w:left w:val="nil"/>
              <w:bottom w:val="double" w:sz="6" w:space="0" w:color="auto"/>
              <w:right w:val="nil"/>
            </w:tcBorders>
            <w:shd w:val="clear" w:color="auto" w:fill="auto"/>
            <w:noWrap/>
            <w:vAlign w:val="bottom"/>
            <w:hideMark/>
          </w:tcPr>
          <w:p w14:paraId="0AF991BE"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7,112,187</w:t>
            </w:r>
          </w:p>
        </w:tc>
        <w:tc>
          <w:tcPr>
            <w:tcW w:w="1315" w:type="dxa"/>
            <w:tcBorders>
              <w:top w:val="nil"/>
              <w:left w:val="nil"/>
              <w:bottom w:val="double" w:sz="6" w:space="0" w:color="auto"/>
              <w:right w:val="nil"/>
            </w:tcBorders>
            <w:shd w:val="clear" w:color="auto" w:fill="auto"/>
            <w:noWrap/>
            <w:vAlign w:val="bottom"/>
            <w:hideMark/>
          </w:tcPr>
          <w:p w14:paraId="2358DDD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113,538</w:t>
            </w:r>
          </w:p>
        </w:tc>
      </w:tr>
      <w:tr w:rsidR="00AB5B9D" w:rsidRPr="00AB5B9D" w14:paraId="749FA6DC" w14:textId="77777777" w:rsidTr="00AB5B9D">
        <w:trPr>
          <w:trHeight w:val="300"/>
        </w:trPr>
        <w:tc>
          <w:tcPr>
            <w:tcW w:w="8780" w:type="dxa"/>
            <w:gridSpan w:val="7"/>
            <w:tcBorders>
              <w:top w:val="nil"/>
              <w:left w:val="nil"/>
              <w:bottom w:val="single" w:sz="4" w:space="0" w:color="auto"/>
              <w:right w:val="nil"/>
            </w:tcBorders>
            <w:shd w:val="clear" w:color="auto" w:fill="auto"/>
            <w:noWrap/>
            <w:vAlign w:val="bottom"/>
            <w:hideMark/>
          </w:tcPr>
          <w:p w14:paraId="719ED008"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MAHARASHTRA LOCKDOWN SCHEDULE</w:t>
            </w:r>
          </w:p>
        </w:tc>
      </w:tr>
      <w:tr w:rsidR="00AB5B9D" w:rsidRPr="00AB5B9D" w14:paraId="61C4BCBE" w14:textId="77777777" w:rsidTr="00AB5B9D">
        <w:trPr>
          <w:trHeight w:val="260"/>
        </w:trPr>
        <w:tc>
          <w:tcPr>
            <w:tcW w:w="890" w:type="dxa"/>
            <w:tcBorders>
              <w:top w:val="nil"/>
              <w:left w:val="nil"/>
              <w:bottom w:val="nil"/>
              <w:right w:val="nil"/>
            </w:tcBorders>
            <w:shd w:val="clear" w:color="auto" w:fill="auto"/>
            <w:noWrap/>
            <w:vAlign w:val="bottom"/>
            <w:hideMark/>
          </w:tcPr>
          <w:p w14:paraId="2BD12BC0" w14:textId="77777777" w:rsidR="00AB5B9D" w:rsidRPr="00AB5B9D" w:rsidRDefault="00AB5B9D" w:rsidP="00AB5B9D">
            <w:pPr>
              <w:jc w:val="center"/>
              <w:rPr>
                <w:rFonts w:ascii="Arial" w:eastAsia="Times New Roman" w:hAnsi="Arial" w:cs="Arial"/>
                <w:color w:val="000000"/>
                <w:sz w:val="20"/>
                <w:szCs w:val="20"/>
              </w:rPr>
            </w:pPr>
          </w:p>
        </w:tc>
        <w:tc>
          <w:tcPr>
            <w:tcW w:w="1315" w:type="dxa"/>
            <w:tcBorders>
              <w:top w:val="nil"/>
              <w:left w:val="nil"/>
              <w:bottom w:val="nil"/>
              <w:right w:val="nil"/>
            </w:tcBorders>
            <w:shd w:val="clear" w:color="auto" w:fill="auto"/>
            <w:noWrap/>
            <w:vAlign w:val="bottom"/>
            <w:hideMark/>
          </w:tcPr>
          <w:p w14:paraId="128838E6" w14:textId="77777777" w:rsidR="00AB5B9D" w:rsidRPr="00AB5B9D" w:rsidRDefault="00AB5B9D" w:rsidP="00AB5B9D">
            <w:pPr>
              <w:rPr>
                <w:rFonts w:ascii="Times New Roman" w:eastAsia="Times New Roman" w:hAnsi="Times New Roman" w:cs="Times New Roman"/>
                <w:sz w:val="20"/>
                <w:szCs w:val="20"/>
              </w:rPr>
            </w:pPr>
          </w:p>
        </w:tc>
        <w:tc>
          <w:tcPr>
            <w:tcW w:w="6575" w:type="dxa"/>
            <w:gridSpan w:val="5"/>
            <w:tcBorders>
              <w:top w:val="nil"/>
              <w:left w:val="nil"/>
              <w:bottom w:val="single" w:sz="4" w:space="0" w:color="auto"/>
              <w:right w:val="nil"/>
            </w:tcBorders>
            <w:shd w:val="clear" w:color="auto" w:fill="auto"/>
            <w:noWrap/>
            <w:vAlign w:val="bottom"/>
            <w:hideMark/>
          </w:tcPr>
          <w:p w14:paraId="0EFB825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Lockdown start</w:t>
            </w:r>
          </w:p>
        </w:tc>
      </w:tr>
      <w:tr w:rsidR="00AB5B9D" w:rsidRPr="00AB5B9D" w14:paraId="32EA9966" w14:textId="77777777" w:rsidTr="00AB5B9D">
        <w:trPr>
          <w:trHeight w:val="260"/>
        </w:trPr>
        <w:tc>
          <w:tcPr>
            <w:tcW w:w="890" w:type="dxa"/>
            <w:tcBorders>
              <w:top w:val="nil"/>
              <w:left w:val="nil"/>
              <w:bottom w:val="single" w:sz="4" w:space="0" w:color="auto"/>
              <w:right w:val="nil"/>
            </w:tcBorders>
            <w:shd w:val="clear" w:color="auto" w:fill="auto"/>
            <w:noWrap/>
            <w:vAlign w:val="bottom"/>
            <w:hideMark/>
          </w:tcPr>
          <w:p w14:paraId="53899D23" w14:textId="77777777" w:rsidR="00AB5B9D" w:rsidRPr="00AB5B9D" w:rsidRDefault="00AB5B9D" w:rsidP="00AB5B9D">
            <w:pPr>
              <w:rPr>
                <w:rFonts w:ascii="Arial" w:eastAsia="Times New Roman" w:hAnsi="Arial" w:cs="Arial"/>
                <w:color w:val="000000"/>
                <w:sz w:val="20"/>
                <w:szCs w:val="20"/>
              </w:rPr>
            </w:pPr>
            <w:r w:rsidRPr="00AB5B9D">
              <w:rPr>
                <w:rFonts w:ascii="Arial" w:eastAsia="Times New Roman" w:hAnsi="Arial" w:cs="Arial"/>
                <w:color w:val="000000"/>
                <w:sz w:val="20"/>
                <w:szCs w:val="20"/>
              </w:rPr>
              <w:t>Date</w:t>
            </w:r>
          </w:p>
        </w:tc>
        <w:tc>
          <w:tcPr>
            <w:tcW w:w="1315" w:type="dxa"/>
            <w:tcBorders>
              <w:top w:val="nil"/>
              <w:left w:val="nil"/>
              <w:bottom w:val="single" w:sz="4" w:space="0" w:color="auto"/>
              <w:right w:val="nil"/>
            </w:tcBorders>
            <w:shd w:val="clear" w:color="auto" w:fill="auto"/>
            <w:noWrap/>
            <w:vAlign w:val="bottom"/>
            <w:hideMark/>
          </w:tcPr>
          <w:p w14:paraId="615E38EE"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Observed</w:t>
            </w:r>
          </w:p>
        </w:tc>
        <w:tc>
          <w:tcPr>
            <w:tcW w:w="1315" w:type="dxa"/>
            <w:tcBorders>
              <w:top w:val="nil"/>
              <w:left w:val="nil"/>
              <w:bottom w:val="single" w:sz="4" w:space="0" w:color="auto"/>
              <w:right w:val="nil"/>
            </w:tcBorders>
            <w:shd w:val="clear" w:color="auto" w:fill="auto"/>
            <w:noWrap/>
            <w:vAlign w:val="bottom"/>
            <w:hideMark/>
          </w:tcPr>
          <w:p w14:paraId="76BAEDE8"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March 1</w:t>
            </w:r>
          </w:p>
        </w:tc>
        <w:tc>
          <w:tcPr>
            <w:tcW w:w="1315" w:type="dxa"/>
            <w:tcBorders>
              <w:top w:val="nil"/>
              <w:left w:val="nil"/>
              <w:bottom w:val="single" w:sz="4" w:space="0" w:color="auto"/>
              <w:right w:val="nil"/>
            </w:tcBorders>
            <w:shd w:val="clear" w:color="auto" w:fill="auto"/>
            <w:noWrap/>
            <w:vAlign w:val="bottom"/>
            <w:hideMark/>
          </w:tcPr>
          <w:p w14:paraId="7C45C940"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March 15</w:t>
            </w:r>
          </w:p>
        </w:tc>
        <w:tc>
          <w:tcPr>
            <w:tcW w:w="1315" w:type="dxa"/>
            <w:tcBorders>
              <w:top w:val="nil"/>
              <w:left w:val="nil"/>
              <w:bottom w:val="single" w:sz="4" w:space="0" w:color="auto"/>
              <w:right w:val="nil"/>
            </w:tcBorders>
            <w:shd w:val="clear" w:color="auto" w:fill="auto"/>
            <w:noWrap/>
            <w:vAlign w:val="bottom"/>
            <w:hideMark/>
          </w:tcPr>
          <w:p w14:paraId="1C4692B7"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March 30</w:t>
            </w:r>
          </w:p>
        </w:tc>
        <w:tc>
          <w:tcPr>
            <w:tcW w:w="1315" w:type="dxa"/>
            <w:tcBorders>
              <w:top w:val="nil"/>
              <w:left w:val="nil"/>
              <w:bottom w:val="single" w:sz="4" w:space="0" w:color="auto"/>
              <w:right w:val="nil"/>
            </w:tcBorders>
            <w:shd w:val="clear" w:color="auto" w:fill="auto"/>
            <w:noWrap/>
            <w:vAlign w:val="bottom"/>
            <w:hideMark/>
          </w:tcPr>
          <w:p w14:paraId="5A7730B3"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April 15</w:t>
            </w:r>
          </w:p>
        </w:tc>
        <w:tc>
          <w:tcPr>
            <w:tcW w:w="1315" w:type="dxa"/>
            <w:tcBorders>
              <w:top w:val="nil"/>
              <w:left w:val="nil"/>
              <w:bottom w:val="single" w:sz="4" w:space="0" w:color="auto"/>
              <w:right w:val="nil"/>
            </w:tcBorders>
            <w:shd w:val="clear" w:color="auto" w:fill="auto"/>
            <w:noWrap/>
            <w:vAlign w:val="bottom"/>
            <w:hideMark/>
          </w:tcPr>
          <w:p w14:paraId="2994220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April 30</w:t>
            </w:r>
          </w:p>
        </w:tc>
      </w:tr>
      <w:tr w:rsidR="00AB5B9D" w:rsidRPr="00AB5B9D" w14:paraId="37E37427" w14:textId="77777777" w:rsidTr="00AB5B9D">
        <w:trPr>
          <w:trHeight w:val="260"/>
        </w:trPr>
        <w:tc>
          <w:tcPr>
            <w:tcW w:w="890" w:type="dxa"/>
            <w:tcBorders>
              <w:top w:val="nil"/>
              <w:left w:val="nil"/>
              <w:bottom w:val="nil"/>
              <w:right w:val="nil"/>
            </w:tcBorders>
            <w:shd w:val="clear" w:color="000000" w:fill="D9D9D9"/>
            <w:noWrap/>
            <w:vAlign w:val="bottom"/>
            <w:hideMark/>
          </w:tcPr>
          <w:p w14:paraId="6D0BA7A2"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3/1/21</w:t>
            </w:r>
          </w:p>
        </w:tc>
        <w:tc>
          <w:tcPr>
            <w:tcW w:w="1315" w:type="dxa"/>
            <w:tcBorders>
              <w:top w:val="nil"/>
              <w:left w:val="nil"/>
              <w:bottom w:val="nil"/>
              <w:right w:val="nil"/>
            </w:tcBorders>
            <w:shd w:val="clear" w:color="000000" w:fill="D9D9D9"/>
            <w:noWrap/>
            <w:vAlign w:val="bottom"/>
            <w:hideMark/>
          </w:tcPr>
          <w:p w14:paraId="732AD9ED"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11,124,248</w:t>
            </w:r>
          </w:p>
        </w:tc>
        <w:tc>
          <w:tcPr>
            <w:tcW w:w="1315" w:type="dxa"/>
            <w:tcBorders>
              <w:top w:val="nil"/>
              <w:left w:val="nil"/>
              <w:bottom w:val="nil"/>
              <w:right w:val="nil"/>
            </w:tcBorders>
            <w:shd w:val="clear" w:color="000000" w:fill="D9D9D9"/>
            <w:noWrap/>
            <w:vAlign w:val="bottom"/>
            <w:hideMark/>
          </w:tcPr>
          <w:p w14:paraId="4DF73E7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11,117,271</w:t>
            </w:r>
          </w:p>
        </w:tc>
        <w:tc>
          <w:tcPr>
            <w:tcW w:w="1315" w:type="dxa"/>
            <w:tcBorders>
              <w:top w:val="nil"/>
              <w:left w:val="nil"/>
              <w:bottom w:val="nil"/>
              <w:right w:val="nil"/>
            </w:tcBorders>
            <w:shd w:val="clear" w:color="000000" w:fill="D9D9D9"/>
            <w:noWrap/>
            <w:vAlign w:val="bottom"/>
            <w:hideMark/>
          </w:tcPr>
          <w:p w14:paraId="21249F05"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14F54E5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21CB6368"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12B153A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7A87C408" w14:textId="77777777" w:rsidTr="00AB5B9D">
        <w:trPr>
          <w:trHeight w:val="260"/>
        </w:trPr>
        <w:tc>
          <w:tcPr>
            <w:tcW w:w="890" w:type="dxa"/>
            <w:tcBorders>
              <w:top w:val="nil"/>
              <w:left w:val="nil"/>
              <w:bottom w:val="nil"/>
              <w:right w:val="nil"/>
            </w:tcBorders>
            <w:shd w:val="clear" w:color="auto" w:fill="auto"/>
            <w:noWrap/>
            <w:vAlign w:val="bottom"/>
            <w:hideMark/>
          </w:tcPr>
          <w:p w14:paraId="2BEBDC61"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3/15/21</w:t>
            </w:r>
          </w:p>
        </w:tc>
        <w:tc>
          <w:tcPr>
            <w:tcW w:w="1315" w:type="dxa"/>
            <w:tcBorders>
              <w:top w:val="nil"/>
              <w:left w:val="nil"/>
              <w:bottom w:val="nil"/>
              <w:right w:val="nil"/>
            </w:tcBorders>
            <w:shd w:val="clear" w:color="auto" w:fill="auto"/>
            <w:noWrap/>
            <w:vAlign w:val="bottom"/>
            <w:hideMark/>
          </w:tcPr>
          <w:p w14:paraId="1272316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11,409,517</w:t>
            </w:r>
          </w:p>
        </w:tc>
        <w:tc>
          <w:tcPr>
            <w:tcW w:w="1315" w:type="dxa"/>
            <w:tcBorders>
              <w:top w:val="nil"/>
              <w:left w:val="nil"/>
              <w:bottom w:val="nil"/>
              <w:right w:val="nil"/>
            </w:tcBorders>
            <w:shd w:val="clear" w:color="auto" w:fill="auto"/>
            <w:noWrap/>
            <w:vAlign w:val="bottom"/>
            <w:hideMark/>
          </w:tcPr>
          <w:p w14:paraId="41DE3727"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11,211,635</w:t>
            </w:r>
          </w:p>
        </w:tc>
        <w:tc>
          <w:tcPr>
            <w:tcW w:w="1315" w:type="dxa"/>
            <w:tcBorders>
              <w:top w:val="nil"/>
              <w:left w:val="nil"/>
              <w:bottom w:val="nil"/>
              <w:right w:val="nil"/>
            </w:tcBorders>
            <w:shd w:val="clear" w:color="auto" w:fill="auto"/>
            <w:noWrap/>
            <w:vAlign w:val="bottom"/>
            <w:hideMark/>
          </w:tcPr>
          <w:p w14:paraId="04F69AE1"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11,388,905</w:t>
            </w:r>
          </w:p>
        </w:tc>
        <w:tc>
          <w:tcPr>
            <w:tcW w:w="1315" w:type="dxa"/>
            <w:tcBorders>
              <w:top w:val="nil"/>
              <w:left w:val="nil"/>
              <w:bottom w:val="nil"/>
              <w:right w:val="nil"/>
            </w:tcBorders>
            <w:shd w:val="clear" w:color="auto" w:fill="auto"/>
            <w:noWrap/>
            <w:vAlign w:val="bottom"/>
            <w:hideMark/>
          </w:tcPr>
          <w:p w14:paraId="03A056B3"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auto" w:fill="auto"/>
            <w:noWrap/>
            <w:vAlign w:val="bottom"/>
            <w:hideMark/>
          </w:tcPr>
          <w:p w14:paraId="392AC3E8"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auto" w:fill="auto"/>
            <w:noWrap/>
            <w:vAlign w:val="bottom"/>
            <w:hideMark/>
          </w:tcPr>
          <w:p w14:paraId="38AA5B9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11B18EB3" w14:textId="77777777" w:rsidTr="00AB5B9D">
        <w:trPr>
          <w:trHeight w:val="260"/>
        </w:trPr>
        <w:tc>
          <w:tcPr>
            <w:tcW w:w="890" w:type="dxa"/>
            <w:tcBorders>
              <w:top w:val="nil"/>
              <w:left w:val="nil"/>
              <w:bottom w:val="nil"/>
              <w:right w:val="nil"/>
            </w:tcBorders>
            <w:shd w:val="clear" w:color="000000" w:fill="D9D9D9"/>
            <w:noWrap/>
            <w:vAlign w:val="bottom"/>
            <w:hideMark/>
          </w:tcPr>
          <w:p w14:paraId="4578587F"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3/30/21</w:t>
            </w:r>
          </w:p>
        </w:tc>
        <w:tc>
          <w:tcPr>
            <w:tcW w:w="1315" w:type="dxa"/>
            <w:tcBorders>
              <w:top w:val="nil"/>
              <w:left w:val="nil"/>
              <w:bottom w:val="nil"/>
              <w:right w:val="nil"/>
            </w:tcBorders>
            <w:shd w:val="clear" w:color="000000" w:fill="D9D9D9"/>
            <w:noWrap/>
            <w:vAlign w:val="bottom"/>
            <w:hideMark/>
          </w:tcPr>
          <w:p w14:paraId="34E7E810"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12,148,521</w:t>
            </w:r>
          </w:p>
        </w:tc>
        <w:tc>
          <w:tcPr>
            <w:tcW w:w="1315" w:type="dxa"/>
            <w:tcBorders>
              <w:top w:val="nil"/>
              <w:left w:val="nil"/>
              <w:bottom w:val="nil"/>
              <w:right w:val="nil"/>
            </w:tcBorders>
            <w:shd w:val="clear" w:color="000000" w:fill="D9D9D9"/>
            <w:noWrap/>
            <w:vAlign w:val="bottom"/>
            <w:hideMark/>
          </w:tcPr>
          <w:p w14:paraId="3FBE852E"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11,289,133</w:t>
            </w:r>
          </w:p>
        </w:tc>
        <w:tc>
          <w:tcPr>
            <w:tcW w:w="1315" w:type="dxa"/>
            <w:tcBorders>
              <w:top w:val="nil"/>
              <w:left w:val="nil"/>
              <w:bottom w:val="nil"/>
              <w:right w:val="nil"/>
            </w:tcBorders>
            <w:shd w:val="clear" w:color="000000" w:fill="D9D9D9"/>
            <w:noWrap/>
            <w:vAlign w:val="bottom"/>
            <w:hideMark/>
          </w:tcPr>
          <w:p w14:paraId="0B08079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11,515,587</w:t>
            </w:r>
          </w:p>
        </w:tc>
        <w:tc>
          <w:tcPr>
            <w:tcW w:w="1315" w:type="dxa"/>
            <w:tcBorders>
              <w:top w:val="nil"/>
              <w:left w:val="nil"/>
              <w:bottom w:val="nil"/>
              <w:right w:val="nil"/>
            </w:tcBorders>
            <w:shd w:val="clear" w:color="000000" w:fill="D9D9D9"/>
            <w:noWrap/>
            <w:vAlign w:val="bottom"/>
            <w:hideMark/>
          </w:tcPr>
          <w:p w14:paraId="4E18B39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12,114,535</w:t>
            </w:r>
          </w:p>
        </w:tc>
        <w:tc>
          <w:tcPr>
            <w:tcW w:w="1315" w:type="dxa"/>
            <w:tcBorders>
              <w:top w:val="nil"/>
              <w:left w:val="nil"/>
              <w:bottom w:val="nil"/>
              <w:right w:val="nil"/>
            </w:tcBorders>
            <w:shd w:val="clear" w:color="000000" w:fill="D9D9D9"/>
            <w:noWrap/>
            <w:vAlign w:val="bottom"/>
            <w:hideMark/>
          </w:tcPr>
          <w:p w14:paraId="24AF032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69197BD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679B3D74" w14:textId="77777777" w:rsidTr="00AB5B9D">
        <w:trPr>
          <w:trHeight w:val="260"/>
        </w:trPr>
        <w:tc>
          <w:tcPr>
            <w:tcW w:w="890" w:type="dxa"/>
            <w:tcBorders>
              <w:top w:val="nil"/>
              <w:left w:val="nil"/>
              <w:bottom w:val="nil"/>
              <w:right w:val="nil"/>
            </w:tcBorders>
            <w:shd w:val="clear" w:color="auto" w:fill="auto"/>
            <w:noWrap/>
            <w:vAlign w:val="bottom"/>
            <w:hideMark/>
          </w:tcPr>
          <w:p w14:paraId="63BC3275"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4/15/21</w:t>
            </w:r>
          </w:p>
        </w:tc>
        <w:tc>
          <w:tcPr>
            <w:tcW w:w="1315" w:type="dxa"/>
            <w:tcBorders>
              <w:top w:val="nil"/>
              <w:left w:val="nil"/>
              <w:bottom w:val="nil"/>
              <w:right w:val="nil"/>
            </w:tcBorders>
            <w:shd w:val="clear" w:color="auto" w:fill="auto"/>
            <w:noWrap/>
            <w:vAlign w:val="bottom"/>
            <w:hideMark/>
          </w:tcPr>
          <w:p w14:paraId="45E88CA5"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14,287,843</w:t>
            </w:r>
          </w:p>
        </w:tc>
        <w:tc>
          <w:tcPr>
            <w:tcW w:w="1315" w:type="dxa"/>
            <w:tcBorders>
              <w:top w:val="nil"/>
              <w:left w:val="nil"/>
              <w:bottom w:val="nil"/>
              <w:right w:val="nil"/>
            </w:tcBorders>
            <w:shd w:val="clear" w:color="auto" w:fill="auto"/>
            <w:noWrap/>
            <w:vAlign w:val="bottom"/>
            <w:hideMark/>
          </w:tcPr>
          <w:p w14:paraId="05685D21"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11,353,944</w:t>
            </w:r>
          </w:p>
        </w:tc>
        <w:tc>
          <w:tcPr>
            <w:tcW w:w="1315" w:type="dxa"/>
            <w:tcBorders>
              <w:top w:val="nil"/>
              <w:left w:val="nil"/>
              <w:bottom w:val="nil"/>
              <w:right w:val="nil"/>
            </w:tcBorders>
            <w:shd w:val="clear" w:color="auto" w:fill="auto"/>
            <w:noWrap/>
            <w:vAlign w:val="bottom"/>
            <w:hideMark/>
          </w:tcPr>
          <w:p w14:paraId="0FC95D8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11,620,920</w:t>
            </w:r>
          </w:p>
        </w:tc>
        <w:tc>
          <w:tcPr>
            <w:tcW w:w="1315" w:type="dxa"/>
            <w:tcBorders>
              <w:top w:val="nil"/>
              <w:left w:val="nil"/>
              <w:bottom w:val="nil"/>
              <w:right w:val="nil"/>
            </w:tcBorders>
            <w:shd w:val="clear" w:color="auto" w:fill="auto"/>
            <w:noWrap/>
            <w:vAlign w:val="bottom"/>
            <w:hideMark/>
          </w:tcPr>
          <w:p w14:paraId="3B15FA21"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12,534,258</w:t>
            </w:r>
          </w:p>
        </w:tc>
        <w:tc>
          <w:tcPr>
            <w:tcW w:w="1315" w:type="dxa"/>
            <w:tcBorders>
              <w:top w:val="nil"/>
              <w:left w:val="nil"/>
              <w:bottom w:val="nil"/>
              <w:right w:val="nil"/>
            </w:tcBorders>
            <w:shd w:val="clear" w:color="auto" w:fill="auto"/>
            <w:noWrap/>
            <w:vAlign w:val="bottom"/>
            <w:hideMark/>
          </w:tcPr>
          <w:p w14:paraId="5529A804"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14,176,643</w:t>
            </w:r>
          </w:p>
        </w:tc>
        <w:tc>
          <w:tcPr>
            <w:tcW w:w="1315" w:type="dxa"/>
            <w:tcBorders>
              <w:top w:val="nil"/>
              <w:left w:val="nil"/>
              <w:bottom w:val="nil"/>
              <w:right w:val="nil"/>
            </w:tcBorders>
            <w:shd w:val="clear" w:color="auto" w:fill="auto"/>
            <w:noWrap/>
            <w:vAlign w:val="bottom"/>
            <w:hideMark/>
          </w:tcPr>
          <w:p w14:paraId="3A1F8E1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6DF11A4E" w14:textId="77777777" w:rsidTr="00AB5B9D">
        <w:trPr>
          <w:trHeight w:val="260"/>
        </w:trPr>
        <w:tc>
          <w:tcPr>
            <w:tcW w:w="890" w:type="dxa"/>
            <w:tcBorders>
              <w:top w:val="nil"/>
              <w:left w:val="nil"/>
              <w:bottom w:val="nil"/>
              <w:right w:val="nil"/>
            </w:tcBorders>
            <w:shd w:val="clear" w:color="000000" w:fill="D9D9D9"/>
            <w:noWrap/>
            <w:vAlign w:val="bottom"/>
            <w:hideMark/>
          </w:tcPr>
          <w:p w14:paraId="49918C51"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4/30/21</w:t>
            </w:r>
          </w:p>
        </w:tc>
        <w:tc>
          <w:tcPr>
            <w:tcW w:w="1315" w:type="dxa"/>
            <w:tcBorders>
              <w:top w:val="nil"/>
              <w:left w:val="nil"/>
              <w:bottom w:val="nil"/>
              <w:right w:val="nil"/>
            </w:tcBorders>
            <w:shd w:val="clear" w:color="000000" w:fill="D9D9D9"/>
            <w:noWrap/>
            <w:vAlign w:val="bottom"/>
            <w:hideMark/>
          </w:tcPr>
          <w:p w14:paraId="6FC0DEF5"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19,156,979</w:t>
            </w:r>
          </w:p>
        </w:tc>
        <w:tc>
          <w:tcPr>
            <w:tcW w:w="1315" w:type="dxa"/>
            <w:tcBorders>
              <w:top w:val="nil"/>
              <w:left w:val="nil"/>
              <w:bottom w:val="nil"/>
              <w:right w:val="nil"/>
            </w:tcBorders>
            <w:shd w:val="clear" w:color="000000" w:fill="D9D9D9"/>
            <w:noWrap/>
            <w:vAlign w:val="bottom"/>
            <w:hideMark/>
          </w:tcPr>
          <w:p w14:paraId="55364D8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11,402,383</w:t>
            </w:r>
          </w:p>
        </w:tc>
        <w:tc>
          <w:tcPr>
            <w:tcW w:w="1315" w:type="dxa"/>
            <w:tcBorders>
              <w:top w:val="nil"/>
              <w:left w:val="nil"/>
              <w:bottom w:val="nil"/>
              <w:right w:val="nil"/>
            </w:tcBorders>
            <w:shd w:val="clear" w:color="000000" w:fill="D9D9D9"/>
            <w:noWrap/>
            <w:vAlign w:val="bottom"/>
            <w:hideMark/>
          </w:tcPr>
          <w:p w14:paraId="1F49C71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11,703,864</w:t>
            </w:r>
          </w:p>
        </w:tc>
        <w:tc>
          <w:tcPr>
            <w:tcW w:w="1315" w:type="dxa"/>
            <w:tcBorders>
              <w:top w:val="nil"/>
              <w:left w:val="nil"/>
              <w:bottom w:val="nil"/>
              <w:right w:val="nil"/>
            </w:tcBorders>
            <w:shd w:val="clear" w:color="000000" w:fill="D9D9D9"/>
            <w:noWrap/>
            <w:vAlign w:val="bottom"/>
            <w:hideMark/>
          </w:tcPr>
          <w:p w14:paraId="6C682914"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12,927,246</w:t>
            </w:r>
          </w:p>
        </w:tc>
        <w:tc>
          <w:tcPr>
            <w:tcW w:w="1315" w:type="dxa"/>
            <w:tcBorders>
              <w:top w:val="nil"/>
              <w:left w:val="nil"/>
              <w:bottom w:val="nil"/>
              <w:right w:val="nil"/>
            </w:tcBorders>
            <w:shd w:val="clear" w:color="000000" w:fill="D9D9D9"/>
            <w:noWrap/>
            <w:vAlign w:val="bottom"/>
            <w:hideMark/>
          </w:tcPr>
          <w:p w14:paraId="72FCCF0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16,302,250</w:t>
            </w:r>
          </w:p>
        </w:tc>
        <w:tc>
          <w:tcPr>
            <w:tcW w:w="1315" w:type="dxa"/>
            <w:tcBorders>
              <w:top w:val="nil"/>
              <w:left w:val="nil"/>
              <w:bottom w:val="nil"/>
              <w:right w:val="nil"/>
            </w:tcBorders>
            <w:shd w:val="clear" w:color="000000" w:fill="D9D9D9"/>
            <w:noWrap/>
            <w:vAlign w:val="bottom"/>
            <w:hideMark/>
          </w:tcPr>
          <w:p w14:paraId="679F8653"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19,140,699</w:t>
            </w:r>
          </w:p>
        </w:tc>
      </w:tr>
      <w:tr w:rsidR="00AB5B9D" w:rsidRPr="00AB5B9D" w14:paraId="78CA61F1" w14:textId="77777777" w:rsidTr="00AB5B9D">
        <w:trPr>
          <w:trHeight w:val="260"/>
        </w:trPr>
        <w:tc>
          <w:tcPr>
            <w:tcW w:w="890" w:type="dxa"/>
            <w:tcBorders>
              <w:top w:val="nil"/>
              <w:left w:val="nil"/>
              <w:bottom w:val="nil"/>
              <w:right w:val="nil"/>
            </w:tcBorders>
            <w:shd w:val="clear" w:color="auto" w:fill="auto"/>
            <w:noWrap/>
            <w:vAlign w:val="bottom"/>
            <w:hideMark/>
          </w:tcPr>
          <w:p w14:paraId="558B21B7"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5/15/21</w:t>
            </w:r>
          </w:p>
        </w:tc>
        <w:tc>
          <w:tcPr>
            <w:tcW w:w="1315" w:type="dxa"/>
            <w:tcBorders>
              <w:top w:val="nil"/>
              <w:left w:val="nil"/>
              <w:bottom w:val="nil"/>
              <w:right w:val="nil"/>
            </w:tcBorders>
            <w:shd w:val="clear" w:color="auto" w:fill="auto"/>
            <w:noWrap/>
            <w:vAlign w:val="bottom"/>
            <w:hideMark/>
          </w:tcPr>
          <w:p w14:paraId="55993B3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24,683,025</w:t>
            </w:r>
          </w:p>
        </w:tc>
        <w:tc>
          <w:tcPr>
            <w:tcW w:w="1315" w:type="dxa"/>
            <w:tcBorders>
              <w:top w:val="nil"/>
              <w:left w:val="nil"/>
              <w:bottom w:val="nil"/>
              <w:right w:val="nil"/>
            </w:tcBorders>
            <w:shd w:val="clear" w:color="auto" w:fill="auto"/>
            <w:noWrap/>
            <w:vAlign w:val="bottom"/>
            <w:hideMark/>
          </w:tcPr>
          <w:p w14:paraId="7282006D"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11,441,407</w:t>
            </w:r>
          </w:p>
        </w:tc>
        <w:tc>
          <w:tcPr>
            <w:tcW w:w="1315" w:type="dxa"/>
            <w:tcBorders>
              <w:top w:val="nil"/>
              <w:left w:val="nil"/>
              <w:bottom w:val="nil"/>
              <w:right w:val="nil"/>
            </w:tcBorders>
            <w:shd w:val="clear" w:color="auto" w:fill="auto"/>
            <w:noWrap/>
            <w:vAlign w:val="bottom"/>
            <w:hideMark/>
          </w:tcPr>
          <w:p w14:paraId="0057461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11,776,206</w:t>
            </w:r>
          </w:p>
        </w:tc>
        <w:tc>
          <w:tcPr>
            <w:tcW w:w="1315" w:type="dxa"/>
            <w:tcBorders>
              <w:top w:val="nil"/>
              <w:left w:val="nil"/>
              <w:bottom w:val="nil"/>
              <w:right w:val="nil"/>
            </w:tcBorders>
            <w:shd w:val="clear" w:color="auto" w:fill="auto"/>
            <w:noWrap/>
            <w:vAlign w:val="bottom"/>
            <w:hideMark/>
          </w:tcPr>
          <w:p w14:paraId="2F27C661"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13,311,531</w:t>
            </w:r>
          </w:p>
        </w:tc>
        <w:tc>
          <w:tcPr>
            <w:tcW w:w="1315" w:type="dxa"/>
            <w:tcBorders>
              <w:top w:val="nil"/>
              <w:left w:val="nil"/>
              <w:bottom w:val="nil"/>
              <w:right w:val="nil"/>
            </w:tcBorders>
            <w:shd w:val="clear" w:color="auto" w:fill="auto"/>
            <w:noWrap/>
            <w:vAlign w:val="bottom"/>
            <w:hideMark/>
          </w:tcPr>
          <w:p w14:paraId="23F246A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19,050,961</w:t>
            </w:r>
          </w:p>
        </w:tc>
        <w:tc>
          <w:tcPr>
            <w:tcW w:w="1315" w:type="dxa"/>
            <w:tcBorders>
              <w:top w:val="nil"/>
              <w:left w:val="nil"/>
              <w:bottom w:val="nil"/>
              <w:right w:val="nil"/>
            </w:tcBorders>
            <w:shd w:val="clear" w:color="auto" w:fill="auto"/>
            <w:noWrap/>
            <w:vAlign w:val="bottom"/>
            <w:hideMark/>
          </w:tcPr>
          <w:p w14:paraId="208DBE4D"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25,633,642</w:t>
            </w:r>
          </w:p>
        </w:tc>
      </w:tr>
      <w:tr w:rsidR="00AB5B9D" w:rsidRPr="00AB5B9D" w14:paraId="067575A9" w14:textId="77777777" w:rsidTr="00AB5B9D">
        <w:trPr>
          <w:trHeight w:val="260"/>
        </w:trPr>
        <w:tc>
          <w:tcPr>
            <w:tcW w:w="890" w:type="dxa"/>
            <w:tcBorders>
              <w:top w:val="nil"/>
              <w:left w:val="nil"/>
              <w:bottom w:val="nil"/>
              <w:right w:val="nil"/>
            </w:tcBorders>
            <w:shd w:val="clear" w:color="auto" w:fill="auto"/>
            <w:noWrap/>
            <w:vAlign w:val="bottom"/>
            <w:hideMark/>
          </w:tcPr>
          <w:p w14:paraId="071C4FD1" w14:textId="77777777" w:rsidR="00AB5B9D" w:rsidRPr="00AB5B9D" w:rsidRDefault="00AB5B9D" w:rsidP="00AB5B9D">
            <w:pPr>
              <w:jc w:val="center"/>
              <w:rPr>
                <w:rFonts w:ascii="Arial" w:eastAsia="Times New Roman" w:hAnsi="Arial" w:cs="Arial"/>
                <w:color w:val="000000"/>
                <w:sz w:val="20"/>
                <w:szCs w:val="20"/>
              </w:rPr>
            </w:pPr>
          </w:p>
        </w:tc>
        <w:tc>
          <w:tcPr>
            <w:tcW w:w="1315" w:type="dxa"/>
            <w:tcBorders>
              <w:top w:val="nil"/>
              <w:left w:val="nil"/>
              <w:bottom w:val="nil"/>
              <w:right w:val="nil"/>
            </w:tcBorders>
            <w:shd w:val="clear" w:color="auto" w:fill="auto"/>
            <w:noWrap/>
            <w:vAlign w:val="bottom"/>
            <w:hideMark/>
          </w:tcPr>
          <w:p w14:paraId="642EC2BD" w14:textId="77777777" w:rsidR="00AB5B9D" w:rsidRPr="00AB5B9D" w:rsidRDefault="00AB5B9D" w:rsidP="00AB5B9D">
            <w:pPr>
              <w:rPr>
                <w:rFonts w:ascii="Times New Roman" w:eastAsia="Times New Roman" w:hAnsi="Times New Roman" w:cs="Times New Roman"/>
                <w:sz w:val="20"/>
                <w:szCs w:val="20"/>
              </w:rPr>
            </w:pPr>
          </w:p>
        </w:tc>
        <w:tc>
          <w:tcPr>
            <w:tcW w:w="6575" w:type="dxa"/>
            <w:gridSpan w:val="5"/>
            <w:tcBorders>
              <w:top w:val="nil"/>
              <w:left w:val="nil"/>
              <w:bottom w:val="single" w:sz="4" w:space="0" w:color="auto"/>
              <w:right w:val="nil"/>
            </w:tcBorders>
            <w:shd w:val="clear" w:color="auto" w:fill="auto"/>
            <w:noWrap/>
            <w:vAlign w:val="bottom"/>
            <w:hideMark/>
          </w:tcPr>
          <w:p w14:paraId="70F1C73D"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Cases averted</w:t>
            </w:r>
          </w:p>
        </w:tc>
      </w:tr>
      <w:tr w:rsidR="00AB5B9D" w:rsidRPr="00AB5B9D" w14:paraId="57BC59DA" w14:textId="77777777" w:rsidTr="00AB5B9D">
        <w:trPr>
          <w:trHeight w:val="260"/>
        </w:trPr>
        <w:tc>
          <w:tcPr>
            <w:tcW w:w="890" w:type="dxa"/>
            <w:tcBorders>
              <w:top w:val="nil"/>
              <w:left w:val="nil"/>
              <w:bottom w:val="nil"/>
              <w:right w:val="nil"/>
            </w:tcBorders>
            <w:shd w:val="clear" w:color="000000" w:fill="D9D9D9"/>
            <w:noWrap/>
            <w:vAlign w:val="bottom"/>
            <w:hideMark/>
          </w:tcPr>
          <w:p w14:paraId="632F89AB"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3/1/21</w:t>
            </w:r>
          </w:p>
        </w:tc>
        <w:tc>
          <w:tcPr>
            <w:tcW w:w="1315" w:type="dxa"/>
            <w:tcBorders>
              <w:top w:val="nil"/>
              <w:left w:val="nil"/>
              <w:bottom w:val="nil"/>
              <w:right w:val="nil"/>
            </w:tcBorders>
            <w:shd w:val="clear" w:color="000000" w:fill="D9D9D9"/>
            <w:noWrap/>
            <w:vAlign w:val="bottom"/>
            <w:hideMark/>
          </w:tcPr>
          <w:p w14:paraId="31C14495"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11,124,248</w:t>
            </w:r>
          </w:p>
        </w:tc>
        <w:tc>
          <w:tcPr>
            <w:tcW w:w="1315" w:type="dxa"/>
            <w:tcBorders>
              <w:top w:val="nil"/>
              <w:left w:val="nil"/>
              <w:bottom w:val="nil"/>
              <w:right w:val="nil"/>
            </w:tcBorders>
            <w:shd w:val="clear" w:color="000000" w:fill="D9D9D9"/>
            <w:noWrap/>
            <w:vAlign w:val="bottom"/>
            <w:hideMark/>
          </w:tcPr>
          <w:p w14:paraId="5E70CB57"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6,977</w:t>
            </w:r>
          </w:p>
        </w:tc>
        <w:tc>
          <w:tcPr>
            <w:tcW w:w="1315" w:type="dxa"/>
            <w:tcBorders>
              <w:top w:val="nil"/>
              <w:left w:val="nil"/>
              <w:bottom w:val="nil"/>
              <w:right w:val="nil"/>
            </w:tcBorders>
            <w:shd w:val="clear" w:color="000000" w:fill="D9D9D9"/>
            <w:noWrap/>
            <w:vAlign w:val="bottom"/>
            <w:hideMark/>
          </w:tcPr>
          <w:p w14:paraId="28359FD3"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2C41259D"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5A4CC835"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4EA980B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5328B607" w14:textId="77777777" w:rsidTr="00AB5B9D">
        <w:trPr>
          <w:trHeight w:val="260"/>
        </w:trPr>
        <w:tc>
          <w:tcPr>
            <w:tcW w:w="890" w:type="dxa"/>
            <w:tcBorders>
              <w:top w:val="nil"/>
              <w:left w:val="nil"/>
              <w:bottom w:val="nil"/>
              <w:right w:val="nil"/>
            </w:tcBorders>
            <w:shd w:val="clear" w:color="auto" w:fill="auto"/>
            <w:noWrap/>
            <w:vAlign w:val="bottom"/>
            <w:hideMark/>
          </w:tcPr>
          <w:p w14:paraId="6FCFEAD1"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3/15/21</w:t>
            </w:r>
          </w:p>
        </w:tc>
        <w:tc>
          <w:tcPr>
            <w:tcW w:w="1315" w:type="dxa"/>
            <w:tcBorders>
              <w:top w:val="nil"/>
              <w:left w:val="nil"/>
              <w:bottom w:val="nil"/>
              <w:right w:val="nil"/>
            </w:tcBorders>
            <w:shd w:val="clear" w:color="auto" w:fill="auto"/>
            <w:noWrap/>
            <w:vAlign w:val="bottom"/>
            <w:hideMark/>
          </w:tcPr>
          <w:p w14:paraId="16703FF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11,409,517</w:t>
            </w:r>
          </w:p>
        </w:tc>
        <w:tc>
          <w:tcPr>
            <w:tcW w:w="1315" w:type="dxa"/>
            <w:tcBorders>
              <w:top w:val="nil"/>
              <w:left w:val="nil"/>
              <w:bottom w:val="nil"/>
              <w:right w:val="nil"/>
            </w:tcBorders>
            <w:shd w:val="clear" w:color="auto" w:fill="auto"/>
            <w:noWrap/>
            <w:vAlign w:val="bottom"/>
            <w:hideMark/>
          </w:tcPr>
          <w:p w14:paraId="6B530A9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197,882</w:t>
            </w:r>
          </w:p>
        </w:tc>
        <w:tc>
          <w:tcPr>
            <w:tcW w:w="1315" w:type="dxa"/>
            <w:tcBorders>
              <w:top w:val="nil"/>
              <w:left w:val="nil"/>
              <w:bottom w:val="nil"/>
              <w:right w:val="nil"/>
            </w:tcBorders>
            <w:shd w:val="clear" w:color="auto" w:fill="auto"/>
            <w:noWrap/>
            <w:vAlign w:val="bottom"/>
            <w:hideMark/>
          </w:tcPr>
          <w:p w14:paraId="6BCA72EF"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20,612</w:t>
            </w:r>
          </w:p>
        </w:tc>
        <w:tc>
          <w:tcPr>
            <w:tcW w:w="1315" w:type="dxa"/>
            <w:tcBorders>
              <w:top w:val="nil"/>
              <w:left w:val="nil"/>
              <w:bottom w:val="nil"/>
              <w:right w:val="nil"/>
            </w:tcBorders>
            <w:shd w:val="clear" w:color="auto" w:fill="auto"/>
            <w:noWrap/>
            <w:vAlign w:val="bottom"/>
            <w:hideMark/>
          </w:tcPr>
          <w:p w14:paraId="50A835A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auto" w:fill="auto"/>
            <w:noWrap/>
            <w:vAlign w:val="bottom"/>
            <w:hideMark/>
          </w:tcPr>
          <w:p w14:paraId="601E569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auto" w:fill="auto"/>
            <w:noWrap/>
            <w:vAlign w:val="bottom"/>
            <w:hideMark/>
          </w:tcPr>
          <w:p w14:paraId="06ED281E"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7E3CEA86" w14:textId="77777777" w:rsidTr="00AB5B9D">
        <w:trPr>
          <w:trHeight w:val="260"/>
        </w:trPr>
        <w:tc>
          <w:tcPr>
            <w:tcW w:w="890" w:type="dxa"/>
            <w:tcBorders>
              <w:top w:val="nil"/>
              <w:left w:val="nil"/>
              <w:bottom w:val="nil"/>
              <w:right w:val="nil"/>
            </w:tcBorders>
            <w:shd w:val="clear" w:color="000000" w:fill="D9D9D9"/>
            <w:noWrap/>
            <w:vAlign w:val="bottom"/>
            <w:hideMark/>
          </w:tcPr>
          <w:p w14:paraId="5BDC0E0C"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3/30/21</w:t>
            </w:r>
          </w:p>
        </w:tc>
        <w:tc>
          <w:tcPr>
            <w:tcW w:w="1315" w:type="dxa"/>
            <w:tcBorders>
              <w:top w:val="nil"/>
              <w:left w:val="nil"/>
              <w:bottom w:val="nil"/>
              <w:right w:val="nil"/>
            </w:tcBorders>
            <w:shd w:val="clear" w:color="000000" w:fill="D9D9D9"/>
            <w:noWrap/>
            <w:vAlign w:val="bottom"/>
            <w:hideMark/>
          </w:tcPr>
          <w:p w14:paraId="2413C498"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12,148,521</w:t>
            </w:r>
          </w:p>
        </w:tc>
        <w:tc>
          <w:tcPr>
            <w:tcW w:w="1315" w:type="dxa"/>
            <w:tcBorders>
              <w:top w:val="nil"/>
              <w:left w:val="nil"/>
              <w:bottom w:val="nil"/>
              <w:right w:val="nil"/>
            </w:tcBorders>
            <w:shd w:val="clear" w:color="000000" w:fill="D9D9D9"/>
            <w:noWrap/>
            <w:vAlign w:val="bottom"/>
            <w:hideMark/>
          </w:tcPr>
          <w:p w14:paraId="2569B3B7"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859,388</w:t>
            </w:r>
          </w:p>
        </w:tc>
        <w:tc>
          <w:tcPr>
            <w:tcW w:w="1315" w:type="dxa"/>
            <w:tcBorders>
              <w:top w:val="nil"/>
              <w:left w:val="nil"/>
              <w:bottom w:val="nil"/>
              <w:right w:val="nil"/>
            </w:tcBorders>
            <w:shd w:val="clear" w:color="000000" w:fill="D9D9D9"/>
            <w:noWrap/>
            <w:vAlign w:val="bottom"/>
            <w:hideMark/>
          </w:tcPr>
          <w:p w14:paraId="63204BA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632,934</w:t>
            </w:r>
          </w:p>
        </w:tc>
        <w:tc>
          <w:tcPr>
            <w:tcW w:w="1315" w:type="dxa"/>
            <w:tcBorders>
              <w:top w:val="nil"/>
              <w:left w:val="nil"/>
              <w:bottom w:val="nil"/>
              <w:right w:val="nil"/>
            </w:tcBorders>
            <w:shd w:val="clear" w:color="000000" w:fill="D9D9D9"/>
            <w:noWrap/>
            <w:vAlign w:val="bottom"/>
            <w:hideMark/>
          </w:tcPr>
          <w:p w14:paraId="6903D74E"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33,986</w:t>
            </w:r>
          </w:p>
        </w:tc>
        <w:tc>
          <w:tcPr>
            <w:tcW w:w="1315" w:type="dxa"/>
            <w:tcBorders>
              <w:top w:val="nil"/>
              <w:left w:val="nil"/>
              <w:bottom w:val="nil"/>
              <w:right w:val="nil"/>
            </w:tcBorders>
            <w:shd w:val="clear" w:color="000000" w:fill="D9D9D9"/>
            <w:noWrap/>
            <w:vAlign w:val="bottom"/>
            <w:hideMark/>
          </w:tcPr>
          <w:p w14:paraId="5367B2A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c>
          <w:tcPr>
            <w:tcW w:w="1315" w:type="dxa"/>
            <w:tcBorders>
              <w:top w:val="nil"/>
              <w:left w:val="nil"/>
              <w:bottom w:val="nil"/>
              <w:right w:val="nil"/>
            </w:tcBorders>
            <w:shd w:val="clear" w:color="000000" w:fill="D9D9D9"/>
            <w:noWrap/>
            <w:vAlign w:val="bottom"/>
            <w:hideMark/>
          </w:tcPr>
          <w:p w14:paraId="4C3DE9BE"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6293E3AF" w14:textId="77777777" w:rsidTr="00AB5B9D">
        <w:trPr>
          <w:trHeight w:val="260"/>
        </w:trPr>
        <w:tc>
          <w:tcPr>
            <w:tcW w:w="890" w:type="dxa"/>
            <w:tcBorders>
              <w:top w:val="nil"/>
              <w:left w:val="nil"/>
              <w:bottom w:val="nil"/>
              <w:right w:val="nil"/>
            </w:tcBorders>
            <w:shd w:val="clear" w:color="auto" w:fill="auto"/>
            <w:noWrap/>
            <w:vAlign w:val="bottom"/>
            <w:hideMark/>
          </w:tcPr>
          <w:p w14:paraId="01FE01FB"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4/15/21</w:t>
            </w:r>
          </w:p>
        </w:tc>
        <w:tc>
          <w:tcPr>
            <w:tcW w:w="1315" w:type="dxa"/>
            <w:tcBorders>
              <w:top w:val="nil"/>
              <w:left w:val="nil"/>
              <w:bottom w:val="nil"/>
              <w:right w:val="nil"/>
            </w:tcBorders>
            <w:shd w:val="clear" w:color="auto" w:fill="auto"/>
            <w:noWrap/>
            <w:vAlign w:val="bottom"/>
            <w:hideMark/>
          </w:tcPr>
          <w:p w14:paraId="089EB1D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14,287,843</w:t>
            </w:r>
          </w:p>
        </w:tc>
        <w:tc>
          <w:tcPr>
            <w:tcW w:w="1315" w:type="dxa"/>
            <w:tcBorders>
              <w:top w:val="nil"/>
              <w:left w:val="nil"/>
              <w:bottom w:val="nil"/>
              <w:right w:val="nil"/>
            </w:tcBorders>
            <w:shd w:val="clear" w:color="auto" w:fill="auto"/>
            <w:noWrap/>
            <w:vAlign w:val="bottom"/>
            <w:hideMark/>
          </w:tcPr>
          <w:p w14:paraId="4B19F6D3"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2,933,899</w:t>
            </w:r>
          </w:p>
        </w:tc>
        <w:tc>
          <w:tcPr>
            <w:tcW w:w="1315" w:type="dxa"/>
            <w:tcBorders>
              <w:top w:val="nil"/>
              <w:left w:val="nil"/>
              <w:bottom w:val="nil"/>
              <w:right w:val="nil"/>
            </w:tcBorders>
            <w:shd w:val="clear" w:color="auto" w:fill="auto"/>
            <w:noWrap/>
            <w:vAlign w:val="bottom"/>
            <w:hideMark/>
          </w:tcPr>
          <w:p w14:paraId="3E1EEC70"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2,666,923</w:t>
            </w:r>
          </w:p>
        </w:tc>
        <w:tc>
          <w:tcPr>
            <w:tcW w:w="1315" w:type="dxa"/>
            <w:tcBorders>
              <w:top w:val="nil"/>
              <w:left w:val="nil"/>
              <w:bottom w:val="nil"/>
              <w:right w:val="nil"/>
            </w:tcBorders>
            <w:shd w:val="clear" w:color="auto" w:fill="auto"/>
            <w:noWrap/>
            <w:vAlign w:val="bottom"/>
            <w:hideMark/>
          </w:tcPr>
          <w:p w14:paraId="43614F8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1,753,585</w:t>
            </w:r>
          </w:p>
        </w:tc>
        <w:tc>
          <w:tcPr>
            <w:tcW w:w="1315" w:type="dxa"/>
            <w:tcBorders>
              <w:top w:val="nil"/>
              <w:left w:val="nil"/>
              <w:bottom w:val="nil"/>
              <w:right w:val="nil"/>
            </w:tcBorders>
            <w:shd w:val="clear" w:color="auto" w:fill="auto"/>
            <w:noWrap/>
            <w:vAlign w:val="bottom"/>
            <w:hideMark/>
          </w:tcPr>
          <w:p w14:paraId="07354C95"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111,200</w:t>
            </w:r>
          </w:p>
        </w:tc>
        <w:tc>
          <w:tcPr>
            <w:tcW w:w="1315" w:type="dxa"/>
            <w:tcBorders>
              <w:top w:val="nil"/>
              <w:left w:val="nil"/>
              <w:bottom w:val="nil"/>
              <w:right w:val="nil"/>
            </w:tcBorders>
            <w:shd w:val="clear" w:color="auto" w:fill="auto"/>
            <w:noWrap/>
            <w:vAlign w:val="bottom"/>
            <w:hideMark/>
          </w:tcPr>
          <w:p w14:paraId="22C7B5BD"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w:t>
            </w:r>
          </w:p>
        </w:tc>
      </w:tr>
      <w:tr w:rsidR="00AB5B9D" w:rsidRPr="00AB5B9D" w14:paraId="576D8A68" w14:textId="77777777" w:rsidTr="00AB5B9D">
        <w:trPr>
          <w:trHeight w:val="260"/>
        </w:trPr>
        <w:tc>
          <w:tcPr>
            <w:tcW w:w="890" w:type="dxa"/>
            <w:tcBorders>
              <w:top w:val="nil"/>
              <w:left w:val="nil"/>
              <w:bottom w:val="nil"/>
              <w:right w:val="nil"/>
            </w:tcBorders>
            <w:shd w:val="clear" w:color="000000" w:fill="D9D9D9"/>
            <w:noWrap/>
            <w:vAlign w:val="bottom"/>
            <w:hideMark/>
          </w:tcPr>
          <w:p w14:paraId="5E928A1D"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4/30/21</w:t>
            </w:r>
          </w:p>
        </w:tc>
        <w:tc>
          <w:tcPr>
            <w:tcW w:w="1315" w:type="dxa"/>
            <w:tcBorders>
              <w:top w:val="nil"/>
              <w:left w:val="nil"/>
              <w:bottom w:val="nil"/>
              <w:right w:val="nil"/>
            </w:tcBorders>
            <w:shd w:val="clear" w:color="000000" w:fill="D9D9D9"/>
            <w:noWrap/>
            <w:vAlign w:val="bottom"/>
            <w:hideMark/>
          </w:tcPr>
          <w:p w14:paraId="36C956B3"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19,156,979</w:t>
            </w:r>
          </w:p>
        </w:tc>
        <w:tc>
          <w:tcPr>
            <w:tcW w:w="1315" w:type="dxa"/>
            <w:tcBorders>
              <w:top w:val="nil"/>
              <w:left w:val="nil"/>
              <w:bottom w:val="nil"/>
              <w:right w:val="nil"/>
            </w:tcBorders>
            <w:shd w:val="clear" w:color="000000" w:fill="D9D9D9"/>
            <w:noWrap/>
            <w:vAlign w:val="bottom"/>
            <w:hideMark/>
          </w:tcPr>
          <w:p w14:paraId="650FD48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7,754,596</w:t>
            </w:r>
          </w:p>
        </w:tc>
        <w:tc>
          <w:tcPr>
            <w:tcW w:w="1315" w:type="dxa"/>
            <w:tcBorders>
              <w:top w:val="nil"/>
              <w:left w:val="nil"/>
              <w:bottom w:val="nil"/>
              <w:right w:val="nil"/>
            </w:tcBorders>
            <w:shd w:val="clear" w:color="000000" w:fill="D9D9D9"/>
            <w:noWrap/>
            <w:vAlign w:val="bottom"/>
            <w:hideMark/>
          </w:tcPr>
          <w:p w14:paraId="2B597EDC"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7,453,115</w:t>
            </w:r>
          </w:p>
        </w:tc>
        <w:tc>
          <w:tcPr>
            <w:tcW w:w="1315" w:type="dxa"/>
            <w:tcBorders>
              <w:top w:val="nil"/>
              <w:left w:val="nil"/>
              <w:bottom w:val="nil"/>
              <w:right w:val="nil"/>
            </w:tcBorders>
            <w:shd w:val="clear" w:color="000000" w:fill="D9D9D9"/>
            <w:noWrap/>
            <w:vAlign w:val="bottom"/>
            <w:hideMark/>
          </w:tcPr>
          <w:p w14:paraId="236497C3"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6,229,733</w:t>
            </w:r>
          </w:p>
        </w:tc>
        <w:tc>
          <w:tcPr>
            <w:tcW w:w="1315" w:type="dxa"/>
            <w:tcBorders>
              <w:top w:val="nil"/>
              <w:left w:val="nil"/>
              <w:bottom w:val="nil"/>
              <w:right w:val="nil"/>
            </w:tcBorders>
            <w:shd w:val="clear" w:color="000000" w:fill="D9D9D9"/>
            <w:noWrap/>
            <w:vAlign w:val="bottom"/>
            <w:hideMark/>
          </w:tcPr>
          <w:p w14:paraId="651EE582"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2,854,729</w:t>
            </w:r>
          </w:p>
        </w:tc>
        <w:tc>
          <w:tcPr>
            <w:tcW w:w="1315" w:type="dxa"/>
            <w:tcBorders>
              <w:top w:val="nil"/>
              <w:left w:val="nil"/>
              <w:bottom w:val="nil"/>
              <w:right w:val="nil"/>
            </w:tcBorders>
            <w:shd w:val="clear" w:color="000000" w:fill="D9D9D9"/>
            <w:noWrap/>
            <w:vAlign w:val="bottom"/>
            <w:hideMark/>
          </w:tcPr>
          <w:p w14:paraId="6D57ABFA"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16,280</w:t>
            </w:r>
          </w:p>
        </w:tc>
      </w:tr>
      <w:tr w:rsidR="00AB5B9D" w:rsidRPr="00AB5B9D" w14:paraId="0267CB5B" w14:textId="77777777" w:rsidTr="00AB5B9D">
        <w:trPr>
          <w:trHeight w:val="280"/>
        </w:trPr>
        <w:tc>
          <w:tcPr>
            <w:tcW w:w="890" w:type="dxa"/>
            <w:tcBorders>
              <w:top w:val="nil"/>
              <w:left w:val="nil"/>
              <w:bottom w:val="double" w:sz="6" w:space="0" w:color="auto"/>
              <w:right w:val="nil"/>
            </w:tcBorders>
            <w:shd w:val="clear" w:color="auto" w:fill="auto"/>
            <w:noWrap/>
            <w:vAlign w:val="bottom"/>
            <w:hideMark/>
          </w:tcPr>
          <w:p w14:paraId="2063A9E6" w14:textId="77777777" w:rsidR="00AB5B9D" w:rsidRPr="00AB5B9D" w:rsidRDefault="00AB5B9D" w:rsidP="00AB5B9D">
            <w:pPr>
              <w:jc w:val="right"/>
              <w:rPr>
                <w:rFonts w:ascii="Arial" w:eastAsia="Times New Roman" w:hAnsi="Arial" w:cs="Arial"/>
                <w:color w:val="000000"/>
                <w:sz w:val="20"/>
                <w:szCs w:val="20"/>
              </w:rPr>
            </w:pPr>
            <w:r w:rsidRPr="00AB5B9D">
              <w:rPr>
                <w:rFonts w:ascii="Arial" w:eastAsia="Times New Roman" w:hAnsi="Arial" w:cs="Arial"/>
                <w:color w:val="000000"/>
                <w:sz w:val="20"/>
                <w:szCs w:val="20"/>
              </w:rPr>
              <w:t>5/15/21</w:t>
            </w:r>
          </w:p>
        </w:tc>
        <w:tc>
          <w:tcPr>
            <w:tcW w:w="1315" w:type="dxa"/>
            <w:tcBorders>
              <w:top w:val="nil"/>
              <w:left w:val="nil"/>
              <w:bottom w:val="double" w:sz="6" w:space="0" w:color="auto"/>
              <w:right w:val="nil"/>
            </w:tcBorders>
            <w:shd w:val="clear" w:color="auto" w:fill="auto"/>
            <w:noWrap/>
            <w:vAlign w:val="bottom"/>
            <w:hideMark/>
          </w:tcPr>
          <w:p w14:paraId="2A79A889"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24,683,025</w:t>
            </w:r>
          </w:p>
        </w:tc>
        <w:tc>
          <w:tcPr>
            <w:tcW w:w="1315" w:type="dxa"/>
            <w:tcBorders>
              <w:top w:val="nil"/>
              <w:left w:val="nil"/>
              <w:bottom w:val="double" w:sz="6" w:space="0" w:color="auto"/>
              <w:right w:val="nil"/>
            </w:tcBorders>
            <w:shd w:val="clear" w:color="auto" w:fill="auto"/>
            <w:noWrap/>
            <w:vAlign w:val="bottom"/>
            <w:hideMark/>
          </w:tcPr>
          <w:p w14:paraId="18434A4B"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13,241,618</w:t>
            </w:r>
          </w:p>
        </w:tc>
        <w:tc>
          <w:tcPr>
            <w:tcW w:w="1315" w:type="dxa"/>
            <w:tcBorders>
              <w:top w:val="nil"/>
              <w:left w:val="nil"/>
              <w:bottom w:val="double" w:sz="6" w:space="0" w:color="auto"/>
              <w:right w:val="nil"/>
            </w:tcBorders>
            <w:shd w:val="clear" w:color="auto" w:fill="auto"/>
            <w:noWrap/>
            <w:vAlign w:val="bottom"/>
            <w:hideMark/>
          </w:tcPr>
          <w:p w14:paraId="6885CD66"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12,906,819</w:t>
            </w:r>
          </w:p>
        </w:tc>
        <w:tc>
          <w:tcPr>
            <w:tcW w:w="1315" w:type="dxa"/>
            <w:tcBorders>
              <w:top w:val="nil"/>
              <w:left w:val="nil"/>
              <w:bottom w:val="double" w:sz="6" w:space="0" w:color="auto"/>
              <w:right w:val="nil"/>
            </w:tcBorders>
            <w:shd w:val="clear" w:color="auto" w:fill="auto"/>
            <w:noWrap/>
            <w:vAlign w:val="bottom"/>
            <w:hideMark/>
          </w:tcPr>
          <w:p w14:paraId="7025BE0F"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11,371,494</w:t>
            </w:r>
          </w:p>
        </w:tc>
        <w:tc>
          <w:tcPr>
            <w:tcW w:w="1315" w:type="dxa"/>
            <w:tcBorders>
              <w:top w:val="nil"/>
              <w:left w:val="nil"/>
              <w:bottom w:val="double" w:sz="6" w:space="0" w:color="auto"/>
              <w:right w:val="nil"/>
            </w:tcBorders>
            <w:shd w:val="clear" w:color="auto" w:fill="auto"/>
            <w:noWrap/>
            <w:vAlign w:val="bottom"/>
            <w:hideMark/>
          </w:tcPr>
          <w:p w14:paraId="72F936E3"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5,632,064</w:t>
            </w:r>
          </w:p>
        </w:tc>
        <w:tc>
          <w:tcPr>
            <w:tcW w:w="1315" w:type="dxa"/>
            <w:tcBorders>
              <w:top w:val="nil"/>
              <w:left w:val="nil"/>
              <w:bottom w:val="double" w:sz="6" w:space="0" w:color="auto"/>
              <w:right w:val="nil"/>
            </w:tcBorders>
            <w:shd w:val="clear" w:color="auto" w:fill="auto"/>
            <w:noWrap/>
            <w:vAlign w:val="bottom"/>
            <w:hideMark/>
          </w:tcPr>
          <w:p w14:paraId="5DBBA2F7" w14:textId="77777777" w:rsidR="00AB5B9D" w:rsidRPr="00AB5B9D" w:rsidRDefault="00AB5B9D" w:rsidP="00AB5B9D">
            <w:pPr>
              <w:jc w:val="center"/>
              <w:rPr>
                <w:rFonts w:ascii="Arial" w:eastAsia="Times New Roman" w:hAnsi="Arial" w:cs="Arial"/>
                <w:color w:val="000000"/>
                <w:sz w:val="20"/>
                <w:szCs w:val="20"/>
              </w:rPr>
            </w:pPr>
            <w:r w:rsidRPr="00AB5B9D">
              <w:rPr>
                <w:rFonts w:ascii="Arial" w:eastAsia="Times New Roman" w:hAnsi="Arial" w:cs="Arial"/>
                <w:color w:val="000000"/>
                <w:sz w:val="20"/>
                <w:szCs w:val="20"/>
              </w:rPr>
              <w:t>-950,617</w:t>
            </w:r>
          </w:p>
        </w:tc>
      </w:tr>
    </w:tbl>
    <w:p w14:paraId="5BFAC1D9" w14:textId="77777777" w:rsidR="00AB5B9D" w:rsidRDefault="00AB5B9D" w:rsidP="007D547D">
      <w:pPr>
        <w:jc w:val="both"/>
      </w:pPr>
    </w:p>
    <w:p w14:paraId="6CF24A04" w14:textId="77777777" w:rsidR="005245E4" w:rsidRDefault="005245E4">
      <w:r>
        <w:br w:type="page"/>
      </w:r>
    </w:p>
    <w:tbl>
      <w:tblPr>
        <w:tblW w:w="8760" w:type="dxa"/>
        <w:tblLook w:val="04A0" w:firstRow="1" w:lastRow="0" w:firstColumn="1" w:lastColumn="0" w:noHBand="0" w:noVBand="1"/>
      </w:tblPr>
      <w:tblGrid>
        <w:gridCol w:w="1096"/>
        <w:gridCol w:w="1409"/>
        <w:gridCol w:w="1181"/>
        <w:gridCol w:w="1356"/>
        <w:gridCol w:w="1356"/>
        <w:gridCol w:w="1181"/>
        <w:gridCol w:w="1181"/>
      </w:tblGrid>
      <w:tr w:rsidR="005245E4" w:rsidRPr="005245E4" w14:paraId="4D31C65B" w14:textId="77777777" w:rsidTr="005245E4">
        <w:trPr>
          <w:trHeight w:val="280"/>
        </w:trPr>
        <w:tc>
          <w:tcPr>
            <w:tcW w:w="8760" w:type="dxa"/>
            <w:gridSpan w:val="7"/>
            <w:tcBorders>
              <w:top w:val="nil"/>
              <w:left w:val="nil"/>
              <w:bottom w:val="single" w:sz="4" w:space="0" w:color="auto"/>
              <w:right w:val="nil"/>
            </w:tcBorders>
            <w:shd w:val="clear" w:color="auto" w:fill="auto"/>
            <w:noWrap/>
            <w:vAlign w:val="bottom"/>
            <w:hideMark/>
          </w:tcPr>
          <w:p w14:paraId="37D04D49" w14:textId="77777777" w:rsidR="005245E4" w:rsidRPr="005245E4" w:rsidRDefault="005245E4" w:rsidP="005245E4">
            <w:pPr>
              <w:rPr>
                <w:rFonts w:ascii="Arial" w:eastAsia="Times New Roman" w:hAnsi="Arial" w:cs="Arial"/>
                <w:b/>
                <w:bCs/>
                <w:color w:val="000000"/>
                <w:sz w:val="20"/>
                <w:szCs w:val="20"/>
              </w:rPr>
            </w:pPr>
            <w:r w:rsidRPr="005245E4">
              <w:rPr>
                <w:rFonts w:ascii="Arial" w:eastAsia="Times New Roman" w:hAnsi="Arial" w:cs="Arial"/>
                <w:b/>
                <w:bCs/>
                <w:color w:val="000000"/>
                <w:sz w:val="20"/>
                <w:szCs w:val="20"/>
              </w:rPr>
              <w:lastRenderedPageBreak/>
              <w:t>Table 2</w:t>
            </w:r>
            <w:r w:rsidRPr="005245E4">
              <w:rPr>
                <w:rFonts w:ascii="Arial" w:eastAsia="Times New Roman" w:hAnsi="Arial" w:cs="Arial"/>
                <w:color w:val="000000"/>
                <w:sz w:val="20"/>
                <w:szCs w:val="20"/>
              </w:rPr>
              <w:t>. Predicted total deaths counts and cases averted different lockdown interventions</w:t>
            </w:r>
          </w:p>
        </w:tc>
      </w:tr>
      <w:tr w:rsidR="005245E4" w:rsidRPr="005245E4" w14:paraId="77C667BB" w14:textId="77777777" w:rsidTr="005245E4">
        <w:trPr>
          <w:trHeight w:val="260"/>
        </w:trPr>
        <w:tc>
          <w:tcPr>
            <w:tcW w:w="8760" w:type="dxa"/>
            <w:gridSpan w:val="7"/>
            <w:tcBorders>
              <w:top w:val="single" w:sz="4" w:space="0" w:color="auto"/>
              <w:left w:val="nil"/>
              <w:bottom w:val="single" w:sz="4" w:space="0" w:color="auto"/>
              <w:right w:val="nil"/>
            </w:tcBorders>
            <w:shd w:val="clear" w:color="auto" w:fill="auto"/>
            <w:noWrap/>
            <w:vAlign w:val="bottom"/>
            <w:hideMark/>
          </w:tcPr>
          <w:p w14:paraId="09936CED"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INDIA LOCKDOWN AND CFR SCHEDULE</w:t>
            </w:r>
          </w:p>
        </w:tc>
      </w:tr>
      <w:tr w:rsidR="005245E4" w:rsidRPr="005245E4" w14:paraId="2E73E28F" w14:textId="77777777" w:rsidTr="005245E4">
        <w:trPr>
          <w:trHeight w:val="260"/>
        </w:trPr>
        <w:tc>
          <w:tcPr>
            <w:tcW w:w="1096" w:type="dxa"/>
            <w:tcBorders>
              <w:top w:val="nil"/>
              <w:left w:val="nil"/>
              <w:bottom w:val="nil"/>
              <w:right w:val="nil"/>
            </w:tcBorders>
            <w:shd w:val="clear" w:color="auto" w:fill="auto"/>
            <w:noWrap/>
            <w:vAlign w:val="bottom"/>
            <w:hideMark/>
          </w:tcPr>
          <w:p w14:paraId="11867483" w14:textId="77777777" w:rsidR="005245E4" w:rsidRPr="005245E4" w:rsidRDefault="005245E4" w:rsidP="005245E4">
            <w:pPr>
              <w:jc w:val="center"/>
              <w:rPr>
                <w:rFonts w:ascii="Arial" w:eastAsia="Times New Roman" w:hAnsi="Arial" w:cs="Arial"/>
                <w:color w:val="000000"/>
                <w:sz w:val="20"/>
                <w:szCs w:val="20"/>
              </w:rPr>
            </w:pPr>
          </w:p>
        </w:tc>
        <w:tc>
          <w:tcPr>
            <w:tcW w:w="1409" w:type="dxa"/>
            <w:tcBorders>
              <w:top w:val="nil"/>
              <w:left w:val="nil"/>
              <w:bottom w:val="nil"/>
              <w:right w:val="nil"/>
            </w:tcBorders>
            <w:shd w:val="clear" w:color="auto" w:fill="auto"/>
            <w:noWrap/>
            <w:vAlign w:val="bottom"/>
            <w:hideMark/>
          </w:tcPr>
          <w:p w14:paraId="6E307791" w14:textId="77777777" w:rsidR="005245E4" w:rsidRPr="005245E4" w:rsidRDefault="005245E4" w:rsidP="005245E4">
            <w:pPr>
              <w:rPr>
                <w:rFonts w:ascii="Times New Roman" w:eastAsia="Times New Roman" w:hAnsi="Times New Roman" w:cs="Times New Roman"/>
                <w:sz w:val="20"/>
                <w:szCs w:val="20"/>
              </w:rPr>
            </w:pPr>
          </w:p>
        </w:tc>
        <w:tc>
          <w:tcPr>
            <w:tcW w:w="6255" w:type="dxa"/>
            <w:gridSpan w:val="5"/>
            <w:tcBorders>
              <w:top w:val="nil"/>
              <w:left w:val="nil"/>
              <w:bottom w:val="single" w:sz="4" w:space="0" w:color="auto"/>
              <w:right w:val="nil"/>
            </w:tcBorders>
            <w:shd w:val="clear" w:color="auto" w:fill="auto"/>
            <w:noWrap/>
            <w:vAlign w:val="bottom"/>
            <w:hideMark/>
          </w:tcPr>
          <w:p w14:paraId="5467D56F"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Lockdown start</w:t>
            </w:r>
          </w:p>
        </w:tc>
      </w:tr>
      <w:tr w:rsidR="005245E4" w:rsidRPr="005245E4" w14:paraId="3E8B3D7C" w14:textId="77777777" w:rsidTr="005245E4">
        <w:trPr>
          <w:trHeight w:val="260"/>
        </w:trPr>
        <w:tc>
          <w:tcPr>
            <w:tcW w:w="1096" w:type="dxa"/>
            <w:tcBorders>
              <w:top w:val="nil"/>
              <w:left w:val="nil"/>
              <w:bottom w:val="single" w:sz="4" w:space="0" w:color="auto"/>
              <w:right w:val="nil"/>
            </w:tcBorders>
            <w:shd w:val="clear" w:color="auto" w:fill="auto"/>
            <w:noWrap/>
            <w:vAlign w:val="bottom"/>
            <w:hideMark/>
          </w:tcPr>
          <w:p w14:paraId="2EC75C9F" w14:textId="77777777" w:rsidR="005245E4" w:rsidRPr="005245E4" w:rsidRDefault="005245E4" w:rsidP="005245E4">
            <w:pPr>
              <w:rPr>
                <w:rFonts w:ascii="Arial" w:eastAsia="Times New Roman" w:hAnsi="Arial" w:cs="Arial"/>
                <w:color w:val="000000"/>
                <w:sz w:val="20"/>
                <w:szCs w:val="20"/>
              </w:rPr>
            </w:pPr>
            <w:r w:rsidRPr="005245E4">
              <w:rPr>
                <w:rFonts w:ascii="Arial" w:eastAsia="Times New Roman" w:hAnsi="Arial" w:cs="Arial"/>
                <w:color w:val="000000"/>
                <w:sz w:val="20"/>
                <w:szCs w:val="20"/>
              </w:rPr>
              <w:t>Date</w:t>
            </w:r>
          </w:p>
        </w:tc>
        <w:tc>
          <w:tcPr>
            <w:tcW w:w="1409" w:type="dxa"/>
            <w:tcBorders>
              <w:top w:val="nil"/>
              <w:left w:val="nil"/>
              <w:bottom w:val="single" w:sz="4" w:space="0" w:color="auto"/>
              <w:right w:val="nil"/>
            </w:tcBorders>
            <w:shd w:val="clear" w:color="auto" w:fill="auto"/>
            <w:noWrap/>
            <w:vAlign w:val="bottom"/>
            <w:hideMark/>
          </w:tcPr>
          <w:p w14:paraId="3138FCFB"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Observed</w:t>
            </w:r>
          </w:p>
        </w:tc>
        <w:tc>
          <w:tcPr>
            <w:tcW w:w="1181" w:type="dxa"/>
            <w:tcBorders>
              <w:top w:val="nil"/>
              <w:left w:val="nil"/>
              <w:bottom w:val="single" w:sz="4" w:space="0" w:color="auto"/>
              <w:right w:val="nil"/>
            </w:tcBorders>
            <w:shd w:val="clear" w:color="auto" w:fill="auto"/>
            <w:noWrap/>
            <w:vAlign w:val="bottom"/>
            <w:hideMark/>
          </w:tcPr>
          <w:p w14:paraId="724DEC0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March 1</w:t>
            </w:r>
          </w:p>
        </w:tc>
        <w:tc>
          <w:tcPr>
            <w:tcW w:w="1356" w:type="dxa"/>
            <w:tcBorders>
              <w:top w:val="nil"/>
              <w:left w:val="nil"/>
              <w:bottom w:val="single" w:sz="4" w:space="0" w:color="auto"/>
              <w:right w:val="nil"/>
            </w:tcBorders>
            <w:shd w:val="clear" w:color="auto" w:fill="auto"/>
            <w:noWrap/>
            <w:vAlign w:val="bottom"/>
            <w:hideMark/>
          </w:tcPr>
          <w:p w14:paraId="3264568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March 15</w:t>
            </w:r>
          </w:p>
        </w:tc>
        <w:tc>
          <w:tcPr>
            <w:tcW w:w="1356" w:type="dxa"/>
            <w:tcBorders>
              <w:top w:val="nil"/>
              <w:left w:val="nil"/>
              <w:bottom w:val="single" w:sz="4" w:space="0" w:color="auto"/>
              <w:right w:val="nil"/>
            </w:tcBorders>
            <w:shd w:val="clear" w:color="auto" w:fill="auto"/>
            <w:noWrap/>
            <w:vAlign w:val="bottom"/>
            <w:hideMark/>
          </w:tcPr>
          <w:p w14:paraId="4E595E3A"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March 30</w:t>
            </w:r>
          </w:p>
        </w:tc>
        <w:tc>
          <w:tcPr>
            <w:tcW w:w="1181" w:type="dxa"/>
            <w:tcBorders>
              <w:top w:val="nil"/>
              <w:left w:val="nil"/>
              <w:bottom w:val="single" w:sz="4" w:space="0" w:color="auto"/>
              <w:right w:val="nil"/>
            </w:tcBorders>
            <w:shd w:val="clear" w:color="auto" w:fill="auto"/>
            <w:noWrap/>
            <w:vAlign w:val="bottom"/>
            <w:hideMark/>
          </w:tcPr>
          <w:p w14:paraId="5580AC56"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April 15</w:t>
            </w:r>
          </w:p>
        </w:tc>
        <w:tc>
          <w:tcPr>
            <w:tcW w:w="1181" w:type="dxa"/>
            <w:tcBorders>
              <w:top w:val="nil"/>
              <w:left w:val="nil"/>
              <w:bottom w:val="single" w:sz="4" w:space="0" w:color="auto"/>
              <w:right w:val="nil"/>
            </w:tcBorders>
            <w:shd w:val="clear" w:color="auto" w:fill="auto"/>
            <w:noWrap/>
            <w:vAlign w:val="bottom"/>
            <w:hideMark/>
          </w:tcPr>
          <w:p w14:paraId="4460543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April 30</w:t>
            </w:r>
          </w:p>
        </w:tc>
      </w:tr>
      <w:tr w:rsidR="005245E4" w:rsidRPr="005245E4" w14:paraId="694155D7" w14:textId="77777777" w:rsidTr="005245E4">
        <w:trPr>
          <w:trHeight w:val="260"/>
        </w:trPr>
        <w:tc>
          <w:tcPr>
            <w:tcW w:w="1096" w:type="dxa"/>
            <w:tcBorders>
              <w:top w:val="nil"/>
              <w:left w:val="nil"/>
              <w:bottom w:val="nil"/>
              <w:right w:val="nil"/>
            </w:tcBorders>
            <w:shd w:val="clear" w:color="000000" w:fill="D9D9D9"/>
            <w:noWrap/>
            <w:vAlign w:val="bottom"/>
            <w:hideMark/>
          </w:tcPr>
          <w:p w14:paraId="7EC29BC7"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3/1/21</w:t>
            </w:r>
          </w:p>
        </w:tc>
        <w:tc>
          <w:tcPr>
            <w:tcW w:w="1409" w:type="dxa"/>
            <w:tcBorders>
              <w:top w:val="nil"/>
              <w:left w:val="nil"/>
              <w:bottom w:val="nil"/>
              <w:right w:val="nil"/>
            </w:tcBorders>
            <w:shd w:val="clear" w:color="000000" w:fill="D9D9D9"/>
            <w:noWrap/>
            <w:vAlign w:val="bottom"/>
            <w:hideMark/>
          </w:tcPr>
          <w:p w14:paraId="0ADF2A6A"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156,695</w:t>
            </w:r>
          </w:p>
        </w:tc>
        <w:tc>
          <w:tcPr>
            <w:tcW w:w="1181" w:type="dxa"/>
            <w:tcBorders>
              <w:top w:val="nil"/>
              <w:left w:val="nil"/>
              <w:bottom w:val="nil"/>
              <w:right w:val="nil"/>
            </w:tcBorders>
            <w:shd w:val="clear" w:color="000000" w:fill="D9D9D9"/>
            <w:noWrap/>
            <w:vAlign w:val="bottom"/>
            <w:hideMark/>
          </w:tcPr>
          <w:p w14:paraId="2E6AE792"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156,695</w:t>
            </w:r>
          </w:p>
        </w:tc>
        <w:tc>
          <w:tcPr>
            <w:tcW w:w="1356" w:type="dxa"/>
            <w:tcBorders>
              <w:top w:val="nil"/>
              <w:left w:val="nil"/>
              <w:bottom w:val="nil"/>
              <w:right w:val="nil"/>
            </w:tcBorders>
            <w:shd w:val="clear" w:color="000000" w:fill="D9D9D9"/>
            <w:noWrap/>
            <w:vAlign w:val="bottom"/>
            <w:hideMark/>
          </w:tcPr>
          <w:p w14:paraId="5642955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356" w:type="dxa"/>
            <w:tcBorders>
              <w:top w:val="nil"/>
              <w:left w:val="nil"/>
              <w:bottom w:val="nil"/>
              <w:right w:val="nil"/>
            </w:tcBorders>
            <w:shd w:val="clear" w:color="000000" w:fill="D9D9D9"/>
            <w:noWrap/>
            <w:vAlign w:val="bottom"/>
            <w:hideMark/>
          </w:tcPr>
          <w:p w14:paraId="536736F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000000" w:fill="D9D9D9"/>
            <w:noWrap/>
            <w:vAlign w:val="bottom"/>
            <w:hideMark/>
          </w:tcPr>
          <w:p w14:paraId="39B57DB3"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000000" w:fill="D9D9D9"/>
            <w:noWrap/>
            <w:vAlign w:val="bottom"/>
            <w:hideMark/>
          </w:tcPr>
          <w:p w14:paraId="02A40430"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42C67B7F" w14:textId="77777777" w:rsidTr="005245E4">
        <w:trPr>
          <w:trHeight w:val="260"/>
        </w:trPr>
        <w:tc>
          <w:tcPr>
            <w:tcW w:w="1096" w:type="dxa"/>
            <w:tcBorders>
              <w:top w:val="nil"/>
              <w:left w:val="nil"/>
              <w:bottom w:val="nil"/>
              <w:right w:val="nil"/>
            </w:tcBorders>
            <w:shd w:val="clear" w:color="auto" w:fill="auto"/>
            <w:noWrap/>
            <w:vAlign w:val="bottom"/>
            <w:hideMark/>
          </w:tcPr>
          <w:p w14:paraId="0A86FFFD"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3/15/21</w:t>
            </w:r>
          </w:p>
        </w:tc>
        <w:tc>
          <w:tcPr>
            <w:tcW w:w="1409" w:type="dxa"/>
            <w:tcBorders>
              <w:top w:val="nil"/>
              <w:left w:val="nil"/>
              <w:bottom w:val="nil"/>
              <w:right w:val="nil"/>
            </w:tcBorders>
            <w:shd w:val="clear" w:color="auto" w:fill="auto"/>
            <w:noWrap/>
            <w:vAlign w:val="bottom"/>
            <w:hideMark/>
          </w:tcPr>
          <w:p w14:paraId="7817401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158,301</w:t>
            </w:r>
          </w:p>
        </w:tc>
        <w:tc>
          <w:tcPr>
            <w:tcW w:w="1181" w:type="dxa"/>
            <w:tcBorders>
              <w:top w:val="nil"/>
              <w:left w:val="nil"/>
              <w:bottom w:val="nil"/>
              <w:right w:val="nil"/>
            </w:tcBorders>
            <w:shd w:val="clear" w:color="auto" w:fill="auto"/>
            <w:noWrap/>
            <w:vAlign w:val="bottom"/>
            <w:hideMark/>
          </w:tcPr>
          <w:p w14:paraId="2F026828"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157,187</w:t>
            </w:r>
          </w:p>
        </w:tc>
        <w:tc>
          <w:tcPr>
            <w:tcW w:w="1356" w:type="dxa"/>
            <w:tcBorders>
              <w:top w:val="nil"/>
              <w:left w:val="nil"/>
              <w:bottom w:val="nil"/>
              <w:right w:val="nil"/>
            </w:tcBorders>
            <w:shd w:val="clear" w:color="auto" w:fill="auto"/>
            <w:noWrap/>
            <w:vAlign w:val="bottom"/>
            <w:hideMark/>
          </w:tcPr>
          <w:p w14:paraId="0A628A32"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158,301</w:t>
            </w:r>
          </w:p>
        </w:tc>
        <w:tc>
          <w:tcPr>
            <w:tcW w:w="1356" w:type="dxa"/>
            <w:tcBorders>
              <w:top w:val="nil"/>
              <w:left w:val="nil"/>
              <w:bottom w:val="nil"/>
              <w:right w:val="nil"/>
            </w:tcBorders>
            <w:shd w:val="clear" w:color="auto" w:fill="auto"/>
            <w:noWrap/>
            <w:vAlign w:val="bottom"/>
            <w:hideMark/>
          </w:tcPr>
          <w:p w14:paraId="015C5478"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auto" w:fill="auto"/>
            <w:noWrap/>
            <w:vAlign w:val="bottom"/>
            <w:hideMark/>
          </w:tcPr>
          <w:p w14:paraId="4E212AD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auto" w:fill="auto"/>
            <w:noWrap/>
            <w:vAlign w:val="bottom"/>
            <w:hideMark/>
          </w:tcPr>
          <w:p w14:paraId="6974D970"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5A8422DA" w14:textId="77777777" w:rsidTr="005245E4">
        <w:trPr>
          <w:trHeight w:val="260"/>
        </w:trPr>
        <w:tc>
          <w:tcPr>
            <w:tcW w:w="1096" w:type="dxa"/>
            <w:tcBorders>
              <w:top w:val="nil"/>
              <w:left w:val="nil"/>
              <w:bottom w:val="nil"/>
              <w:right w:val="nil"/>
            </w:tcBorders>
            <w:shd w:val="clear" w:color="000000" w:fill="D9D9D9"/>
            <w:noWrap/>
            <w:vAlign w:val="bottom"/>
            <w:hideMark/>
          </w:tcPr>
          <w:p w14:paraId="537CA0DC"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3/30/21</w:t>
            </w:r>
          </w:p>
        </w:tc>
        <w:tc>
          <w:tcPr>
            <w:tcW w:w="1409" w:type="dxa"/>
            <w:tcBorders>
              <w:top w:val="nil"/>
              <w:left w:val="nil"/>
              <w:bottom w:val="nil"/>
              <w:right w:val="nil"/>
            </w:tcBorders>
            <w:shd w:val="clear" w:color="000000" w:fill="D9D9D9"/>
            <w:noWrap/>
            <w:vAlign w:val="bottom"/>
            <w:hideMark/>
          </w:tcPr>
          <w:p w14:paraId="6F33FD13"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161,911</w:t>
            </w:r>
          </w:p>
        </w:tc>
        <w:tc>
          <w:tcPr>
            <w:tcW w:w="1181" w:type="dxa"/>
            <w:tcBorders>
              <w:top w:val="nil"/>
              <w:left w:val="nil"/>
              <w:bottom w:val="nil"/>
              <w:right w:val="nil"/>
            </w:tcBorders>
            <w:shd w:val="clear" w:color="000000" w:fill="D9D9D9"/>
            <w:noWrap/>
            <w:vAlign w:val="bottom"/>
            <w:hideMark/>
          </w:tcPr>
          <w:p w14:paraId="3880A3FC"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157,439</w:t>
            </w:r>
          </w:p>
        </w:tc>
        <w:tc>
          <w:tcPr>
            <w:tcW w:w="1356" w:type="dxa"/>
            <w:tcBorders>
              <w:top w:val="nil"/>
              <w:left w:val="nil"/>
              <w:bottom w:val="nil"/>
              <w:right w:val="nil"/>
            </w:tcBorders>
            <w:shd w:val="clear" w:color="000000" w:fill="D9D9D9"/>
            <w:noWrap/>
            <w:vAlign w:val="bottom"/>
            <w:hideMark/>
          </w:tcPr>
          <w:p w14:paraId="3A1FCB8C"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158,833</w:t>
            </w:r>
          </w:p>
        </w:tc>
        <w:tc>
          <w:tcPr>
            <w:tcW w:w="1356" w:type="dxa"/>
            <w:tcBorders>
              <w:top w:val="nil"/>
              <w:left w:val="nil"/>
              <w:bottom w:val="nil"/>
              <w:right w:val="nil"/>
            </w:tcBorders>
            <w:shd w:val="clear" w:color="000000" w:fill="D9D9D9"/>
            <w:noWrap/>
            <w:vAlign w:val="bottom"/>
            <w:hideMark/>
          </w:tcPr>
          <w:p w14:paraId="70D07AE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161,911</w:t>
            </w:r>
          </w:p>
        </w:tc>
        <w:tc>
          <w:tcPr>
            <w:tcW w:w="1181" w:type="dxa"/>
            <w:tcBorders>
              <w:top w:val="nil"/>
              <w:left w:val="nil"/>
              <w:bottom w:val="nil"/>
              <w:right w:val="nil"/>
            </w:tcBorders>
            <w:shd w:val="clear" w:color="000000" w:fill="D9D9D9"/>
            <w:noWrap/>
            <w:vAlign w:val="bottom"/>
            <w:hideMark/>
          </w:tcPr>
          <w:p w14:paraId="09079682"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000000" w:fill="D9D9D9"/>
            <w:noWrap/>
            <w:vAlign w:val="bottom"/>
            <w:hideMark/>
          </w:tcPr>
          <w:p w14:paraId="0325C1B0"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60A75731" w14:textId="77777777" w:rsidTr="005245E4">
        <w:trPr>
          <w:trHeight w:val="260"/>
        </w:trPr>
        <w:tc>
          <w:tcPr>
            <w:tcW w:w="1096" w:type="dxa"/>
            <w:tcBorders>
              <w:top w:val="nil"/>
              <w:left w:val="nil"/>
              <w:bottom w:val="nil"/>
              <w:right w:val="nil"/>
            </w:tcBorders>
            <w:shd w:val="clear" w:color="auto" w:fill="auto"/>
            <w:noWrap/>
            <w:vAlign w:val="bottom"/>
            <w:hideMark/>
          </w:tcPr>
          <w:p w14:paraId="1A39DB98"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4/15/21</w:t>
            </w:r>
          </w:p>
        </w:tc>
        <w:tc>
          <w:tcPr>
            <w:tcW w:w="1409" w:type="dxa"/>
            <w:tcBorders>
              <w:top w:val="nil"/>
              <w:left w:val="nil"/>
              <w:bottom w:val="nil"/>
              <w:right w:val="nil"/>
            </w:tcBorders>
            <w:shd w:val="clear" w:color="auto" w:fill="auto"/>
            <w:noWrap/>
            <w:vAlign w:val="bottom"/>
            <w:hideMark/>
          </w:tcPr>
          <w:p w14:paraId="38AA0AE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173,746</w:t>
            </w:r>
          </w:p>
        </w:tc>
        <w:tc>
          <w:tcPr>
            <w:tcW w:w="1181" w:type="dxa"/>
            <w:tcBorders>
              <w:top w:val="nil"/>
              <w:left w:val="nil"/>
              <w:bottom w:val="nil"/>
              <w:right w:val="nil"/>
            </w:tcBorders>
            <w:shd w:val="clear" w:color="auto" w:fill="auto"/>
            <w:noWrap/>
            <w:vAlign w:val="bottom"/>
            <w:hideMark/>
          </w:tcPr>
          <w:p w14:paraId="6E70C14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157,605</w:t>
            </w:r>
          </w:p>
        </w:tc>
        <w:tc>
          <w:tcPr>
            <w:tcW w:w="1356" w:type="dxa"/>
            <w:tcBorders>
              <w:top w:val="nil"/>
              <w:left w:val="nil"/>
              <w:bottom w:val="nil"/>
              <w:right w:val="nil"/>
            </w:tcBorders>
            <w:shd w:val="clear" w:color="auto" w:fill="auto"/>
            <w:noWrap/>
            <w:vAlign w:val="bottom"/>
            <w:hideMark/>
          </w:tcPr>
          <w:p w14:paraId="76B331E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159,206</w:t>
            </w:r>
          </w:p>
        </w:tc>
        <w:tc>
          <w:tcPr>
            <w:tcW w:w="1356" w:type="dxa"/>
            <w:tcBorders>
              <w:top w:val="nil"/>
              <w:left w:val="nil"/>
              <w:bottom w:val="nil"/>
              <w:right w:val="nil"/>
            </w:tcBorders>
            <w:shd w:val="clear" w:color="auto" w:fill="auto"/>
            <w:noWrap/>
            <w:vAlign w:val="bottom"/>
            <w:hideMark/>
          </w:tcPr>
          <w:p w14:paraId="538D7F6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163,917</w:t>
            </w:r>
          </w:p>
        </w:tc>
        <w:tc>
          <w:tcPr>
            <w:tcW w:w="1181" w:type="dxa"/>
            <w:tcBorders>
              <w:top w:val="nil"/>
              <w:left w:val="nil"/>
              <w:bottom w:val="nil"/>
              <w:right w:val="nil"/>
            </w:tcBorders>
            <w:shd w:val="clear" w:color="auto" w:fill="auto"/>
            <w:noWrap/>
            <w:vAlign w:val="bottom"/>
            <w:hideMark/>
          </w:tcPr>
          <w:p w14:paraId="765D2CDD"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173,746</w:t>
            </w:r>
          </w:p>
        </w:tc>
        <w:tc>
          <w:tcPr>
            <w:tcW w:w="1181" w:type="dxa"/>
            <w:tcBorders>
              <w:top w:val="nil"/>
              <w:left w:val="nil"/>
              <w:bottom w:val="nil"/>
              <w:right w:val="nil"/>
            </w:tcBorders>
            <w:shd w:val="clear" w:color="auto" w:fill="auto"/>
            <w:noWrap/>
            <w:vAlign w:val="bottom"/>
            <w:hideMark/>
          </w:tcPr>
          <w:p w14:paraId="6F8F1F0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4B46E1A2" w14:textId="77777777" w:rsidTr="005245E4">
        <w:trPr>
          <w:trHeight w:val="260"/>
        </w:trPr>
        <w:tc>
          <w:tcPr>
            <w:tcW w:w="1096" w:type="dxa"/>
            <w:tcBorders>
              <w:top w:val="nil"/>
              <w:left w:val="nil"/>
              <w:bottom w:val="nil"/>
              <w:right w:val="nil"/>
            </w:tcBorders>
            <w:shd w:val="clear" w:color="000000" w:fill="D9D9D9"/>
            <w:noWrap/>
            <w:vAlign w:val="bottom"/>
            <w:hideMark/>
          </w:tcPr>
          <w:p w14:paraId="0EC8DD6D"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4/30/21</w:t>
            </w:r>
          </w:p>
        </w:tc>
        <w:tc>
          <w:tcPr>
            <w:tcW w:w="1409" w:type="dxa"/>
            <w:tcBorders>
              <w:top w:val="nil"/>
              <w:left w:val="nil"/>
              <w:bottom w:val="nil"/>
              <w:right w:val="nil"/>
            </w:tcBorders>
            <w:shd w:val="clear" w:color="000000" w:fill="D9D9D9"/>
            <w:noWrap/>
            <w:vAlign w:val="bottom"/>
            <w:hideMark/>
          </w:tcPr>
          <w:p w14:paraId="4AE36448"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211,248</w:t>
            </w:r>
          </w:p>
        </w:tc>
        <w:tc>
          <w:tcPr>
            <w:tcW w:w="1181" w:type="dxa"/>
            <w:tcBorders>
              <w:top w:val="nil"/>
              <w:left w:val="nil"/>
              <w:bottom w:val="nil"/>
              <w:right w:val="nil"/>
            </w:tcBorders>
            <w:shd w:val="clear" w:color="000000" w:fill="D9D9D9"/>
            <w:noWrap/>
            <w:vAlign w:val="bottom"/>
            <w:hideMark/>
          </w:tcPr>
          <w:p w14:paraId="108AF52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157,700</w:t>
            </w:r>
          </w:p>
        </w:tc>
        <w:tc>
          <w:tcPr>
            <w:tcW w:w="1356" w:type="dxa"/>
            <w:tcBorders>
              <w:top w:val="nil"/>
              <w:left w:val="nil"/>
              <w:bottom w:val="nil"/>
              <w:right w:val="nil"/>
            </w:tcBorders>
            <w:shd w:val="clear" w:color="000000" w:fill="D9D9D9"/>
            <w:noWrap/>
            <w:vAlign w:val="bottom"/>
            <w:hideMark/>
          </w:tcPr>
          <w:p w14:paraId="3DEB8839"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159,464</w:t>
            </w:r>
          </w:p>
        </w:tc>
        <w:tc>
          <w:tcPr>
            <w:tcW w:w="1356" w:type="dxa"/>
            <w:tcBorders>
              <w:top w:val="nil"/>
              <w:left w:val="nil"/>
              <w:bottom w:val="nil"/>
              <w:right w:val="nil"/>
            </w:tcBorders>
            <w:shd w:val="clear" w:color="000000" w:fill="D9D9D9"/>
            <w:noWrap/>
            <w:vAlign w:val="bottom"/>
            <w:hideMark/>
          </w:tcPr>
          <w:p w14:paraId="0FD5CF3F"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165,526</w:t>
            </w:r>
          </w:p>
        </w:tc>
        <w:tc>
          <w:tcPr>
            <w:tcW w:w="1181" w:type="dxa"/>
            <w:tcBorders>
              <w:top w:val="nil"/>
              <w:left w:val="nil"/>
              <w:bottom w:val="nil"/>
              <w:right w:val="nil"/>
            </w:tcBorders>
            <w:shd w:val="clear" w:color="000000" w:fill="D9D9D9"/>
            <w:noWrap/>
            <w:vAlign w:val="bottom"/>
            <w:hideMark/>
          </w:tcPr>
          <w:p w14:paraId="187C63E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186,011</w:t>
            </w:r>
          </w:p>
        </w:tc>
        <w:tc>
          <w:tcPr>
            <w:tcW w:w="1181" w:type="dxa"/>
            <w:tcBorders>
              <w:top w:val="nil"/>
              <w:left w:val="nil"/>
              <w:bottom w:val="nil"/>
              <w:right w:val="nil"/>
            </w:tcBorders>
            <w:shd w:val="clear" w:color="000000" w:fill="D9D9D9"/>
            <w:noWrap/>
            <w:vAlign w:val="bottom"/>
            <w:hideMark/>
          </w:tcPr>
          <w:p w14:paraId="771066DB"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211,248</w:t>
            </w:r>
          </w:p>
        </w:tc>
      </w:tr>
      <w:tr w:rsidR="005245E4" w:rsidRPr="005245E4" w14:paraId="6C13FCD1" w14:textId="77777777" w:rsidTr="005245E4">
        <w:trPr>
          <w:trHeight w:val="260"/>
        </w:trPr>
        <w:tc>
          <w:tcPr>
            <w:tcW w:w="1096" w:type="dxa"/>
            <w:tcBorders>
              <w:top w:val="nil"/>
              <w:left w:val="nil"/>
              <w:bottom w:val="nil"/>
              <w:right w:val="nil"/>
            </w:tcBorders>
            <w:shd w:val="clear" w:color="auto" w:fill="auto"/>
            <w:noWrap/>
            <w:vAlign w:val="bottom"/>
            <w:hideMark/>
          </w:tcPr>
          <w:p w14:paraId="794AEA46"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5/15/21</w:t>
            </w:r>
          </w:p>
        </w:tc>
        <w:tc>
          <w:tcPr>
            <w:tcW w:w="1409" w:type="dxa"/>
            <w:tcBorders>
              <w:top w:val="nil"/>
              <w:left w:val="nil"/>
              <w:bottom w:val="nil"/>
              <w:right w:val="nil"/>
            </w:tcBorders>
            <w:shd w:val="clear" w:color="auto" w:fill="auto"/>
            <w:noWrap/>
            <w:vAlign w:val="bottom"/>
            <w:hideMark/>
          </w:tcPr>
          <w:p w14:paraId="4A0A8B3F"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269,728</w:t>
            </w:r>
          </w:p>
        </w:tc>
        <w:tc>
          <w:tcPr>
            <w:tcW w:w="1181" w:type="dxa"/>
            <w:tcBorders>
              <w:top w:val="nil"/>
              <w:left w:val="nil"/>
              <w:bottom w:val="nil"/>
              <w:right w:val="nil"/>
            </w:tcBorders>
            <w:shd w:val="clear" w:color="auto" w:fill="auto"/>
            <w:noWrap/>
            <w:vAlign w:val="bottom"/>
            <w:hideMark/>
          </w:tcPr>
          <w:p w14:paraId="118CC7A2"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157,781</w:t>
            </w:r>
          </w:p>
        </w:tc>
        <w:tc>
          <w:tcPr>
            <w:tcW w:w="1356" w:type="dxa"/>
            <w:tcBorders>
              <w:top w:val="nil"/>
              <w:left w:val="nil"/>
              <w:bottom w:val="nil"/>
              <w:right w:val="nil"/>
            </w:tcBorders>
            <w:shd w:val="clear" w:color="auto" w:fill="auto"/>
            <w:noWrap/>
            <w:vAlign w:val="bottom"/>
            <w:hideMark/>
          </w:tcPr>
          <w:p w14:paraId="60D339DD"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159,698</w:t>
            </w:r>
          </w:p>
        </w:tc>
        <w:tc>
          <w:tcPr>
            <w:tcW w:w="1356" w:type="dxa"/>
            <w:tcBorders>
              <w:top w:val="nil"/>
              <w:left w:val="nil"/>
              <w:bottom w:val="nil"/>
              <w:right w:val="nil"/>
            </w:tcBorders>
            <w:shd w:val="clear" w:color="auto" w:fill="auto"/>
            <w:noWrap/>
            <w:vAlign w:val="bottom"/>
            <w:hideMark/>
          </w:tcPr>
          <w:p w14:paraId="225FACFA"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167,165</w:t>
            </w:r>
          </w:p>
        </w:tc>
        <w:tc>
          <w:tcPr>
            <w:tcW w:w="1181" w:type="dxa"/>
            <w:tcBorders>
              <w:top w:val="nil"/>
              <w:left w:val="nil"/>
              <w:bottom w:val="nil"/>
              <w:right w:val="nil"/>
            </w:tcBorders>
            <w:shd w:val="clear" w:color="auto" w:fill="auto"/>
            <w:noWrap/>
            <w:vAlign w:val="bottom"/>
            <w:hideMark/>
          </w:tcPr>
          <w:p w14:paraId="4B7BB68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201,886</w:t>
            </w:r>
          </w:p>
        </w:tc>
        <w:tc>
          <w:tcPr>
            <w:tcW w:w="1181" w:type="dxa"/>
            <w:tcBorders>
              <w:top w:val="nil"/>
              <w:left w:val="nil"/>
              <w:bottom w:val="nil"/>
              <w:right w:val="nil"/>
            </w:tcBorders>
            <w:shd w:val="clear" w:color="auto" w:fill="auto"/>
            <w:noWrap/>
            <w:vAlign w:val="bottom"/>
            <w:hideMark/>
          </w:tcPr>
          <w:p w14:paraId="6417473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265,714</w:t>
            </w:r>
          </w:p>
        </w:tc>
      </w:tr>
      <w:tr w:rsidR="005245E4" w:rsidRPr="005245E4" w14:paraId="3A5D5113" w14:textId="77777777" w:rsidTr="005245E4">
        <w:trPr>
          <w:trHeight w:val="260"/>
        </w:trPr>
        <w:tc>
          <w:tcPr>
            <w:tcW w:w="1096" w:type="dxa"/>
            <w:tcBorders>
              <w:top w:val="nil"/>
              <w:left w:val="nil"/>
              <w:bottom w:val="nil"/>
              <w:right w:val="nil"/>
            </w:tcBorders>
            <w:shd w:val="clear" w:color="auto" w:fill="auto"/>
            <w:noWrap/>
            <w:vAlign w:val="bottom"/>
            <w:hideMark/>
          </w:tcPr>
          <w:p w14:paraId="55D6D715" w14:textId="77777777" w:rsidR="005245E4" w:rsidRPr="005245E4" w:rsidRDefault="005245E4" w:rsidP="005245E4">
            <w:pPr>
              <w:jc w:val="center"/>
              <w:rPr>
                <w:rFonts w:ascii="Arial" w:eastAsia="Times New Roman" w:hAnsi="Arial" w:cs="Arial"/>
                <w:color w:val="000000"/>
                <w:sz w:val="20"/>
                <w:szCs w:val="20"/>
              </w:rPr>
            </w:pPr>
          </w:p>
        </w:tc>
        <w:tc>
          <w:tcPr>
            <w:tcW w:w="1409" w:type="dxa"/>
            <w:tcBorders>
              <w:top w:val="nil"/>
              <w:left w:val="nil"/>
              <w:bottom w:val="nil"/>
              <w:right w:val="nil"/>
            </w:tcBorders>
            <w:shd w:val="clear" w:color="auto" w:fill="auto"/>
            <w:noWrap/>
            <w:vAlign w:val="bottom"/>
            <w:hideMark/>
          </w:tcPr>
          <w:p w14:paraId="2E0635E5" w14:textId="77777777" w:rsidR="005245E4" w:rsidRPr="005245E4" w:rsidRDefault="005245E4" w:rsidP="005245E4">
            <w:pPr>
              <w:rPr>
                <w:rFonts w:ascii="Times New Roman" w:eastAsia="Times New Roman" w:hAnsi="Times New Roman" w:cs="Times New Roman"/>
                <w:sz w:val="20"/>
                <w:szCs w:val="20"/>
              </w:rPr>
            </w:pPr>
          </w:p>
        </w:tc>
        <w:tc>
          <w:tcPr>
            <w:tcW w:w="6255" w:type="dxa"/>
            <w:gridSpan w:val="5"/>
            <w:tcBorders>
              <w:top w:val="nil"/>
              <w:left w:val="nil"/>
              <w:bottom w:val="single" w:sz="4" w:space="0" w:color="auto"/>
              <w:right w:val="nil"/>
            </w:tcBorders>
            <w:shd w:val="clear" w:color="auto" w:fill="auto"/>
            <w:noWrap/>
            <w:vAlign w:val="bottom"/>
            <w:hideMark/>
          </w:tcPr>
          <w:p w14:paraId="3F4E4FEF"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Deaths averted</w:t>
            </w:r>
          </w:p>
        </w:tc>
      </w:tr>
      <w:tr w:rsidR="005245E4" w:rsidRPr="005245E4" w14:paraId="04800867" w14:textId="77777777" w:rsidTr="005245E4">
        <w:trPr>
          <w:trHeight w:val="260"/>
        </w:trPr>
        <w:tc>
          <w:tcPr>
            <w:tcW w:w="1096" w:type="dxa"/>
            <w:tcBorders>
              <w:top w:val="nil"/>
              <w:left w:val="nil"/>
              <w:bottom w:val="nil"/>
              <w:right w:val="nil"/>
            </w:tcBorders>
            <w:shd w:val="clear" w:color="000000" w:fill="D9D9D9"/>
            <w:noWrap/>
            <w:vAlign w:val="bottom"/>
            <w:hideMark/>
          </w:tcPr>
          <w:p w14:paraId="28FC2A28"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3/1/21</w:t>
            </w:r>
          </w:p>
        </w:tc>
        <w:tc>
          <w:tcPr>
            <w:tcW w:w="1409" w:type="dxa"/>
            <w:tcBorders>
              <w:top w:val="nil"/>
              <w:left w:val="nil"/>
              <w:bottom w:val="nil"/>
              <w:right w:val="nil"/>
            </w:tcBorders>
            <w:shd w:val="clear" w:color="000000" w:fill="D9D9D9"/>
            <w:noWrap/>
            <w:vAlign w:val="bottom"/>
            <w:hideMark/>
          </w:tcPr>
          <w:p w14:paraId="6CEA1BB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156,695</w:t>
            </w:r>
          </w:p>
        </w:tc>
        <w:tc>
          <w:tcPr>
            <w:tcW w:w="1181" w:type="dxa"/>
            <w:tcBorders>
              <w:top w:val="nil"/>
              <w:left w:val="nil"/>
              <w:bottom w:val="nil"/>
              <w:right w:val="nil"/>
            </w:tcBorders>
            <w:shd w:val="clear" w:color="000000" w:fill="D9D9D9"/>
            <w:noWrap/>
            <w:vAlign w:val="bottom"/>
            <w:hideMark/>
          </w:tcPr>
          <w:p w14:paraId="6C363DDA"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0</w:t>
            </w:r>
          </w:p>
        </w:tc>
        <w:tc>
          <w:tcPr>
            <w:tcW w:w="1356" w:type="dxa"/>
            <w:tcBorders>
              <w:top w:val="nil"/>
              <w:left w:val="nil"/>
              <w:bottom w:val="nil"/>
              <w:right w:val="nil"/>
            </w:tcBorders>
            <w:shd w:val="clear" w:color="000000" w:fill="D9D9D9"/>
            <w:noWrap/>
            <w:vAlign w:val="bottom"/>
            <w:hideMark/>
          </w:tcPr>
          <w:p w14:paraId="77EFD67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356" w:type="dxa"/>
            <w:tcBorders>
              <w:top w:val="nil"/>
              <w:left w:val="nil"/>
              <w:bottom w:val="nil"/>
              <w:right w:val="nil"/>
            </w:tcBorders>
            <w:shd w:val="clear" w:color="000000" w:fill="D9D9D9"/>
            <w:noWrap/>
            <w:vAlign w:val="bottom"/>
            <w:hideMark/>
          </w:tcPr>
          <w:p w14:paraId="47049B2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000000" w:fill="D9D9D9"/>
            <w:noWrap/>
            <w:vAlign w:val="bottom"/>
            <w:hideMark/>
          </w:tcPr>
          <w:p w14:paraId="16C213D9"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000000" w:fill="D9D9D9"/>
            <w:noWrap/>
            <w:vAlign w:val="bottom"/>
            <w:hideMark/>
          </w:tcPr>
          <w:p w14:paraId="2E802108"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18A8E530" w14:textId="77777777" w:rsidTr="005245E4">
        <w:trPr>
          <w:trHeight w:val="260"/>
        </w:trPr>
        <w:tc>
          <w:tcPr>
            <w:tcW w:w="1096" w:type="dxa"/>
            <w:tcBorders>
              <w:top w:val="nil"/>
              <w:left w:val="nil"/>
              <w:bottom w:val="nil"/>
              <w:right w:val="nil"/>
            </w:tcBorders>
            <w:shd w:val="clear" w:color="auto" w:fill="auto"/>
            <w:noWrap/>
            <w:vAlign w:val="bottom"/>
            <w:hideMark/>
          </w:tcPr>
          <w:p w14:paraId="3ECEF863"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3/15/21</w:t>
            </w:r>
          </w:p>
        </w:tc>
        <w:tc>
          <w:tcPr>
            <w:tcW w:w="1409" w:type="dxa"/>
            <w:tcBorders>
              <w:top w:val="nil"/>
              <w:left w:val="nil"/>
              <w:bottom w:val="nil"/>
              <w:right w:val="nil"/>
            </w:tcBorders>
            <w:shd w:val="clear" w:color="auto" w:fill="auto"/>
            <w:noWrap/>
            <w:vAlign w:val="bottom"/>
            <w:hideMark/>
          </w:tcPr>
          <w:p w14:paraId="251BC4CF"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158,301</w:t>
            </w:r>
          </w:p>
        </w:tc>
        <w:tc>
          <w:tcPr>
            <w:tcW w:w="1181" w:type="dxa"/>
            <w:tcBorders>
              <w:top w:val="nil"/>
              <w:left w:val="nil"/>
              <w:bottom w:val="nil"/>
              <w:right w:val="nil"/>
            </w:tcBorders>
            <w:shd w:val="clear" w:color="auto" w:fill="auto"/>
            <w:noWrap/>
            <w:vAlign w:val="bottom"/>
            <w:hideMark/>
          </w:tcPr>
          <w:p w14:paraId="355A00AF"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1,114</w:t>
            </w:r>
          </w:p>
        </w:tc>
        <w:tc>
          <w:tcPr>
            <w:tcW w:w="1356" w:type="dxa"/>
            <w:tcBorders>
              <w:top w:val="nil"/>
              <w:left w:val="nil"/>
              <w:bottom w:val="nil"/>
              <w:right w:val="nil"/>
            </w:tcBorders>
            <w:shd w:val="clear" w:color="auto" w:fill="auto"/>
            <w:noWrap/>
            <w:vAlign w:val="bottom"/>
            <w:hideMark/>
          </w:tcPr>
          <w:p w14:paraId="58D8F7FD"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0</w:t>
            </w:r>
          </w:p>
        </w:tc>
        <w:tc>
          <w:tcPr>
            <w:tcW w:w="1356" w:type="dxa"/>
            <w:tcBorders>
              <w:top w:val="nil"/>
              <w:left w:val="nil"/>
              <w:bottom w:val="nil"/>
              <w:right w:val="nil"/>
            </w:tcBorders>
            <w:shd w:val="clear" w:color="auto" w:fill="auto"/>
            <w:noWrap/>
            <w:vAlign w:val="bottom"/>
            <w:hideMark/>
          </w:tcPr>
          <w:p w14:paraId="16AE8A8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auto" w:fill="auto"/>
            <w:noWrap/>
            <w:vAlign w:val="bottom"/>
            <w:hideMark/>
          </w:tcPr>
          <w:p w14:paraId="4104A91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auto" w:fill="auto"/>
            <w:noWrap/>
            <w:vAlign w:val="bottom"/>
            <w:hideMark/>
          </w:tcPr>
          <w:p w14:paraId="6AD8C27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3939D13E" w14:textId="77777777" w:rsidTr="005245E4">
        <w:trPr>
          <w:trHeight w:val="260"/>
        </w:trPr>
        <w:tc>
          <w:tcPr>
            <w:tcW w:w="1096" w:type="dxa"/>
            <w:tcBorders>
              <w:top w:val="nil"/>
              <w:left w:val="nil"/>
              <w:bottom w:val="nil"/>
              <w:right w:val="nil"/>
            </w:tcBorders>
            <w:shd w:val="clear" w:color="000000" w:fill="D9D9D9"/>
            <w:noWrap/>
            <w:vAlign w:val="bottom"/>
            <w:hideMark/>
          </w:tcPr>
          <w:p w14:paraId="226D1E75"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3/30/21</w:t>
            </w:r>
          </w:p>
        </w:tc>
        <w:tc>
          <w:tcPr>
            <w:tcW w:w="1409" w:type="dxa"/>
            <w:tcBorders>
              <w:top w:val="nil"/>
              <w:left w:val="nil"/>
              <w:bottom w:val="nil"/>
              <w:right w:val="nil"/>
            </w:tcBorders>
            <w:shd w:val="clear" w:color="000000" w:fill="D9D9D9"/>
            <w:noWrap/>
            <w:vAlign w:val="bottom"/>
            <w:hideMark/>
          </w:tcPr>
          <w:p w14:paraId="4F3634F0"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161,911</w:t>
            </w:r>
          </w:p>
        </w:tc>
        <w:tc>
          <w:tcPr>
            <w:tcW w:w="1181" w:type="dxa"/>
            <w:tcBorders>
              <w:top w:val="nil"/>
              <w:left w:val="nil"/>
              <w:bottom w:val="nil"/>
              <w:right w:val="nil"/>
            </w:tcBorders>
            <w:shd w:val="clear" w:color="000000" w:fill="D9D9D9"/>
            <w:noWrap/>
            <w:vAlign w:val="bottom"/>
            <w:hideMark/>
          </w:tcPr>
          <w:p w14:paraId="6D99AB22"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4,472</w:t>
            </w:r>
          </w:p>
        </w:tc>
        <w:tc>
          <w:tcPr>
            <w:tcW w:w="1356" w:type="dxa"/>
            <w:tcBorders>
              <w:top w:val="nil"/>
              <w:left w:val="nil"/>
              <w:bottom w:val="nil"/>
              <w:right w:val="nil"/>
            </w:tcBorders>
            <w:shd w:val="clear" w:color="000000" w:fill="D9D9D9"/>
            <w:noWrap/>
            <w:vAlign w:val="bottom"/>
            <w:hideMark/>
          </w:tcPr>
          <w:p w14:paraId="3B473049"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3,078</w:t>
            </w:r>
          </w:p>
        </w:tc>
        <w:tc>
          <w:tcPr>
            <w:tcW w:w="1356" w:type="dxa"/>
            <w:tcBorders>
              <w:top w:val="nil"/>
              <w:left w:val="nil"/>
              <w:bottom w:val="nil"/>
              <w:right w:val="nil"/>
            </w:tcBorders>
            <w:shd w:val="clear" w:color="000000" w:fill="D9D9D9"/>
            <w:noWrap/>
            <w:vAlign w:val="bottom"/>
            <w:hideMark/>
          </w:tcPr>
          <w:p w14:paraId="351440F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0</w:t>
            </w:r>
          </w:p>
        </w:tc>
        <w:tc>
          <w:tcPr>
            <w:tcW w:w="1181" w:type="dxa"/>
            <w:tcBorders>
              <w:top w:val="nil"/>
              <w:left w:val="nil"/>
              <w:bottom w:val="nil"/>
              <w:right w:val="nil"/>
            </w:tcBorders>
            <w:shd w:val="clear" w:color="000000" w:fill="D9D9D9"/>
            <w:noWrap/>
            <w:vAlign w:val="bottom"/>
            <w:hideMark/>
          </w:tcPr>
          <w:p w14:paraId="650CA1B6"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000000" w:fill="D9D9D9"/>
            <w:noWrap/>
            <w:vAlign w:val="bottom"/>
            <w:hideMark/>
          </w:tcPr>
          <w:p w14:paraId="30A4B17D"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2104D062" w14:textId="77777777" w:rsidTr="005245E4">
        <w:trPr>
          <w:trHeight w:val="260"/>
        </w:trPr>
        <w:tc>
          <w:tcPr>
            <w:tcW w:w="1096" w:type="dxa"/>
            <w:tcBorders>
              <w:top w:val="nil"/>
              <w:left w:val="nil"/>
              <w:bottom w:val="nil"/>
              <w:right w:val="nil"/>
            </w:tcBorders>
            <w:shd w:val="clear" w:color="auto" w:fill="auto"/>
            <w:noWrap/>
            <w:vAlign w:val="bottom"/>
            <w:hideMark/>
          </w:tcPr>
          <w:p w14:paraId="7A1D0047"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4/15/21</w:t>
            </w:r>
          </w:p>
        </w:tc>
        <w:tc>
          <w:tcPr>
            <w:tcW w:w="1409" w:type="dxa"/>
            <w:tcBorders>
              <w:top w:val="nil"/>
              <w:left w:val="nil"/>
              <w:bottom w:val="nil"/>
              <w:right w:val="nil"/>
            </w:tcBorders>
            <w:shd w:val="clear" w:color="auto" w:fill="auto"/>
            <w:noWrap/>
            <w:vAlign w:val="bottom"/>
            <w:hideMark/>
          </w:tcPr>
          <w:p w14:paraId="45A08BF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173,746</w:t>
            </w:r>
          </w:p>
        </w:tc>
        <w:tc>
          <w:tcPr>
            <w:tcW w:w="1181" w:type="dxa"/>
            <w:tcBorders>
              <w:top w:val="nil"/>
              <w:left w:val="nil"/>
              <w:bottom w:val="nil"/>
              <w:right w:val="nil"/>
            </w:tcBorders>
            <w:shd w:val="clear" w:color="auto" w:fill="auto"/>
            <w:noWrap/>
            <w:vAlign w:val="bottom"/>
            <w:hideMark/>
          </w:tcPr>
          <w:p w14:paraId="3B2588F9"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16,141</w:t>
            </w:r>
          </w:p>
        </w:tc>
        <w:tc>
          <w:tcPr>
            <w:tcW w:w="1356" w:type="dxa"/>
            <w:tcBorders>
              <w:top w:val="nil"/>
              <w:left w:val="nil"/>
              <w:bottom w:val="nil"/>
              <w:right w:val="nil"/>
            </w:tcBorders>
            <w:shd w:val="clear" w:color="auto" w:fill="auto"/>
            <w:noWrap/>
            <w:vAlign w:val="bottom"/>
            <w:hideMark/>
          </w:tcPr>
          <w:p w14:paraId="2A048BE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14,540</w:t>
            </w:r>
          </w:p>
        </w:tc>
        <w:tc>
          <w:tcPr>
            <w:tcW w:w="1356" w:type="dxa"/>
            <w:tcBorders>
              <w:top w:val="nil"/>
              <w:left w:val="nil"/>
              <w:bottom w:val="nil"/>
              <w:right w:val="nil"/>
            </w:tcBorders>
            <w:shd w:val="clear" w:color="auto" w:fill="auto"/>
            <w:noWrap/>
            <w:vAlign w:val="bottom"/>
            <w:hideMark/>
          </w:tcPr>
          <w:p w14:paraId="0B78EA4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9,829</w:t>
            </w:r>
          </w:p>
        </w:tc>
        <w:tc>
          <w:tcPr>
            <w:tcW w:w="1181" w:type="dxa"/>
            <w:tcBorders>
              <w:top w:val="nil"/>
              <w:left w:val="nil"/>
              <w:bottom w:val="nil"/>
              <w:right w:val="nil"/>
            </w:tcBorders>
            <w:shd w:val="clear" w:color="auto" w:fill="auto"/>
            <w:noWrap/>
            <w:vAlign w:val="bottom"/>
            <w:hideMark/>
          </w:tcPr>
          <w:p w14:paraId="38C05DD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0</w:t>
            </w:r>
          </w:p>
        </w:tc>
        <w:tc>
          <w:tcPr>
            <w:tcW w:w="1181" w:type="dxa"/>
            <w:tcBorders>
              <w:top w:val="nil"/>
              <w:left w:val="nil"/>
              <w:bottom w:val="nil"/>
              <w:right w:val="nil"/>
            </w:tcBorders>
            <w:shd w:val="clear" w:color="auto" w:fill="auto"/>
            <w:noWrap/>
            <w:vAlign w:val="bottom"/>
            <w:hideMark/>
          </w:tcPr>
          <w:p w14:paraId="46DCD5D9"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63789C83" w14:textId="77777777" w:rsidTr="005245E4">
        <w:trPr>
          <w:trHeight w:val="260"/>
        </w:trPr>
        <w:tc>
          <w:tcPr>
            <w:tcW w:w="1096" w:type="dxa"/>
            <w:tcBorders>
              <w:top w:val="nil"/>
              <w:left w:val="nil"/>
              <w:bottom w:val="nil"/>
              <w:right w:val="nil"/>
            </w:tcBorders>
            <w:shd w:val="clear" w:color="000000" w:fill="D9D9D9"/>
            <w:noWrap/>
            <w:vAlign w:val="bottom"/>
            <w:hideMark/>
          </w:tcPr>
          <w:p w14:paraId="50BAFE51"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4/30/21</w:t>
            </w:r>
          </w:p>
        </w:tc>
        <w:tc>
          <w:tcPr>
            <w:tcW w:w="1409" w:type="dxa"/>
            <w:tcBorders>
              <w:top w:val="nil"/>
              <w:left w:val="nil"/>
              <w:bottom w:val="nil"/>
              <w:right w:val="nil"/>
            </w:tcBorders>
            <w:shd w:val="clear" w:color="000000" w:fill="D9D9D9"/>
            <w:noWrap/>
            <w:vAlign w:val="bottom"/>
            <w:hideMark/>
          </w:tcPr>
          <w:p w14:paraId="30BB448A"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211,248</w:t>
            </w:r>
          </w:p>
        </w:tc>
        <w:tc>
          <w:tcPr>
            <w:tcW w:w="1181" w:type="dxa"/>
            <w:tcBorders>
              <w:top w:val="nil"/>
              <w:left w:val="nil"/>
              <w:bottom w:val="nil"/>
              <w:right w:val="nil"/>
            </w:tcBorders>
            <w:shd w:val="clear" w:color="000000" w:fill="D9D9D9"/>
            <w:noWrap/>
            <w:vAlign w:val="bottom"/>
            <w:hideMark/>
          </w:tcPr>
          <w:p w14:paraId="1B41372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53,548</w:t>
            </w:r>
          </w:p>
        </w:tc>
        <w:tc>
          <w:tcPr>
            <w:tcW w:w="1356" w:type="dxa"/>
            <w:tcBorders>
              <w:top w:val="nil"/>
              <w:left w:val="nil"/>
              <w:bottom w:val="nil"/>
              <w:right w:val="nil"/>
            </w:tcBorders>
            <w:shd w:val="clear" w:color="000000" w:fill="D9D9D9"/>
            <w:noWrap/>
            <w:vAlign w:val="bottom"/>
            <w:hideMark/>
          </w:tcPr>
          <w:p w14:paraId="2FEE9968"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51,784</w:t>
            </w:r>
          </w:p>
        </w:tc>
        <w:tc>
          <w:tcPr>
            <w:tcW w:w="1356" w:type="dxa"/>
            <w:tcBorders>
              <w:top w:val="nil"/>
              <w:left w:val="nil"/>
              <w:bottom w:val="nil"/>
              <w:right w:val="nil"/>
            </w:tcBorders>
            <w:shd w:val="clear" w:color="000000" w:fill="D9D9D9"/>
            <w:noWrap/>
            <w:vAlign w:val="bottom"/>
            <w:hideMark/>
          </w:tcPr>
          <w:p w14:paraId="6F7FFF5F"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45,722</w:t>
            </w:r>
          </w:p>
        </w:tc>
        <w:tc>
          <w:tcPr>
            <w:tcW w:w="1181" w:type="dxa"/>
            <w:tcBorders>
              <w:top w:val="nil"/>
              <w:left w:val="nil"/>
              <w:bottom w:val="nil"/>
              <w:right w:val="nil"/>
            </w:tcBorders>
            <w:shd w:val="clear" w:color="000000" w:fill="D9D9D9"/>
            <w:noWrap/>
            <w:vAlign w:val="bottom"/>
            <w:hideMark/>
          </w:tcPr>
          <w:p w14:paraId="1C74E27D"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25,237</w:t>
            </w:r>
          </w:p>
        </w:tc>
        <w:tc>
          <w:tcPr>
            <w:tcW w:w="1181" w:type="dxa"/>
            <w:tcBorders>
              <w:top w:val="nil"/>
              <w:left w:val="nil"/>
              <w:bottom w:val="nil"/>
              <w:right w:val="nil"/>
            </w:tcBorders>
            <w:shd w:val="clear" w:color="000000" w:fill="D9D9D9"/>
            <w:noWrap/>
            <w:vAlign w:val="bottom"/>
            <w:hideMark/>
          </w:tcPr>
          <w:p w14:paraId="4B219C5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0</w:t>
            </w:r>
          </w:p>
        </w:tc>
      </w:tr>
      <w:tr w:rsidR="005245E4" w:rsidRPr="005245E4" w14:paraId="49019F1F" w14:textId="77777777" w:rsidTr="005245E4">
        <w:trPr>
          <w:trHeight w:val="280"/>
        </w:trPr>
        <w:tc>
          <w:tcPr>
            <w:tcW w:w="1096" w:type="dxa"/>
            <w:tcBorders>
              <w:top w:val="nil"/>
              <w:left w:val="nil"/>
              <w:bottom w:val="double" w:sz="6" w:space="0" w:color="auto"/>
              <w:right w:val="nil"/>
            </w:tcBorders>
            <w:shd w:val="clear" w:color="auto" w:fill="auto"/>
            <w:noWrap/>
            <w:vAlign w:val="bottom"/>
            <w:hideMark/>
          </w:tcPr>
          <w:p w14:paraId="251929AE"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5/15/21</w:t>
            </w:r>
          </w:p>
        </w:tc>
        <w:tc>
          <w:tcPr>
            <w:tcW w:w="1409" w:type="dxa"/>
            <w:tcBorders>
              <w:top w:val="nil"/>
              <w:left w:val="nil"/>
              <w:bottom w:val="double" w:sz="6" w:space="0" w:color="auto"/>
              <w:right w:val="nil"/>
            </w:tcBorders>
            <w:shd w:val="clear" w:color="auto" w:fill="auto"/>
            <w:noWrap/>
            <w:vAlign w:val="bottom"/>
            <w:hideMark/>
          </w:tcPr>
          <w:p w14:paraId="5160B4C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269,728</w:t>
            </w:r>
          </w:p>
        </w:tc>
        <w:tc>
          <w:tcPr>
            <w:tcW w:w="1181" w:type="dxa"/>
            <w:tcBorders>
              <w:top w:val="nil"/>
              <w:left w:val="nil"/>
              <w:bottom w:val="double" w:sz="6" w:space="0" w:color="auto"/>
              <w:right w:val="nil"/>
            </w:tcBorders>
            <w:shd w:val="clear" w:color="auto" w:fill="auto"/>
            <w:noWrap/>
            <w:vAlign w:val="bottom"/>
            <w:hideMark/>
          </w:tcPr>
          <w:p w14:paraId="060320F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111,947</w:t>
            </w:r>
          </w:p>
        </w:tc>
        <w:tc>
          <w:tcPr>
            <w:tcW w:w="1356" w:type="dxa"/>
            <w:tcBorders>
              <w:top w:val="nil"/>
              <w:left w:val="nil"/>
              <w:bottom w:val="double" w:sz="6" w:space="0" w:color="auto"/>
              <w:right w:val="nil"/>
            </w:tcBorders>
            <w:shd w:val="clear" w:color="auto" w:fill="auto"/>
            <w:noWrap/>
            <w:vAlign w:val="bottom"/>
            <w:hideMark/>
          </w:tcPr>
          <w:p w14:paraId="411456D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110,030</w:t>
            </w:r>
          </w:p>
        </w:tc>
        <w:tc>
          <w:tcPr>
            <w:tcW w:w="1356" w:type="dxa"/>
            <w:tcBorders>
              <w:top w:val="nil"/>
              <w:left w:val="nil"/>
              <w:bottom w:val="double" w:sz="6" w:space="0" w:color="auto"/>
              <w:right w:val="nil"/>
            </w:tcBorders>
            <w:shd w:val="clear" w:color="auto" w:fill="auto"/>
            <w:noWrap/>
            <w:vAlign w:val="bottom"/>
            <w:hideMark/>
          </w:tcPr>
          <w:p w14:paraId="4453FE93"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102,563</w:t>
            </w:r>
          </w:p>
        </w:tc>
        <w:tc>
          <w:tcPr>
            <w:tcW w:w="1181" w:type="dxa"/>
            <w:tcBorders>
              <w:top w:val="nil"/>
              <w:left w:val="nil"/>
              <w:bottom w:val="double" w:sz="6" w:space="0" w:color="auto"/>
              <w:right w:val="nil"/>
            </w:tcBorders>
            <w:shd w:val="clear" w:color="auto" w:fill="auto"/>
            <w:noWrap/>
            <w:vAlign w:val="bottom"/>
            <w:hideMark/>
          </w:tcPr>
          <w:p w14:paraId="655A1508"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67,842</w:t>
            </w:r>
          </w:p>
        </w:tc>
        <w:tc>
          <w:tcPr>
            <w:tcW w:w="1181" w:type="dxa"/>
            <w:tcBorders>
              <w:top w:val="nil"/>
              <w:left w:val="nil"/>
              <w:bottom w:val="double" w:sz="6" w:space="0" w:color="auto"/>
              <w:right w:val="nil"/>
            </w:tcBorders>
            <w:shd w:val="clear" w:color="auto" w:fill="auto"/>
            <w:noWrap/>
            <w:vAlign w:val="bottom"/>
            <w:hideMark/>
          </w:tcPr>
          <w:p w14:paraId="4BE5C69F"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4,014</w:t>
            </w:r>
          </w:p>
        </w:tc>
      </w:tr>
      <w:tr w:rsidR="005245E4" w:rsidRPr="005245E4" w14:paraId="30CBDBA6" w14:textId="77777777" w:rsidTr="005245E4">
        <w:trPr>
          <w:trHeight w:val="280"/>
        </w:trPr>
        <w:tc>
          <w:tcPr>
            <w:tcW w:w="8760" w:type="dxa"/>
            <w:gridSpan w:val="7"/>
            <w:tcBorders>
              <w:top w:val="nil"/>
              <w:left w:val="nil"/>
              <w:bottom w:val="single" w:sz="4" w:space="0" w:color="auto"/>
              <w:right w:val="nil"/>
            </w:tcBorders>
            <w:shd w:val="clear" w:color="auto" w:fill="auto"/>
            <w:noWrap/>
            <w:vAlign w:val="bottom"/>
            <w:hideMark/>
          </w:tcPr>
          <w:p w14:paraId="5E424E8A"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MAHARASHTRA LOCKDOWN AND CFR SCHEDULE</w:t>
            </w:r>
          </w:p>
        </w:tc>
      </w:tr>
      <w:tr w:rsidR="005245E4" w:rsidRPr="005245E4" w14:paraId="4339A18B" w14:textId="77777777" w:rsidTr="005245E4">
        <w:trPr>
          <w:trHeight w:val="260"/>
        </w:trPr>
        <w:tc>
          <w:tcPr>
            <w:tcW w:w="1096" w:type="dxa"/>
            <w:tcBorders>
              <w:top w:val="nil"/>
              <w:left w:val="nil"/>
              <w:bottom w:val="nil"/>
              <w:right w:val="nil"/>
            </w:tcBorders>
            <w:shd w:val="clear" w:color="auto" w:fill="auto"/>
            <w:noWrap/>
            <w:vAlign w:val="bottom"/>
            <w:hideMark/>
          </w:tcPr>
          <w:p w14:paraId="17B64F24" w14:textId="77777777" w:rsidR="005245E4" w:rsidRPr="005245E4" w:rsidRDefault="005245E4" w:rsidP="005245E4">
            <w:pPr>
              <w:jc w:val="center"/>
              <w:rPr>
                <w:rFonts w:ascii="Arial" w:eastAsia="Times New Roman" w:hAnsi="Arial" w:cs="Arial"/>
                <w:color w:val="000000"/>
                <w:sz w:val="20"/>
                <w:szCs w:val="20"/>
              </w:rPr>
            </w:pPr>
          </w:p>
        </w:tc>
        <w:tc>
          <w:tcPr>
            <w:tcW w:w="1409" w:type="dxa"/>
            <w:tcBorders>
              <w:top w:val="nil"/>
              <w:left w:val="nil"/>
              <w:bottom w:val="nil"/>
              <w:right w:val="nil"/>
            </w:tcBorders>
            <w:shd w:val="clear" w:color="auto" w:fill="auto"/>
            <w:noWrap/>
            <w:vAlign w:val="bottom"/>
            <w:hideMark/>
          </w:tcPr>
          <w:p w14:paraId="4806D7C4" w14:textId="77777777" w:rsidR="005245E4" w:rsidRPr="005245E4" w:rsidRDefault="005245E4" w:rsidP="005245E4">
            <w:pPr>
              <w:rPr>
                <w:rFonts w:ascii="Times New Roman" w:eastAsia="Times New Roman" w:hAnsi="Times New Roman" w:cs="Times New Roman"/>
                <w:sz w:val="20"/>
                <w:szCs w:val="20"/>
              </w:rPr>
            </w:pPr>
          </w:p>
        </w:tc>
        <w:tc>
          <w:tcPr>
            <w:tcW w:w="6255" w:type="dxa"/>
            <w:gridSpan w:val="5"/>
            <w:tcBorders>
              <w:top w:val="nil"/>
              <w:left w:val="nil"/>
              <w:bottom w:val="single" w:sz="4" w:space="0" w:color="auto"/>
              <w:right w:val="nil"/>
            </w:tcBorders>
            <w:shd w:val="clear" w:color="auto" w:fill="auto"/>
            <w:noWrap/>
            <w:vAlign w:val="bottom"/>
            <w:hideMark/>
          </w:tcPr>
          <w:p w14:paraId="4990632D"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Lockdown start</w:t>
            </w:r>
          </w:p>
        </w:tc>
      </w:tr>
      <w:tr w:rsidR="005245E4" w:rsidRPr="005245E4" w14:paraId="37005190" w14:textId="77777777" w:rsidTr="005245E4">
        <w:trPr>
          <w:trHeight w:val="260"/>
        </w:trPr>
        <w:tc>
          <w:tcPr>
            <w:tcW w:w="1096" w:type="dxa"/>
            <w:tcBorders>
              <w:top w:val="nil"/>
              <w:left w:val="nil"/>
              <w:bottom w:val="single" w:sz="4" w:space="0" w:color="auto"/>
              <w:right w:val="nil"/>
            </w:tcBorders>
            <w:shd w:val="clear" w:color="auto" w:fill="auto"/>
            <w:noWrap/>
            <w:vAlign w:val="bottom"/>
            <w:hideMark/>
          </w:tcPr>
          <w:p w14:paraId="14F7366D" w14:textId="77777777" w:rsidR="005245E4" w:rsidRPr="005245E4" w:rsidRDefault="005245E4" w:rsidP="005245E4">
            <w:pPr>
              <w:rPr>
                <w:rFonts w:ascii="Arial" w:eastAsia="Times New Roman" w:hAnsi="Arial" w:cs="Arial"/>
                <w:color w:val="000000"/>
                <w:sz w:val="20"/>
                <w:szCs w:val="20"/>
              </w:rPr>
            </w:pPr>
            <w:r w:rsidRPr="005245E4">
              <w:rPr>
                <w:rFonts w:ascii="Arial" w:eastAsia="Times New Roman" w:hAnsi="Arial" w:cs="Arial"/>
                <w:color w:val="000000"/>
                <w:sz w:val="20"/>
                <w:szCs w:val="20"/>
              </w:rPr>
              <w:t>Date</w:t>
            </w:r>
          </w:p>
        </w:tc>
        <w:tc>
          <w:tcPr>
            <w:tcW w:w="1409" w:type="dxa"/>
            <w:tcBorders>
              <w:top w:val="nil"/>
              <w:left w:val="nil"/>
              <w:bottom w:val="single" w:sz="4" w:space="0" w:color="auto"/>
              <w:right w:val="nil"/>
            </w:tcBorders>
            <w:shd w:val="clear" w:color="auto" w:fill="auto"/>
            <w:noWrap/>
            <w:vAlign w:val="bottom"/>
            <w:hideMark/>
          </w:tcPr>
          <w:p w14:paraId="6AEFC0C6"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Observed</w:t>
            </w:r>
          </w:p>
        </w:tc>
        <w:tc>
          <w:tcPr>
            <w:tcW w:w="1181" w:type="dxa"/>
            <w:tcBorders>
              <w:top w:val="nil"/>
              <w:left w:val="nil"/>
              <w:bottom w:val="single" w:sz="4" w:space="0" w:color="auto"/>
              <w:right w:val="nil"/>
            </w:tcBorders>
            <w:shd w:val="clear" w:color="auto" w:fill="auto"/>
            <w:noWrap/>
            <w:vAlign w:val="bottom"/>
            <w:hideMark/>
          </w:tcPr>
          <w:p w14:paraId="0AC34938"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March 1</w:t>
            </w:r>
          </w:p>
        </w:tc>
        <w:tc>
          <w:tcPr>
            <w:tcW w:w="1356" w:type="dxa"/>
            <w:tcBorders>
              <w:top w:val="nil"/>
              <w:left w:val="nil"/>
              <w:bottom w:val="single" w:sz="4" w:space="0" w:color="auto"/>
              <w:right w:val="nil"/>
            </w:tcBorders>
            <w:shd w:val="clear" w:color="auto" w:fill="auto"/>
            <w:noWrap/>
            <w:vAlign w:val="bottom"/>
            <w:hideMark/>
          </w:tcPr>
          <w:p w14:paraId="00DCA25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March 15</w:t>
            </w:r>
          </w:p>
        </w:tc>
        <w:tc>
          <w:tcPr>
            <w:tcW w:w="1356" w:type="dxa"/>
            <w:tcBorders>
              <w:top w:val="nil"/>
              <w:left w:val="nil"/>
              <w:bottom w:val="single" w:sz="4" w:space="0" w:color="auto"/>
              <w:right w:val="nil"/>
            </w:tcBorders>
            <w:shd w:val="clear" w:color="auto" w:fill="auto"/>
            <w:noWrap/>
            <w:vAlign w:val="bottom"/>
            <w:hideMark/>
          </w:tcPr>
          <w:p w14:paraId="2B4DAC6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March 30</w:t>
            </w:r>
          </w:p>
        </w:tc>
        <w:tc>
          <w:tcPr>
            <w:tcW w:w="1181" w:type="dxa"/>
            <w:tcBorders>
              <w:top w:val="nil"/>
              <w:left w:val="nil"/>
              <w:bottom w:val="single" w:sz="4" w:space="0" w:color="auto"/>
              <w:right w:val="nil"/>
            </w:tcBorders>
            <w:shd w:val="clear" w:color="auto" w:fill="auto"/>
            <w:noWrap/>
            <w:vAlign w:val="bottom"/>
            <w:hideMark/>
          </w:tcPr>
          <w:p w14:paraId="5DDB53AA"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April 15</w:t>
            </w:r>
          </w:p>
        </w:tc>
        <w:tc>
          <w:tcPr>
            <w:tcW w:w="1181" w:type="dxa"/>
            <w:tcBorders>
              <w:top w:val="nil"/>
              <w:left w:val="nil"/>
              <w:bottom w:val="single" w:sz="4" w:space="0" w:color="auto"/>
              <w:right w:val="nil"/>
            </w:tcBorders>
            <w:shd w:val="clear" w:color="auto" w:fill="auto"/>
            <w:noWrap/>
            <w:vAlign w:val="bottom"/>
            <w:hideMark/>
          </w:tcPr>
          <w:p w14:paraId="4225963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April 30</w:t>
            </w:r>
          </w:p>
        </w:tc>
      </w:tr>
      <w:tr w:rsidR="005245E4" w:rsidRPr="005245E4" w14:paraId="56F637E2" w14:textId="77777777" w:rsidTr="005245E4">
        <w:trPr>
          <w:trHeight w:val="260"/>
        </w:trPr>
        <w:tc>
          <w:tcPr>
            <w:tcW w:w="1096" w:type="dxa"/>
            <w:tcBorders>
              <w:top w:val="nil"/>
              <w:left w:val="nil"/>
              <w:bottom w:val="nil"/>
              <w:right w:val="nil"/>
            </w:tcBorders>
            <w:shd w:val="clear" w:color="000000" w:fill="D9D9D9"/>
            <w:noWrap/>
            <w:vAlign w:val="bottom"/>
            <w:hideMark/>
          </w:tcPr>
          <w:p w14:paraId="2245C0C7"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3/1/21</w:t>
            </w:r>
          </w:p>
        </w:tc>
        <w:tc>
          <w:tcPr>
            <w:tcW w:w="1409" w:type="dxa"/>
            <w:tcBorders>
              <w:top w:val="nil"/>
              <w:left w:val="nil"/>
              <w:bottom w:val="nil"/>
              <w:right w:val="nil"/>
            </w:tcBorders>
            <w:shd w:val="clear" w:color="000000" w:fill="D9D9D9"/>
            <w:noWrap/>
            <w:vAlign w:val="bottom"/>
            <w:hideMark/>
          </w:tcPr>
          <w:p w14:paraId="6901665C"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156,695</w:t>
            </w:r>
          </w:p>
        </w:tc>
        <w:tc>
          <w:tcPr>
            <w:tcW w:w="1181" w:type="dxa"/>
            <w:tcBorders>
              <w:top w:val="nil"/>
              <w:left w:val="nil"/>
              <w:bottom w:val="nil"/>
              <w:right w:val="nil"/>
            </w:tcBorders>
            <w:shd w:val="clear" w:color="000000" w:fill="D9D9D9"/>
            <w:noWrap/>
            <w:vAlign w:val="bottom"/>
            <w:hideMark/>
          </w:tcPr>
          <w:p w14:paraId="75C0CFFB"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156,695</w:t>
            </w:r>
          </w:p>
        </w:tc>
        <w:tc>
          <w:tcPr>
            <w:tcW w:w="1356" w:type="dxa"/>
            <w:tcBorders>
              <w:top w:val="nil"/>
              <w:left w:val="nil"/>
              <w:bottom w:val="nil"/>
              <w:right w:val="nil"/>
            </w:tcBorders>
            <w:shd w:val="clear" w:color="000000" w:fill="D9D9D9"/>
            <w:noWrap/>
            <w:vAlign w:val="bottom"/>
            <w:hideMark/>
          </w:tcPr>
          <w:p w14:paraId="00F7B3F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356" w:type="dxa"/>
            <w:tcBorders>
              <w:top w:val="nil"/>
              <w:left w:val="nil"/>
              <w:bottom w:val="nil"/>
              <w:right w:val="nil"/>
            </w:tcBorders>
            <w:shd w:val="clear" w:color="000000" w:fill="D9D9D9"/>
            <w:noWrap/>
            <w:vAlign w:val="bottom"/>
            <w:hideMark/>
          </w:tcPr>
          <w:p w14:paraId="39C0C8A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000000" w:fill="D9D9D9"/>
            <w:noWrap/>
            <w:vAlign w:val="bottom"/>
            <w:hideMark/>
          </w:tcPr>
          <w:p w14:paraId="33DE7D0C"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000000" w:fill="D9D9D9"/>
            <w:noWrap/>
            <w:vAlign w:val="bottom"/>
            <w:hideMark/>
          </w:tcPr>
          <w:p w14:paraId="796FF42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25695DE1" w14:textId="77777777" w:rsidTr="005245E4">
        <w:trPr>
          <w:trHeight w:val="260"/>
        </w:trPr>
        <w:tc>
          <w:tcPr>
            <w:tcW w:w="1096" w:type="dxa"/>
            <w:tcBorders>
              <w:top w:val="nil"/>
              <w:left w:val="nil"/>
              <w:bottom w:val="nil"/>
              <w:right w:val="nil"/>
            </w:tcBorders>
            <w:shd w:val="clear" w:color="auto" w:fill="auto"/>
            <w:noWrap/>
            <w:vAlign w:val="bottom"/>
            <w:hideMark/>
          </w:tcPr>
          <w:p w14:paraId="3ECAD076"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3/15/21</w:t>
            </w:r>
          </w:p>
        </w:tc>
        <w:tc>
          <w:tcPr>
            <w:tcW w:w="1409" w:type="dxa"/>
            <w:tcBorders>
              <w:top w:val="nil"/>
              <w:left w:val="nil"/>
              <w:bottom w:val="nil"/>
              <w:right w:val="nil"/>
            </w:tcBorders>
            <w:shd w:val="clear" w:color="auto" w:fill="auto"/>
            <w:noWrap/>
            <w:vAlign w:val="bottom"/>
            <w:hideMark/>
          </w:tcPr>
          <w:p w14:paraId="05AC2646"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158,301</w:t>
            </w:r>
          </w:p>
        </w:tc>
        <w:tc>
          <w:tcPr>
            <w:tcW w:w="1181" w:type="dxa"/>
            <w:tcBorders>
              <w:top w:val="nil"/>
              <w:left w:val="nil"/>
              <w:bottom w:val="nil"/>
              <w:right w:val="nil"/>
            </w:tcBorders>
            <w:shd w:val="clear" w:color="auto" w:fill="auto"/>
            <w:noWrap/>
            <w:vAlign w:val="bottom"/>
            <w:hideMark/>
          </w:tcPr>
          <w:p w14:paraId="3844F20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157,170</w:t>
            </w:r>
          </w:p>
        </w:tc>
        <w:tc>
          <w:tcPr>
            <w:tcW w:w="1356" w:type="dxa"/>
            <w:tcBorders>
              <w:top w:val="nil"/>
              <w:left w:val="nil"/>
              <w:bottom w:val="nil"/>
              <w:right w:val="nil"/>
            </w:tcBorders>
            <w:shd w:val="clear" w:color="auto" w:fill="auto"/>
            <w:noWrap/>
            <w:vAlign w:val="bottom"/>
            <w:hideMark/>
          </w:tcPr>
          <w:p w14:paraId="48057232"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158,301</w:t>
            </w:r>
          </w:p>
        </w:tc>
        <w:tc>
          <w:tcPr>
            <w:tcW w:w="1356" w:type="dxa"/>
            <w:tcBorders>
              <w:top w:val="nil"/>
              <w:left w:val="nil"/>
              <w:bottom w:val="nil"/>
              <w:right w:val="nil"/>
            </w:tcBorders>
            <w:shd w:val="clear" w:color="auto" w:fill="auto"/>
            <w:noWrap/>
            <w:vAlign w:val="bottom"/>
            <w:hideMark/>
          </w:tcPr>
          <w:p w14:paraId="13FAD3D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auto" w:fill="auto"/>
            <w:noWrap/>
            <w:vAlign w:val="bottom"/>
            <w:hideMark/>
          </w:tcPr>
          <w:p w14:paraId="189D9342"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auto" w:fill="auto"/>
            <w:noWrap/>
            <w:vAlign w:val="bottom"/>
            <w:hideMark/>
          </w:tcPr>
          <w:p w14:paraId="70270EA2"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106E2B39" w14:textId="77777777" w:rsidTr="005245E4">
        <w:trPr>
          <w:trHeight w:val="260"/>
        </w:trPr>
        <w:tc>
          <w:tcPr>
            <w:tcW w:w="1096" w:type="dxa"/>
            <w:tcBorders>
              <w:top w:val="nil"/>
              <w:left w:val="nil"/>
              <w:bottom w:val="nil"/>
              <w:right w:val="nil"/>
            </w:tcBorders>
            <w:shd w:val="clear" w:color="000000" w:fill="D9D9D9"/>
            <w:noWrap/>
            <w:vAlign w:val="bottom"/>
            <w:hideMark/>
          </w:tcPr>
          <w:p w14:paraId="5643527C"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3/30/21</w:t>
            </w:r>
          </w:p>
        </w:tc>
        <w:tc>
          <w:tcPr>
            <w:tcW w:w="1409" w:type="dxa"/>
            <w:tcBorders>
              <w:top w:val="nil"/>
              <w:left w:val="nil"/>
              <w:bottom w:val="nil"/>
              <w:right w:val="nil"/>
            </w:tcBorders>
            <w:shd w:val="clear" w:color="000000" w:fill="D9D9D9"/>
            <w:noWrap/>
            <w:vAlign w:val="bottom"/>
            <w:hideMark/>
          </w:tcPr>
          <w:p w14:paraId="6FC03F6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161,911</w:t>
            </w:r>
          </w:p>
        </w:tc>
        <w:tc>
          <w:tcPr>
            <w:tcW w:w="1181" w:type="dxa"/>
            <w:tcBorders>
              <w:top w:val="nil"/>
              <w:left w:val="nil"/>
              <w:bottom w:val="nil"/>
              <w:right w:val="nil"/>
            </w:tcBorders>
            <w:shd w:val="clear" w:color="000000" w:fill="D9D9D9"/>
            <w:noWrap/>
            <w:vAlign w:val="bottom"/>
            <w:hideMark/>
          </w:tcPr>
          <w:p w14:paraId="3D4D42E3"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157,438</w:t>
            </w:r>
          </w:p>
        </w:tc>
        <w:tc>
          <w:tcPr>
            <w:tcW w:w="1356" w:type="dxa"/>
            <w:tcBorders>
              <w:top w:val="nil"/>
              <w:left w:val="nil"/>
              <w:bottom w:val="nil"/>
              <w:right w:val="nil"/>
            </w:tcBorders>
            <w:shd w:val="clear" w:color="000000" w:fill="D9D9D9"/>
            <w:noWrap/>
            <w:vAlign w:val="bottom"/>
            <w:hideMark/>
          </w:tcPr>
          <w:p w14:paraId="580BCAAA"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158,739</w:t>
            </w:r>
          </w:p>
        </w:tc>
        <w:tc>
          <w:tcPr>
            <w:tcW w:w="1356" w:type="dxa"/>
            <w:tcBorders>
              <w:top w:val="nil"/>
              <w:left w:val="nil"/>
              <w:bottom w:val="nil"/>
              <w:right w:val="nil"/>
            </w:tcBorders>
            <w:shd w:val="clear" w:color="000000" w:fill="D9D9D9"/>
            <w:noWrap/>
            <w:vAlign w:val="bottom"/>
            <w:hideMark/>
          </w:tcPr>
          <w:p w14:paraId="576AD18B"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161,911</w:t>
            </w:r>
          </w:p>
        </w:tc>
        <w:tc>
          <w:tcPr>
            <w:tcW w:w="1181" w:type="dxa"/>
            <w:tcBorders>
              <w:top w:val="nil"/>
              <w:left w:val="nil"/>
              <w:bottom w:val="nil"/>
              <w:right w:val="nil"/>
            </w:tcBorders>
            <w:shd w:val="clear" w:color="000000" w:fill="D9D9D9"/>
            <w:noWrap/>
            <w:vAlign w:val="bottom"/>
            <w:hideMark/>
          </w:tcPr>
          <w:p w14:paraId="37F5B00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000000" w:fill="D9D9D9"/>
            <w:noWrap/>
            <w:vAlign w:val="bottom"/>
            <w:hideMark/>
          </w:tcPr>
          <w:p w14:paraId="676E6038"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78B6AF96" w14:textId="77777777" w:rsidTr="005245E4">
        <w:trPr>
          <w:trHeight w:val="260"/>
        </w:trPr>
        <w:tc>
          <w:tcPr>
            <w:tcW w:w="1096" w:type="dxa"/>
            <w:tcBorders>
              <w:top w:val="nil"/>
              <w:left w:val="nil"/>
              <w:bottom w:val="nil"/>
              <w:right w:val="nil"/>
            </w:tcBorders>
            <w:shd w:val="clear" w:color="auto" w:fill="auto"/>
            <w:noWrap/>
            <w:vAlign w:val="bottom"/>
            <w:hideMark/>
          </w:tcPr>
          <w:p w14:paraId="6D7CEC3E"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4/15/21</w:t>
            </w:r>
          </w:p>
        </w:tc>
        <w:tc>
          <w:tcPr>
            <w:tcW w:w="1409" w:type="dxa"/>
            <w:tcBorders>
              <w:top w:val="nil"/>
              <w:left w:val="nil"/>
              <w:bottom w:val="nil"/>
              <w:right w:val="nil"/>
            </w:tcBorders>
            <w:shd w:val="clear" w:color="auto" w:fill="auto"/>
            <w:noWrap/>
            <w:vAlign w:val="bottom"/>
            <w:hideMark/>
          </w:tcPr>
          <w:p w14:paraId="6C7FEBC0"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173,746</w:t>
            </w:r>
          </w:p>
        </w:tc>
        <w:tc>
          <w:tcPr>
            <w:tcW w:w="1181" w:type="dxa"/>
            <w:tcBorders>
              <w:top w:val="nil"/>
              <w:left w:val="nil"/>
              <w:bottom w:val="nil"/>
              <w:right w:val="nil"/>
            </w:tcBorders>
            <w:shd w:val="clear" w:color="auto" w:fill="auto"/>
            <w:noWrap/>
            <w:vAlign w:val="bottom"/>
            <w:hideMark/>
          </w:tcPr>
          <w:p w14:paraId="02840DE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157,779</w:t>
            </w:r>
          </w:p>
        </w:tc>
        <w:tc>
          <w:tcPr>
            <w:tcW w:w="1356" w:type="dxa"/>
            <w:tcBorders>
              <w:top w:val="nil"/>
              <w:left w:val="nil"/>
              <w:bottom w:val="nil"/>
              <w:right w:val="nil"/>
            </w:tcBorders>
            <w:shd w:val="clear" w:color="auto" w:fill="auto"/>
            <w:noWrap/>
            <w:vAlign w:val="bottom"/>
            <w:hideMark/>
          </w:tcPr>
          <w:p w14:paraId="1F151E39"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159,290</w:t>
            </w:r>
          </w:p>
        </w:tc>
        <w:tc>
          <w:tcPr>
            <w:tcW w:w="1356" w:type="dxa"/>
            <w:tcBorders>
              <w:top w:val="nil"/>
              <w:left w:val="nil"/>
              <w:bottom w:val="nil"/>
              <w:right w:val="nil"/>
            </w:tcBorders>
            <w:shd w:val="clear" w:color="auto" w:fill="auto"/>
            <w:noWrap/>
            <w:vAlign w:val="bottom"/>
            <w:hideMark/>
          </w:tcPr>
          <w:p w14:paraId="08352E0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164,112</w:t>
            </w:r>
          </w:p>
        </w:tc>
        <w:tc>
          <w:tcPr>
            <w:tcW w:w="1181" w:type="dxa"/>
            <w:tcBorders>
              <w:top w:val="nil"/>
              <w:left w:val="nil"/>
              <w:bottom w:val="nil"/>
              <w:right w:val="nil"/>
            </w:tcBorders>
            <w:shd w:val="clear" w:color="auto" w:fill="auto"/>
            <w:noWrap/>
            <w:vAlign w:val="bottom"/>
            <w:hideMark/>
          </w:tcPr>
          <w:p w14:paraId="7B3296C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173,746</w:t>
            </w:r>
          </w:p>
        </w:tc>
        <w:tc>
          <w:tcPr>
            <w:tcW w:w="1181" w:type="dxa"/>
            <w:tcBorders>
              <w:top w:val="nil"/>
              <w:left w:val="nil"/>
              <w:bottom w:val="nil"/>
              <w:right w:val="nil"/>
            </w:tcBorders>
            <w:shd w:val="clear" w:color="auto" w:fill="auto"/>
            <w:noWrap/>
            <w:vAlign w:val="bottom"/>
            <w:hideMark/>
          </w:tcPr>
          <w:p w14:paraId="5ED050C0"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31907D17" w14:textId="77777777" w:rsidTr="005245E4">
        <w:trPr>
          <w:trHeight w:val="260"/>
        </w:trPr>
        <w:tc>
          <w:tcPr>
            <w:tcW w:w="1096" w:type="dxa"/>
            <w:tcBorders>
              <w:top w:val="nil"/>
              <w:left w:val="nil"/>
              <w:bottom w:val="nil"/>
              <w:right w:val="nil"/>
            </w:tcBorders>
            <w:shd w:val="clear" w:color="000000" w:fill="D9D9D9"/>
            <w:noWrap/>
            <w:vAlign w:val="bottom"/>
            <w:hideMark/>
          </w:tcPr>
          <w:p w14:paraId="137B0588"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4/30/21</w:t>
            </w:r>
          </w:p>
        </w:tc>
        <w:tc>
          <w:tcPr>
            <w:tcW w:w="1409" w:type="dxa"/>
            <w:tcBorders>
              <w:top w:val="nil"/>
              <w:left w:val="nil"/>
              <w:bottom w:val="nil"/>
              <w:right w:val="nil"/>
            </w:tcBorders>
            <w:shd w:val="clear" w:color="000000" w:fill="D9D9D9"/>
            <w:noWrap/>
            <w:vAlign w:val="bottom"/>
            <w:hideMark/>
          </w:tcPr>
          <w:p w14:paraId="718FE59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211,248</w:t>
            </w:r>
          </w:p>
        </w:tc>
        <w:tc>
          <w:tcPr>
            <w:tcW w:w="1181" w:type="dxa"/>
            <w:tcBorders>
              <w:top w:val="nil"/>
              <w:left w:val="nil"/>
              <w:bottom w:val="nil"/>
              <w:right w:val="nil"/>
            </w:tcBorders>
            <w:shd w:val="clear" w:color="000000" w:fill="D9D9D9"/>
            <w:noWrap/>
            <w:vAlign w:val="bottom"/>
            <w:hideMark/>
          </w:tcPr>
          <w:p w14:paraId="3867614B"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158,187</w:t>
            </w:r>
          </w:p>
        </w:tc>
        <w:tc>
          <w:tcPr>
            <w:tcW w:w="1356" w:type="dxa"/>
            <w:tcBorders>
              <w:top w:val="nil"/>
              <w:left w:val="nil"/>
              <w:bottom w:val="nil"/>
              <w:right w:val="nil"/>
            </w:tcBorders>
            <w:shd w:val="clear" w:color="000000" w:fill="D9D9D9"/>
            <w:noWrap/>
            <w:vAlign w:val="bottom"/>
            <w:hideMark/>
          </w:tcPr>
          <w:p w14:paraId="710C3DE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159,977</w:t>
            </w:r>
          </w:p>
        </w:tc>
        <w:tc>
          <w:tcPr>
            <w:tcW w:w="1356" w:type="dxa"/>
            <w:tcBorders>
              <w:top w:val="nil"/>
              <w:left w:val="nil"/>
              <w:bottom w:val="nil"/>
              <w:right w:val="nil"/>
            </w:tcBorders>
            <w:shd w:val="clear" w:color="000000" w:fill="D9D9D9"/>
            <w:noWrap/>
            <w:vAlign w:val="bottom"/>
            <w:hideMark/>
          </w:tcPr>
          <w:p w14:paraId="7DAFC7F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167,424</w:t>
            </w:r>
          </w:p>
        </w:tc>
        <w:tc>
          <w:tcPr>
            <w:tcW w:w="1181" w:type="dxa"/>
            <w:tcBorders>
              <w:top w:val="nil"/>
              <w:left w:val="nil"/>
              <w:bottom w:val="nil"/>
              <w:right w:val="nil"/>
            </w:tcBorders>
            <w:shd w:val="clear" w:color="000000" w:fill="D9D9D9"/>
            <w:noWrap/>
            <w:vAlign w:val="bottom"/>
            <w:hideMark/>
          </w:tcPr>
          <w:p w14:paraId="5B9660A9"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192,090</w:t>
            </w:r>
          </w:p>
        </w:tc>
        <w:tc>
          <w:tcPr>
            <w:tcW w:w="1181" w:type="dxa"/>
            <w:tcBorders>
              <w:top w:val="nil"/>
              <w:left w:val="nil"/>
              <w:bottom w:val="nil"/>
              <w:right w:val="nil"/>
            </w:tcBorders>
            <w:shd w:val="clear" w:color="000000" w:fill="D9D9D9"/>
            <w:noWrap/>
            <w:vAlign w:val="bottom"/>
            <w:hideMark/>
          </w:tcPr>
          <w:p w14:paraId="330713D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211,248</w:t>
            </w:r>
          </w:p>
        </w:tc>
      </w:tr>
      <w:tr w:rsidR="005245E4" w:rsidRPr="005245E4" w14:paraId="768DB4CE" w14:textId="77777777" w:rsidTr="005245E4">
        <w:trPr>
          <w:trHeight w:val="260"/>
        </w:trPr>
        <w:tc>
          <w:tcPr>
            <w:tcW w:w="1096" w:type="dxa"/>
            <w:tcBorders>
              <w:top w:val="nil"/>
              <w:left w:val="nil"/>
              <w:bottom w:val="nil"/>
              <w:right w:val="nil"/>
            </w:tcBorders>
            <w:shd w:val="clear" w:color="auto" w:fill="auto"/>
            <w:noWrap/>
            <w:vAlign w:val="bottom"/>
            <w:hideMark/>
          </w:tcPr>
          <w:p w14:paraId="0F1BA35D"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5/15/21</w:t>
            </w:r>
          </w:p>
        </w:tc>
        <w:tc>
          <w:tcPr>
            <w:tcW w:w="1409" w:type="dxa"/>
            <w:tcBorders>
              <w:top w:val="nil"/>
              <w:left w:val="nil"/>
              <w:bottom w:val="nil"/>
              <w:right w:val="nil"/>
            </w:tcBorders>
            <w:shd w:val="clear" w:color="auto" w:fill="auto"/>
            <w:noWrap/>
            <w:vAlign w:val="bottom"/>
            <w:hideMark/>
          </w:tcPr>
          <w:p w14:paraId="3256EF9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269,728</w:t>
            </w:r>
          </w:p>
        </w:tc>
        <w:tc>
          <w:tcPr>
            <w:tcW w:w="1181" w:type="dxa"/>
            <w:tcBorders>
              <w:top w:val="nil"/>
              <w:left w:val="nil"/>
              <w:bottom w:val="nil"/>
              <w:right w:val="nil"/>
            </w:tcBorders>
            <w:shd w:val="clear" w:color="auto" w:fill="auto"/>
            <w:noWrap/>
            <w:vAlign w:val="bottom"/>
            <w:hideMark/>
          </w:tcPr>
          <w:p w14:paraId="4C33492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158,752</w:t>
            </w:r>
          </w:p>
        </w:tc>
        <w:tc>
          <w:tcPr>
            <w:tcW w:w="1356" w:type="dxa"/>
            <w:tcBorders>
              <w:top w:val="nil"/>
              <w:left w:val="nil"/>
              <w:bottom w:val="nil"/>
              <w:right w:val="nil"/>
            </w:tcBorders>
            <w:shd w:val="clear" w:color="auto" w:fill="auto"/>
            <w:noWrap/>
            <w:vAlign w:val="bottom"/>
            <w:hideMark/>
          </w:tcPr>
          <w:p w14:paraId="668A455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161,032</w:t>
            </w:r>
          </w:p>
        </w:tc>
        <w:tc>
          <w:tcPr>
            <w:tcW w:w="1356" w:type="dxa"/>
            <w:tcBorders>
              <w:top w:val="nil"/>
              <w:left w:val="nil"/>
              <w:bottom w:val="nil"/>
              <w:right w:val="nil"/>
            </w:tcBorders>
            <w:shd w:val="clear" w:color="auto" w:fill="auto"/>
            <w:noWrap/>
            <w:vAlign w:val="bottom"/>
            <w:hideMark/>
          </w:tcPr>
          <w:p w14:paraId="619220B2"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173,063</w:t>
            </w:r>
          </w:p>
        </w:tc>
        <w:tc>
          <w:tcPr>
            <w:tcW w:w="1181" w:type="dxa"/>
            <w:tcBorders>
              <w:top w:val="nil"/>
              <w:left w:val="nil"/>
              <w:bottom w:val="nil"/>
              <w:right w:val="nil"/>
            </w:tcBorders>
            <w:shd w:val="clear" w:color="auto" w:fill="auto"/>
            <w:noWrap/>
            <w:vAlign w:val="bottom"/>
            <w:hideMark/>
          </w:tcPr>
          <w:p w14:paraId="3DFD3890"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232,710</w:t>
            </w:r>
          </w:p>
        </w:tc>
        <w:tc>
          <w:tcPr>
            <w:tcW w:w="1181" w:type="dxa"/>
            <w:tcBorders>
              <w:top w:val="nil"/>
              <w:left w:val="nil"/>
              <w:bottom w:val="nil"/>
              <w:right w:val="nil"/>
            </w:tcBorders>
            <w:shd w:val="clear" w:color="auto" w:fill="auto"/>
            <w:noWrap/>
            <w:vAlign w:val="bottom"/>
            <w:hideMark/>
          </w:tcPr>
          <w:p w14:paraId="366FB55E"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307,540</w:t>
            </w:r>
          </w:p>
        </w:tc>
      </w:tr>
      <w:tr w:rsidR="005245E4" w:rsidRPr="005245E4" w14:paraId="02A8E9F6" w14:textId="77777777" w:rsidTr="005245E4">
        <w:trPr>
          <w:trHeight w:val="260"/>
        </w:trPr>
        <w:tc>
          <w:tcPr>
            <w:tcW w:w="1096" w:type="dxa"/>
            <w:tcBorders>
              <w:top w:val="nil"/>
              <w:left w:val="nil"/>
              <w:bottom w:val="nil"/>
              <w:right w:val="nil"/>
            </w:tcBorders>
            <w:shd w:val="clear" w:color="auto" w:fill="auto"/>
            <w:noWrap/>
            <w:vAlign w:val="bottom"/>
            <w:hideMark/>
          </w:tcPr>
          <w:p w14:paraId="355E44FD" w14:textId="77777777" w:rsidR="005245E4" w:rsidRPr="005245E4" w:rsidRDefault="005245E4" w:rsidP="005245E4">
            <w:pPr>
              <w:jc w:val="center"/>
              <w:rPr>
                <w:rFonts w:ascii="Arial" w:eastAsia="Times New Roman" w:hAnsi="Arial" w:cs="Arial"/>
                <w:color w:val="000000"/>
                <w:sz w:val="20"/>
                <w:szCs w:val="20"/>
              </w:rPr>
            </w:pPr>
          </w:p>
        </w:tc>
        <w:tc>
          <w:tcPr>
            <w:tcW w:w="1409" w:type="dxa"/>
            <w:tcBorders>
              <w:top w:val="nil"/>
              <w:left w:val="nil"/>
              <w:bottom w:val="nil"/>
              <w:right w:val="nil"/>
            </w:tcBorders>
            <w:shd w:val="clear" w:color="auto" w:fill="auto"/>
            <w:noWrap/>
            <w:vAlign w:val="bottom"/>
            <w:hideMark/>
          </w:tcPr>
          <w:p w14:paraId="7C896504" w14:textId="77777777" w:rsidR="005245E4" w:rsidRPr="005245E4" w:rsidRDefault="005245E4" w:rsidP="005245E4">
            <w:pPr>
              <w:rPr>
                <w:rFonts w:ascii="Times New Roman" w:eastAsia="Times New Roman" w:hAnsi="Times New Roman" w:cs="Times New Roman"/>
                <w:sz w:val="20"/>
                <w:szCs w:val="20"/>
              </w:rPr>
            </w:pPr>
          </w:p>
        </w:tc>
        <w:tc>
          <w:tcPr>
            <w:tcW w:w="6255" w:type="dxa"/>
            <w:gridSpan w:val="5"/>
            <w:tcBorders>
              <w:top w:val="nil"/>
              <w:left w:val="nil"/>
              <w:bottom w:val="single" w:sz="4" w:space="0" w:color="auto"/>
              <w:right w:val="nil"/>
            </w:tcBorders>
            <w:shd w:val="clear" w:color="auto" w:fill="auto"/>
            <w:noWrap/>
            <w:vAlign w:val="bottom"/>
            <w:hideMark/>
          </w:tcPr>
          <w:p w14:paraId="3DF532C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Deaths averted</w:t>
            </w:r>
          </w:p>
        </w:tc>
      </w:tr>
      <w:tr w:rsidR="005245E4" w:rsidRPr="005245E4" w14:paraId="58CED0B2" w14:textId="77777777" w:rsidTr="005245E4">
        <w:trPr>
          <w:trHeight w:val="260"/>
        </w:trPr>
        <w:tc>
          <w:tcPr>
            <w:tcW w:w="1096" w:type="dxa"/>
            <w:tcBorders>
              <w:top w:val="nil"/>
              <w:left w:val="nil"/>
              <w:bottom w:val="nil"/>
              <w:right w:val="nil"/>
            </w:tcBorders>
            <w:shd w:val="clear" w:color="000000" w:fill="D9D9D9"/>
            <w:noWrap/>
            <w:vAlign w:val="bottom"/>
            <w:hideMark/>
          </w:tcPr>
          <w:p w14:paraId="25243FA9"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3/1/21</w:t>
            </w:r>
          </w:p>
        </w:tc>
        <w:tc>
          <w:tcPr>
            <w:tcW w:w="1409" w:type="dxa"/>
            <w:tcBorders>
              <w:top w:val="nil"/>
              <w:left w:val="nil"/>
              <w:bottom w:val="nil"/>
              <w:right w:val="nil"/>
            </w:tcBorders>
            <w:shd w:val="clear" w:color="000000" w:fill="D9D9D9"/>
            <w:noWrap/>
            <w:vAlign w:val="bottom"/>
            <w:hideMark/>
          </w:tcPr>
          <w:p w14:paraId="7AAB0033"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156,695</w:t>
            </w:r>
          </w:p>
        </w:tc>
        <w:tc>
          <w:tcPr>
            <w:tcW w:w="1181" w:type="dxa"/>
            <w:tcBorders>
              <w:top w:val="nil"/>
              <w:left w:val="nil"/>
              <w:bottom w:val="nil"/>
              <w:right w:val="nil"/>
            </w:tcBorders>
            <w:shd w:val="clear" w:color="000000" w:fill="D9D9D9"/>
            <w:noWrap/>
            <w:vAlign w:val="bottom"/>
            <w:hideMark/>
          </w:tcPr>
          <w:p w14:paraId="0D33922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0</w:t>
            </w:r>
          </w:p>
        </w:tc>
        <w:tc>
          <w:tcPr>
            <w:tcW w:w="1356" w:type="dxa"/>
            <w:tcBorders>
              <w:top w:val="nil"/>
              <w:left w:val="nil"/>
              <w:bottom w:val="nil"/>
              <w:right w:val="nil"/>
            </w:tcBorders>
            <w:shd w:val="clear" w:color="000000" w:fill="D9D9D9"/>
            <w:noWrap/>
            <w:vAlign w:val="bottom"/>
            <w:hideMark/>
          </w:tcPr>
          <w:p w14:paraId="0E7A8BC2"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356" w:type="dxa"/>
            <w:tcBorders>
              <w:top w:val="nil"/>
              <w:left w:val="nil"/>
              <w:bottom w:val="nil"/>
              <w:right w:val="nil"/>
            </w:tcBorders>
            <w:shd w:val="clear" w:color="000000" w:fill="D9D9D9"/>
            <w:noWrap/>
            <w:vAlign w:val="bottom"/>
            <w:hideMark/>
          </w:tcPr>
          <w:p w14:paraId="0E503DB0"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000000" w:fill="D9D9D9"/>
            <w:noWrap/>
            <w:vAlign w:val="bottom"/>
            <w:hideMark/>
          </w:tcPr>
          <w:p w14:paraId="375B42DC"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000000" w:fill="D9D9D9"/>
            <w:noWrap/>
            <w:vAlign w:val="bottom"/>
            <w:hideMark/>
          </w:tcPr>
          <w:p w14:paraId="4320B50F"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7B9A76B5" w14:textId="77777777" w:rsidTr="005245E4">
        <w:trPr>
          <w:trHeight w:val="260"/>
        </w:trPr>
        <w:tc>
          <w:tcPr>
            <w:tcW w:w="1096" w:type="dxa"/>
            <w:tcBorders>
              <w:top w:val="nil"/>
              <w:left w:val="nil"/>
              <w:bottom w:val="nil"/>
              <w:right w:val="nil"/>
            </w:tcBorders>
            <w:shd w:val="clear" w:color="auto" w:fill="auto"/>
            <w:noWrap/>
            <w:vAlign w:val="bottom"/>
            <w:hideMark/>
          </w:tcPr>
          <w:p w14:paraId="11292B1D"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3/15/21</w:t>
            </w:r>
          </w:p>
        </w:tc>
        <w:tc>
          <w:tcPr>
            <w:tcW w:w="1409" w:type="dxa"/>
            <w:tcBorders>
              <w:top w:val="nil"/>
              <w:left w:val="nil"/>
              <w:bottom w:val="nil"/>
              <w:right w:val="nil"/>
            </w:tcBorders>
            <w:shd w:val="clear" w:color="auto" w:fill="auto"/>
            <w:noWrap/>
            <w:vAlign w:val="bottom"/>
            <w:hideMark/>
          </w:tcPr>
          <w:p w14:paraId="7367A0F8"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158,301</w:t>
            </w:r>
          </w:p>
        </w:tc>
        <w:tc>
          <w:tcPr>
            <w:tcW w:w="1181" w:type="dxa"/>
            <w:tcBorders>
              <w:top w:val="nil"/>
              <w:left w:val="nil"/>
              <w:bottom w:val="nil"/>
              <w:right w:val="nil"/>
            </w:tcBorders>
            <w:shd w:val="clear" w:color="auto" w:fill="auto"/>
            <w:noWrap/>
            <w:vAlign w:val="bottom"/>
            <w:hideMark/>
          </w:tcPr>
          <w:p w14:paraId="6997351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1,131</w:t>
            </w:r>
          </w:p>
        </w:tc>
        <w:tc>
          <w:tcPr>
            <w:tcW w:w="1356" w:type="dxa"/>
            <w:tcBorders>
              <w:top w:val="nil"/>
              <w:left w:val="nil"/>
              <w:bottom w:val="nil"/>
              <w:right w:val="nil"/>
            </w:tcBorders>
            <w:shd w:val="clear" w:color="auto" w:fill="auto"/>
            <w:noWrap/>
            <w:vAlign w:val="bottom"/>
            <w:hideMark/>
          </w:tcPr>
          <w:p w14:paraId="68DC9BE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0</w:t>
            </w:r>
          </w:p>
        </w:tc>
        <w:tc>
          <w:tcPr>
            <w:tcW w:w="1356" w:type="dxa"/>
            <w:tcBorders>
              <w:top w:val="nil"/>
              <w:left w:val="nil"/>
              <w:bottom w:val="nil"/>
              <w:right w:val="nil"/>
            </w:tcBorders>
            <w:shd w:val="clear" w:color="auto" w:fill="auto"/>
            <w:noWrap/>
            <w:vAlign w:val="bottom"/>
            <w:hideMark/>
          </w:tcPr>
          <w:p w14:paraId="7254EF7C"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auto" w:fill="auto"/>
            <w:noWrap/>
            <w:vAlign w:val="bottom"/>
            <w:hideMark/>
          </w:tcPr>
          <w:p w14:paraId="3F7465B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auto" w:fill="auto"/>
            <w:noWrap/>
            <w:vAlign w:val="bottom"/>
            <w:hideMark/>
          </w:tcPr>
          <w:p w14:paraId="6F6E756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2922344E" w14:textId="77777777" w:rsidTr="005245E4">
        <w:trPr>
          <w:trHeight w:val="260"/>
        </w:trPr>
        <w:tc>
          <w:tcPr>
            <w:tcW w:w="1096" w:type="dxa"/>
            <w:tcBorders>
              <w:top w:val="nil"/>
              <w:left w:val="nil"/>
              <w:bottom w:val="nil"/>
              <w:right w:val="nil"/>
            </w:tcBorders>
            <w:shd w:val="clear" w:color="000000" w:fill="D9D9D9"/>
            <w:noWrap/>
            <w:vAlign w:val="bottom"/>
            <w:hideMark/>
          </w:tcPr>
          <w:p w14:paraId="6FC907D8"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3/30/21</w:t>
            </w:r>
          </w:p>
        </w:tc>
        <w:tc>
          <w:tcPr>
            <w:tcW w:w="1409" w:type="dxa"/>
            <w:tcBorders>
              <w:top w:val="nil"/>
              <w:left w:val="nil"/>
              <w:bottom w:val="nil"/>
              <w:right w:val="nil"/>
            </w:tcBorders>
            <w:shd w:val="clear" w:color="000000" w:fill="D9D9D9"/>
            <w:noWrap/>
            <w:vAlign w:val="bottom"/>
            <w:hideMark/>
          </w:tcPr>
          <w:p w14:paraId="0E3EE0AF"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161,911</w:t>
            </w:r>
          </w:p>
        </w:tc>
        <w:tc>
          <w:tcPr>
            <w:tcW w:w="1181" w:type="dxa"/>
            <w:tcBorders>
              <w:top w:val="nil"/>
              <w:left w:val="nil"/>
              <w:bottom w:val="nil"/>
              <w:right w:val="nil"/>
            </w:tcBorders>
            <w:shd w:val="clear" w:color="000000" w:fill="D9D9D9"/>
            <w:noWrap/>
            <w:vAlign w:val="bottom"/>
            <w:hideMark/>
          </w:tcPr>
          <w:p w14:paraId="1D3E4CC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4,473</w:t>
            </w:r>
          </w:p>
        </w:tc>
        <w:tc>
          <w:tcPr>
            <w:tcW w:w="1356" w:type="dxa"/>
            <w:tcBorders>
              <w:top w:val="nil"/>
              <w:left w:val="nil"/>
              <w:bottom w:val="nil"/>
              <w:right w:val="nil"/>
            </w:tcBorders>
            <w:shd w:val="clear" w:color="000000" w:fill="D9D9D9"/>
            <w:noWrap/>
            <w:vAlign w:val="bottom"/>
            <w:hideMark/>
          </w:tcPr>
          <w:p w14:paraId="7A133DE9"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3,172</w:t>
            </w:r>
          </w:p>
        </w:tc>
        <w:tc>
          <w:tcPr>
            <w:tcW w:w="1356" w:type="dxa"/>
            <w:tcBorders>
              <w:top w:val="nil"/>
              <w:left w:val="nil"/>
              <w:bottom w:val="nil"/>
              <w:right w:val="nil"/>
            </w:tcBorders>
            <w:shd w:val="clear" w:color="000000" w:fill="D9D9D9"/>
            <w:noWrap/>
            <w:vAlign w:val="bottom"/>
            <w:hideMark/>
          </w:tcPr>
          <w:p w14:paraId="4F3AFD8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0</w:t>
            </w:r>
          </w:p>
        </w:tc>
        <w:tc>
          <w:tcPr>
            <w:tcW w:w="1181" w:type="dxa"/>
            <w:tcBorders>
              <w:top w:val="nil"/>
              <w:left w:val="nil"/>
              <w:bottom w:val="nil"/>
              <w:right w:val="nil"/>
            </w:tcBorders>
            <w:shd w:val="clear" w:color="000000" w:fill="D9D9D9"/>
            <w:noWrap/>
            <w:vAlign w:val="bottom"/>
            <w:hideMark/>
          </w:tcPr>
          <w:p w14:paraId="251CA41F"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c>
          <w:tcPr>
            <w:tcW w:w="1181" w:type="dxa"/>
            <w:tcBorders>
              <w:top w:val="nil"/>
              <w:left w:val="nil"/>
              <w:bottom w:val="nil"/>
              <w:right w:val="nil"/>
            </w:tcBorders>
            <w:shd w:val="clear" w:color="000000" w:fill="D9D9D9"/>
            <w:noWrap/>
            <w:vAlign w:val="bottom"/>
            <w:hideMark/>
          </w:tcPr>
          <w:p w14:paraId="56D0F3B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746A6D2C" w14:textId="77777777" w:rsidTr="005245E4">
        <w:trPr>
          <w:trHeight w:val="260"/>
        </w:trPr>
        <w:tc>
          <w:tcPr>
            <w:tcW w:w="1096" w:type="dxa"/>
            <w:tcBorders>
              <w:top w:val="nil"/>
              <w:left w:val="nil"/>
              <w:bottom w:val="nil"/>
              <w:right w:val="nil"/>
            </w:tcBorders>
            <w:shd w:val="clear" w:color="auto" w:fill="auto"/>
            <w:noWrap/>
            <w:vAlign w:val="bottom"/>
            <w:hideMark/>
          </w:tcPr>
          <w:p w14:paraId="203D6E1A"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4/15/21</w:t>
            </w:r>
          </w:p>
        </w:tc>
        <w:tc>
          <w:tcPr>
            <w:tcW w:w="1409" w:type="dxa"/>
            <w:tcBorders>
              <w:top w:val="nil"/>
              <w:left w:val="nil"/>
              <w:bottom w:val="nil"/>
              <w:right w:val="nil"/>
            </w:tcBorders>
            <w:shd w:val="clear" w:color="auto" w:fill="auto"/>
            <w:noWrap/>
            <w:vAlign w:val="bottom"/>
            <w:hideMark/>
          </w:tcPr>
          <w:p w14:paraId="6FB5A62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173,746</w:t>
            </w:r>
          </w:p>
        </w:tc>
        <w:tc>
          <w:tcPr>
            <w:tcW w:w="1181" w:type="dxa"/>
            <w:tcBorders>
              <w:top w:val="nil"/>
              <w:left w:val="nil"/>
              <w:bottom w:val="nil"/>
              <w:right w:val="nil"/>
            </w:tcBorders>
            <w:shd w:val="clear" w:color="auto" w:fill="auto"/>
            <w:noWrap/>
            <w:vAlign w:val="bottom"/>
            <w:hideMark/>
          </w:tcPr>
          <w:p w14:paraId="26B3DD5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15,967</w:t>
            </w:r>
          </w:p>
        </w:tc>
        <w:tc>
          <w:tcPr>
            <w:tcW w:w="1356" w:type="dxa"/>
            <w:tcBorders>
              <w:top w:val="nil"/>
              <w:left w:val="nil"/>
              <w:bottom w:val="nil"/>
              <w:right w:val="nil"/>
            </w:tcBorders>
            <w:shd w:val="clear" w:color="auto" w:fill="auto"/>
            <w:noWrap/>
            <w:vAlign w:val="bottom"/>
            <w:hideMark/>
          </w:tcPr>
          <w:p w14:paraId="5D3E3A46"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14,456</w:t>
            </w:r>
          </w:p>
        </w:tc>
        <w:tc>
          <w:tcPr>
            <w:tcW w:w="1356" w:type="dxa"/>
            <w:tcBorders>
              <w:top w:val="nil"/>
              <w:left w:val="nil"/>
              <w:bottom w:val="nil"/>
              <w:right w:val="nil"/>
            </w:tcBorders>
            <w:shd w:val="clear" w:color="auto" w:fill="auto"/>
            <w:noWrap/>
            <w:vAlign w:val="bottom"/>
            <w:hideMark/>
          </w:tcPr>
          <w:p w14:paraId="374E851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9,634</w:t>
            </w:r>
          </w:p>
        </w:tc>
        <w:tc>
          <w:tcPr>
            <w:tcW w:w="1181" w:type="dxa"/>
            <w:tcBorders>
              <w:top w:val="nil"/>
              <w:left w:val="nil"/>
              <w:bottom w:val="nil"/>
              <w:right w:val="nil"/>
            </w:tcBorders>
            <w:shd w:val="clear" w:color="auto" w:fill="auto"/>
            <w:noWrap/>
            <w:vAlign w:val="bottom"/>
            <w:hideMark/>
          </w:tcPr>
          <w:p w14:paraId="5A53BDC2"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0</w:t>
            </w:r>
          </w:p>
        </w:tc>
        <w:tc>
          <w:tcPr>
            <w:tcW w:w="1181" w:type="dxa"/>
            <w:tcBorders>
              <w:top w:val="nil"/>
              <w:left w:val="nil"/>
              <w:bottom w:val="nil"/>
              <w:right w:val="nil"/>
            </w:tcBorders>
            <w:shd w:val="clear" w:color="auto" w:fill="auto"/>
            <w:noWrap/>
            <w:vAlign w:val="bottom"/>
            <w:hideMark/>
          </w:tcPr>
          <w:p w14:paraId="59A39A7C"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w:t>
            </w:r>
          </w:p>
        </w:tc>
      </w:tr>
      <w:tr w:rsidR="005245E4" w:rsidRPr="005245E4" w14:paraId="2448F257" w14:textId="77777777" w:rsidTr="005245E4">
        <w:trPr>
          <w:trHeight w:val="260"/>
        </w:trPr>
        <w:tc>
          <w:tcPr>
            <w:tcW w:w="1096" w:type="dxa"/>
            <w:tcBorders>
              <w:top w:val="nil"/>
              <w:left w:val="nil"/>
              <w:bottom w:val="nil"/>
              <w:right w:val="nil"/>
            </w:tcBorders>
            <w:shd w:val="clear" w:color="000000" w:fill="D9D9D9"/>
            <w:noWrap/>
            <w:vAlign w:val="bottom"/>
            <w:hideMark/>
          </w:tcPr>
          <w:p w14:paraId="31EB20EE"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4/30/21</w:t>
            </w:r>
          </w:p>
        </w:tc>
        <w:tc>
          <w:tcPr>
            <w:tcW w:w="1409" w:type="dxa"/>
            <w:tcBorders>
              <w:top w:val="nil"/>
              <w:left w:val="nil"/>
              <w:bottom w:val="nil"/>
              <w:right w:val="nil"/>
            </w:tcBorders>
            <w:shd w:val="clear" w:color="000000" w:fill="D9D9D9"/>
            <w:noWrap/>
            <w:vAlign w:val="bottom"/>
            <w:hideMark/>
          </w:tcPr>
          <w:p w14:paraId="245B0C53"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211,248</w:t>
            </w:r>
          </w:p>
        </w:tc>
        <w:tc>
          <w:tcPr>
            <w:tcW w:w="1181" w:type="dxa"/>
            <w:tcBorders>
              <w:top w:val="nil"/>
              <w:left w:val="nil"/>
              <w:bottom w:val="nil"/>
              <w:right w:val="nil"/>
            </w:tcBorders>
            <w:shd w:val="clear" w:color="000000" w:fill="D9D9D9"/>
            <w:noWrap/>
            <w:vAlign w:val="bottom"/>
            <w:hideMark/>
          </w:tcPr>
          <w:p w14:paraId="53F49907"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53,061</w:t>
            </w:r>
          </w:p>
        </w:tc>
        <w:tc>
          <w:tcPr>
            <w:tcW w:w="1356" w:type="dxa"/>
            <w:tcBorders>
              <w:top w:val="nil"/>
              <w:left w:val="nil"/>
              <w:bottom w:val="nil"/>
              <w:right w:val="nil"/>
            </w:tcBorders>
            <w:shd w:val="clear" w:color="000000" w:fill="D9D9D9"/>
            <w:noWrap/>
            <w:vAlign w:val="bottom"/>
            <w:hideMark/>
          </w:tcPr>
          <w:p w14:paraId="699F8951"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51,271</w:t>
            </w:r>
          </w:p>
        </w:tc>
        <w:tc>
          <w:tcPr>
            <w:tcW w:w="1356" w:type="dxa"/>
            <w:tcBorders>
              <w:top w:val="nil"/>
              <w:left w:val="nil"/>
              <w:bottom w:val="nil"/>
              <w:right w:val="nil"/>
            </w:tcBorders>
            <w:shd w:val="clear" w:color="000000" w:fill="D9D9D9"/>
            <w:noWrap/>
            <w:vAlign w:val="bottom"/>
            <w:hideMark/>
          </w:tcPr>
          <w:p w14:paraId="2863D838"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43,824</w:t>
            </w:r>
          </w:p>
        </w:tc>
        <w:tc>
          <w:tcPr>
            <w:tcW w:w="1181" w:type="dxa"/>
            <w:tcBorders>
              <w:top w:val="nil"/>
              <w:left w:val="nil"/>
              <w:bottom w:val="nil"/>
              <w:right w:val="nil"/>
            </w:tcBorders>
            <w:shd w:val="clear" w:color="000000" w:fill="D9D9D9"/>
            <w:noWrap/>
            <w:vAlign w:val="bottom"/>
            <w:hideMark/>
          </w:tcPr>
          <w:p w14:paraId="196AB67C"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19,158</w:t>
            </w:r>
          </w:p>
        </w:tc>
        <w:tc>
          <w:tcPr>
            <w:tcW w:w="1181" w:type="dxa"/>
            <w:tcBorders>
              <w:top w:val="nil"/>
              <w:left w:val="nil"/>
              <w:bottom w:val="nil"/>
              <w:right w:val="nil"/>
            </w:tcBorders>
            <w:shd w:val="clear" w:color="000000" w:fill="D9D9D9"/>
            <w:noWrap/>
            <w:vAlign w:val="bottom"/>
            <w:hideMark/>
          </w:tcPr>
          <w:p w14:paraId="2DE77A3B"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0</w:t>
            </w:r>
          </w:p>
        </w:tc>
      </w:tr>
      <w:tr w:rsidR="005245E4" w:rsidRPr="005245E4" w14:paraId="760C0523" w14:textId="77777777" w:rsidTr="005245E4">
        <w:trPr>
          <w:trHeight w:val="260"/>
        </w:trPr>
        <w:tc>
          <w:tcPr>
            <w:tcW w:w="1096" w:type="dxa"/>
            <w:tcBorders>
              <w:top w:val="nil"/>
              <w:left w:val="nil"/>
              <w:bottom w:val="nil"/>
              <w:right w:val="nil"/>
            </w:tcBorders>
            <w:shd w:val="clear" w:color="auto" w:fill="auto"/>
            <w:noWrap/>
            <w:vAlign w:val="bottom"/>
            <w:hideMark/>
          </w:tcPr>
          <w:p w14:paraId="1D85C355" w14:textId="77777777" w:rsidR="005245E4" w:rsidRPr="005245E4" w:rsidRDefault="005245E4" w:rsidP="005245E4">
            <w:pPr>
              <w:jc w:val="right"/>
              <w:rPr>
                <w:rFonts w:ascii="Arial" w:eastAsia="Times New Roman" w:hAnsi="Arial" w:cs="Arial"/>
                <w:color w:val="000000"/>
                <w:sz w:val="20"/>
                <w:szCs w:val="20"/>
              </w:rPr>
            </w:pPr>
            <w:r w:rsidRPr="005245E4">
              <w:rPr>
                <w:rFonts w:ascii="Arial" w:eastAsia="Times New Roman" w:hAnsi="Arial" w:cs="Arial"/>
                <w:color w:val="000000"/>
                <w:sz w:val="20"/>
                <w:szCs w:val="20"/>
              </w:rPr>
              <w:t>5/15/21</w:t>
            </w:r>
          </w:p>
        </w:tc>
        <w:tc>
          <w:tcPr>
            <w:tcW w:w="1409" w:type="dxa"/>
            <w:tcBorders>
              <w:top w:val="nil"/>
              <w:left w:val="nil"/>
              <w:bottom w:val="nil"/>
              <w:right w:val="nil"/>
            </w:tcBorders>
            <w:shd w:val="clear" w:color="auto" w:fill="auto"/>
            <w:noWrap/>
            <w:vAlign w:val="bottom"/>
            <w:hideMark/>
          </w:tcPr>
          <w:p w14:paraId="2FA3518C"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269,728</w:t>
            </w:r>
          </w:p>
        </w:tc>
        <w:tc>
          <w:tcPr>
            <w:tcW w:w="1181" w:type="dxa"/>
            <w:tcBorders>
              <w:top w:val="nil"/>
              <w:left w:val="nil"/>
              <w:bottom w:val="nil"/>
              <w:right w:val="nil"/>
            </w:tcBorders>
            <w:shd w:val="clear" w:color="auto" w:fill="auto"/>
            <w:noWrap/>
            <w:vAlign w:val="bottom"/>
            <w:hideMark/>
          </w:tcPr>
          <w:p w14:paraId="277C2E2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110,976</w:t>
            </w:r>
          </w:p>
        </w:tc>
        <w:tc>
          <w:tcPr>
            <w:tcW w:w="1356" w:type="dxa"/>
            <w:tcBorders>
              <w:top w:val="nil"/>
              <w:left w:val="nil"/>
              <w:bottom w:val="nil"/>
              <w:right w:val="nil"/>
            </w:tcBorders>
            <w:shd w:val="clear" w:color="auto" w:fill="auto"/>
            <w:noWrap/>
            <w:vAlign w:val="bottom"/>
            <w:hideMark/>
          </w:tcPr>
          <w:p w14:paraId="62030374"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108,696</w:t>
            </w:r>
          </w:p>
        </w:tc>
        <w:tc>
          <w:tcPr>
            <w:tcW w:w="1356" w:type="dxa"/>
            <w:tcBorders>
              <w:top w:val="nil"/>
              <w:left w:val="nil"/>
              <w:bottom w:val="nil"/>
              <w:right w:val="nil"/>
            </w:tcBorders>
            <w:shd w:val="clear" w:color="auto" w:fill="auto"/>
            <w:noWrap/>
            <w:vAlign w:val="bottom"/>
            <w:hideMark/>
          </w:tcPr>
          <w:p w14:paraId="28A853F5"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96,665</w:t>
            </w:r>
          </w:p>
        </w:tc>
        <w:tc>
          <w:tcPr>
            <w:tcW w:w="1181" w:type="dxa"/>
            <w:tcBorders>
              <w:top w:val="nil"/>
              <w:left w:val="nil"/>
              <w:bottom w:val="nil"/>
              <w:right w:val="nil"/>
            </w:tcBorders>
            <w:shd w:val="clear" w:color="auto" w:fill="auto"/>
            <w:noWrap/>
            <w:vAlign w:val="bottom"/>
            <w:hideMark/>
          </w:tcPr>
          <w:p w14:paraId="5CA9972C"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37,018</w:t>
            </w:r>
          </w:p>
        </w:tc>
        <w:tc>
          <w:tcPr>
            <w:tcW w:w="1181" w:type="dxa"/>
            <w:tcBorders>
              <w:top w:val="nil"/>
              <w:left w:val="nil"/>
              <w:bottom w:val="nil"/>
              <w:right w:val="nil"/>
            </w:tcBorders>
            <w:shd w:val="clear" w:color="auto" w:fill="auto"/>
            <w:noWrap/>
            <w:vAlign w:val="bottom"/>
            <w:hideMark/>
          </w:tcPr>
          <w:p w14:paraId="71196386" w14:textId="77777777" w:rsidR="005245E4" w:rsidRPr="005245E4" w:rsidRDefault="005245E4" w:rsidP="005245E4">
            <w:pPr>
              <w:jc w:val="center"/>
              <w:rPr>
                <w:rFonts w:ascii="Arial" w:eastAsia="Times New Roman" w:hAnsi="Arial" w:cs="Arial"/>
                <w:color w:val="000000"/>
                <w:sz w:val="20"/>
                <w:szCs w:val="20"/>
              </w:rPr>
            </w:pPr>
            <w:r w:rsidRPr="005245E4">
              <w:rPr>
                <w:rFonts w:ascii="Arial" w:eastAsia="Times New Roman" w:hAnsi="Arial" w:cs="Arial"/>
                <w:color w:val="000000"/>
                <w:sz w:val="20"/>
                <w:szCs w:val="20"/>
              </w:rPr>
              <w:t>-37,812</w:t>
            </w:r>
          </w:p>
        </w:tc>
      </w:tr>
      <w:tr w:rsidR="005245E4" w:rsidRPr="005245E4" w14:paraId="6CEF611A" w14:textId="77777777" w:rsidTr="005245E4">
        <w:trPr>
          <w:trHeight w:val="640"/>
        </w:trPr>
        <w:tc>
          <w:tcPr>
            <w:tcW w:w="8760" w:type="dxa"/>
            <w:gridSpan w:val="7"/>
            <w:tcBorders>
              <w:top w:val="single" w:sz="4" w:space="0" w:color="auto"/>
              <w:left w:val="nil"/>
              <w:bottom w:val="nil"/>
              <w:right w:val="nil"/>
            </w:tcBorders>
            <w:shd w:val="clear" w:color="auto" w:fill="auto"/>
            <w:hideMark/>
          </w:tcPr>
          <w:p w14:paraId="462DFA7D" w14:textId="77777777" w:rsidR="005245E4" w:rsidRPr="005245E4" w:rsidRDefault="005245E4" w:rsidP="005245E4">
            <w:pPr>
              <w:rPr>
                <w:rFonts w:ascii="Arial" w:eastAsia="Times New Roman" w:hAnsi="Arial" w:cs="Arial"/>
                <w:color w:val="000000"/>
                <w:sz w:val="20"/>
                <w:szCs w:val="20"/>
              </w:rPr>
            </w:pPr>
            <w:r w:rsidRPr="005245E4">
              <w:rPr>
                <w:rFonts w:ascii="Arial" w:eastAsia="Times New Roman" w:hAnsi="Arial" w:cs="Arial"/>
                <w:color w:val="000000"/>
                <w:sz w:val="20"/>
                <w:szCs w:val="20"/>
              </w:rPr>
              <w:t>NOTE: Using observed trailing 7-day average CFRs.</w:t>
            </w:r>
            <w:r w:rsidRPr="005245E4">
              <w:rPr>
                <w:rFonts w:ascii="Arial" w:eastAsia="Times New Roman" w:hAnsi="Arial" w:cs="Arial"/>
                <w:color w:val="000000"/>
                <w:sz w:val="20"/>
                <w:szCs w:val="20"/>
              </w:rPr>
              <w:br/>
              <w:t>Abbrev: CFR, case-fatality rate</w:t>
            </w:r>
          </w:p>
        </w:tc>
      </w:tr>
    </w:tbl>
    <w:p w14:paraId="1338F318" w14:textId="77777777" w:rsidR="005245E4" w:rsidRDefault="005245E4" w:rsidP="007D547D">
      <w:pPr>
        <w:jc w:val="both"/>
      </w:pPr>
    </w:p>
    <w:p w14:paraId="4ACD5DB1" w14:textId="77777777" w:rsidR="005245E4" w:rsidRDefault="005245E4">
      <w:r>
        <w:br w:type="page"/>
      </w:r>
    </w:p>
    <w:tbl>
      <w:tblPr>
        <w:tblW w:w="9100" w:type="dxa"/>
        <w:tblLook w:val="04A0" w:firstRow="1" w:lastRow="0" w:firstColumn="1" w:lastColumn="0" w:noHBand="0" w:noVBand="1"/>
      </w:tblPr>
      <w:tblGrid>
        <w:gridCol w:w="1139"/>
        <w:gridCol w:w="1464"/>
        <w:gridCol w:w="1227"/>
        <w:gridCol w:w="1408"/>
        <w:gridCol w:w="1408"/>
        <w:gridCol w:w="1227"/>
        <w:gridCol w:w="1227"/>
      </w:tblGrid>
      <w:tr w:rsidR="00A94966" w:rsidRPr="00A94966" w14:paraId="29154C7A" w14:textId="77777777" w:rsidTr="00A94966">
        <w:trPr>
          <w:trHeight w:val="600"/>
        </w:trPr>
        <w:tc>
          <w:tcPr>
            <w:tcW w:w="9100" w:type="dxa"/>
            <w:gridSpan w:val="7"/>
            <w:tcBorders>
              <w:top w:val="nil"/>
              <w:left w:val="nil"/>
              <w:bottom w:val="single" w:sz="4" w:space="0" w:color="auto"/>
              <w:right w:val="nil"/>
            </w:tcBorders>
            <w:shd w:val="clear" w:color="auto" w:fill="auto"/>
            <w:vAlign w:val="bottom"/>
            <w:hideMark/>
          </w:tcPr>
          <w:p w14:paraId="3338E77C" w14:textId="5AE62C34" w:rsidR="00A94966" w:rsidRPr="00A94966" w:rsidRDefault="00A94966" w:rsidP="00A94966">
            <w:pPr>
              <w:rPr>
                <w:rFonts w:ascii="Arial" w:eastAsia="Times New Roman" w:hAnsi="Arial" w:cs="Arial"/>
                <w:b/>
                <w:bCs/>
                <w:color w:val="000000"/>
                <w:sz w:val="20"/>
                <w:szCs w:val="20"/>
              </w:rPr>
            </w:pPr>
            <w:r w:rsidRPr="00A94966">
              <w:rPr>
                <w:rFonts w:ascii="Arial" w:eastAsia="Times New Roman" w:hAnsi="Arial" w:cs="Arial"/>
                <w:b/>
                <w:bCs/>
                <w:color w:val="000000"/>
                <w:sz w:val="20"/>
                <w:szCs w:val="20"/>
              </w:rPr>
              <w:lastRenderedPageBreak/>
              <w:t>Table 3</w:t>
            </w:r>
            <w:r w:rsidRPr="00A94966">
              <w:rPr>
                <w:rFonts w:ascii="Arial" w:eastAsia="Times New Roman" w:hAnsi="Arial" w:cs="Arial"/>
                <w:color w:val="000000"/>
                <w:sz w:val="20"/>
                <w:szCs w:val="20"/>
              </w:rPr>
              <w:t>. Predicted total deaths counts and cases averted different lockdown interventions using Kerala case-fatality rate schedul</w:t>
            </w:r>
            <w:r w:rsidR="003C57DF">
              <w:rPr>
                <w:rFonts w:ascii="Arial" w:eastAsia="Times New Roman" w:hAnsi="Arial" w:cs="Arial"/>
                <w:color w:val="000000"/>
                <w:sz w:val="20"/>
                <w:szCs w:val="20"/>
              </w:rPr>
              <w:t>e</w:t>
            </w:r>
          </w:p>
        </w:tc>
      </w:tr>
      <w:tr w:rsidR="00A94966" w:rsidRPr="00A94966" w14:paraId="3F15ACAD" w14:textId="77777777" w:rsidTr="00A94966">
        <w:trPr>
          <w:trHeight w:val="260"/>
        </w:trPr>
        <w:tc>
          <w:tcPr>
            <w:tcW w:w="9100" w:type="dxa"/>
            <w:gridSpan w:val="7"/>
            <w:tcBorders>
              <w:top w:val="single" w:sz="4" w:space="0" w:color="auto"/>
              <w:left w:val="nil"/>
              <w:bottom w:val="single" w:sz="4" w:space="0" w:color="auto"/>
              <w:right w:val="nil"/>
            </w:tcBorders>
            <w:shd w:val="clear" w:color="auto" w:fill="auto"/>
            <w:noWrap/>
            <w:vAlign w:val="bottom"/>
            <w:hideMark/>
          </w:tcPr>
          <w:p w14:paraId="3123A24A"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INDIA LOCKDOWN AND KERALA CFR SCHEDULE</w:t>
            </w:r>
          </w:p>
        </w:tc>
      </w:tr>
      <w:tr w:rsidR="00A94966" w:rsidRPr="00A94966" w14:paraId="0F5DE3C5" w14:textId="77777777" w:rsidTr="00A94966">
        <w:trPr>
          <w:trHeight w:val="260"/>
        </w:trPr>
        <w:tc>
          <w:tcPr>
            <w:tcW w:w="1139" w:type="dxa"/>
            <w:tcBorders>
              <w:top w:val="nil"/>
              <w:left w:val="nil"/>
              <w:bottom w:val="nil"/>
              <w:right w:val="nil"/>
            </w:tcBorders>
            <w:shd w:val="clear" w:color="auto" w:fill="auto"/>
            <w:noWrap/>
            <w:vAlign w:val="bottom"/>
            <w:hideMark/>
          </w:tcPr>
          <w:p w14:paraId="3D8E40BD" w14:textId="77777777" w:rsidR="00A94966" w:rsidRPr="00A94966" w:rsidRDefault="00A94966" w:rsidP="00A94966">
            <w:pPr>
              <w:jc w:val="center"/>
              <w:rPr>
                <w:rFonts w:ascii="Arial" w:eastAsia="Times New Roman" w:hAnsi="Arial" w:cs="Arial"/>
                <w:color w:val="000000"/>
                <w:sz w:val="20"/>
                <w:szCs w:val="20"/>
              </w:rPr>
            </w:pPr>
          </w:p>
        </w:tc>
        <w:tc>
          <w:tcPr>
            <w:tcW w:w="1464" w:type="dxa"/>
            <w:tcBorders>
              <w:top w:val="nil"/>
              <w:left w:val="nil"/>
              <w:bottom w:val="nil"/>
              <w:right w:val="nil"/>
            </w:tcBorders>
            <w:shd w:val="clear" w:color="auto" w:fill="auto"/>
            <w:noWrap/>
            <w:vAlign w:val="bottom"/>
            <w:hideMark/>
          </w:tcPr>
          <w:p w14:paraId="15566EFA" w14:textId="77777777" w:rsidR="00A94966" w:rsidRPr="00A94966" w:rsidRDefault="00A94966" w:rsidP="00A94966">
            <w:pPr>
              <w:rPr>
                <w:rFonts w:ascii="Times New Roman" w:eastAsia="Times New Roman" w:hAnsi="Times New Roman" w:cs="Times New Roman"/>
                <w:sz w:val="20"/>
                <w:szCs w:val="20"/>
              </w:rPr>
            </w:pPr>
          </w:p>
        </w:tc>
        <w:tc>
          <w:tcPr>
            <w:tcW w:w="6497" w:type="dxa"/>
            <w:gridSpan w:val="5"/>
            <w:tcBorders>
              <w:top w:val="nil"/>
              <w:left w:val="nil"/>
              <w:bottom w:val="single" w:sz="4" w:space="0" w:color="auto"/>
              <w:right w:val="nil"/>
            </w:tcBorders>
            <w:shd w:val="clear" w:color="auto" w:fill="auto"/>
            <w:noWrap/>
            <w:vAlign w:val="bottom"/>
            <w:hideMark/>
          </w:tcPr>
          <w:p w14:paraId="2FEC17E8"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Lockdown start</w:t>
            </w:r>
          </w:p>
        </w:tc>
      </w:tr>
      <w:tr w:rsidR="00A94966" w:rsidRPr="00A94966" w14:paraId="26529BE9" w14:textId="77777777" w:rsidTr="00A94966">
        <w:trPr>
          <w:trHeight w:val="260"/>
        </w:trPr>
        <w:tc>
          <w:tcPr>
            <w:tcW w:w="1139" w:type="dxa"/>
            <w:tcBorders>
              <w:top w:val="nil"/>
              <w:left w:val="nil"/>
              <w:bottom w:val="single" w:sz="4" w:space="0" w:color="auto"/>
              <w:right w:val="nil"/>
            </w:tcBorders>
            <w:shd w:val="clear" w:color="auto" w:fill="auto"/>
            <w:noWrap/>
            <w:vAlign w:val="bottom"/>
            <w:hideMark/>
          </w:tcPr>
          <w:p w14:paraId="1FF7B0CB" w14:textId="77777777" w:rsidR="00A94966" w:rsidRPr="00A94966" w:rsidRDefault="00A94966" w:rsidP="00A94966">
            <w:pPr>
              <w:rPr>
                <w:rFonts w:ascii="Arial" w:eastAsia="Times New Roman" w:hAnsi="Arial" w:cs="Arial"/>
                <w:color w:val="000000"/>
                <w:sz w:val="20"/>
                <w:szCs w:val="20"/>
              </w:rPr>
            </w:pPr>
            <w:r w:rsidRPr="00A94966">
              <w:rPr>
                <w:rFonts w:ascii="Arial" w:eastAsia="Times New Roman" w:hAnsi="Arial" w:cs="Arial"/>
                <w:color w:val="000000"/>
                <w:sz w:val="20"/>
                <w:szCs w:val="20"/>
              </w:rPr>
              <w:t>Date</w:t>
            </w:r>
          </w:p>
        </w:tc>
        <w:tc>
          <w:tcPr>
            <w:tcW w:w="1464" w:type="dxa"/>
            <w:tcBorders>
              <w:top w:val="nil"/>
              <w:left w:val="nil"/>
              <w:bottom w:val="single" w:sz="4" w:space="0" w:color="auto"/>
              <w:right w:val="nil"/>
            </w:tcBorders>
            <w:shd w:val="clear" w:color="auto" w:fill="auto"/>
            <w:noWrap/>
            <w:vAlign w:val="bottom"/>
            <w:hideMark/>
          </w:tcPr>
          <w:p w14:paraId="7C46265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Observed</w:t>
            </w:r>
          </w:p>
        </w:tc>
        <w:tc>
          <w:tcPr>
            <w:tcW w:w="1227" w:type="dxa"/>
            <w:tcBorders>
              <w:top w:val="nil"/>
              <w:left w:val="nil"/>
              <w:bottom w:val="single" w:sz="4" w:space="0" w:color="auto"/>
              <w:right w:val="nil"/>
            </w:tcBorders>
            <w:shd w:val="clear" w:color="auto" w:fill="auto"/>
            <w:noWrap/>
            <w:vAlign w:val="bottom"/>
            <w:hideMark/>
          </w:tcPr>
          <w:p w14:paraId="2A3B076B"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March 1</w:t>
            </w:r>
          </w:p>
        </w:tc>
        <w:tc>
          <w:tcPr>
            <w:tcW w:w="1408" w:type="dxa"/>
            <w:tcBorders>
              <w:top w:val="nil"/>
              <w:left w:val="nil"/>
              <w:bottom w:val="single" w:sz="4" w:space="0" w:color="auto"/>
              <w:right w:val="nil"/>
            </w:tcBorders>
            <w:shd w:val="clear" w:color="auto" w:fill="auto"/>
            <w:noWrap/>
            <w:vAlign w:val="bottom"/>
            <w:hideMark/>
          </w:tcPr>
          <w:p w14:paraId="359865EB"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March 15</w:t>
            </w:r>
          </w:p>
        </w:tc>
        <w:tc>
          <w:tcPr>
            <w:tcW w:w="1408" w:type="dxa"/>
            <w:tcBorders>
              <w:top w:val="nil"/>
              <w:left w:val="nil"/>
              <w:bottom w:val="single" w:sz="4" w:space="0" w:color="auto"/>
              <w:right w:val="nil"/>
            </w:tcBorders>
            <w:shd w:val="clear" w:color="auto" w:fill="auto"/>
            <w:noWrap/>
            <w:vAlign w:val="bottom"/>
            <w:hideMark/>
          </w:tcPr>
          <w:p w14:paraId="328ABE3D"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March 30</w:t>
            </w:r>
          </w:p>
        </w:tc>
        <w:tc>
          <w:tcPr>
            <w:tcW w:w="1227" w:type="dxa"/>
            <w:tcBorders>
              <w:top w:val="nil"/>
              <w:left w:val="nil"/>
              <w:bottom w:val="single" w:sz="4" w:space="0" w:color="auto"/>
              <w:right w:val="nil"/>
            </w:tcBorders>
            <w:shd w:val="clear" w:color="auto" w:fill="auto"/>
            <w:noWrap/>
            <w:vAlign w:val="bottom"/>
            <w:hideMark/>
          </w:tcPr>
          <w:p w14:paraId="0FB10A26"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April 15</w:t>
            </w:r>
          </w:p>
        </w:tc>
        <w:tc>
          <w:tcPr>
            <w:tcW w:w="1227" w:type="dxa"/>
            <w:tcBorders>
              <w:top w:val="nil"/>
              <w:left w:val="nil"/>
              <w:bottom w:val="single" w:sz="4" w:space="0" w:color="auto"/>
              <w:right w:val="nil"/>
            </w:tcBorders>
            <w:shd w:val="clear" w:color="auto" w:fill="auto"/>
            <w:noWrap/>
            <w:vAlign w:val="bottom"/>
            <w:hideMark/>
          </w:tcPr>
          <w:p w14:paraId="15DEFB1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April 30</w:t>
            </w:r>
          </w:p>
        </w:tc>
      </w:tr>
      <w:tr w:rsidR="00A94966" w:rsidRPr="00A94966" w14:paraId="417C7157" w14:textId="77777777" w:rsidTr="00A94966">
        <w:trPr>
          <w:trHeight w:val="260"/>
        </w:trPr>
        <w:tc>
          <w:tcPr>
            <w:tcW w:w="1139" w:type="dxa"/>
            <w:tcBorders>
              <w:top w:val="nil"/>
              <w:left w:val="nil"/>
              <w:bottom w:val="nil"/>
              <w:right w:val="nil"/>
            </w:tcBorders>
            <w:shd w:val="clear" w:color="000000" w:fill="D9D9D9"/>
            <w:noWrap/>
            <w:vAlign w:val="bottom"/>
            <w:hideMark/>
          </w:tcPr>
          <w:p w14:paraId="4A34003A"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3/1/21</w:t>
            </w:r>
          </w:p>
        </w:tc>
        <w:tc>
          <w:tcPr>
            <w:tcW w:w="1464" w:type="dxa"/>
            <w:tcBorders>
              <w:top w:val="nil"/>
              <w:left w:val="nil"/>
              <w:bottom w:val="nil"/>
              <w:right w:val="nil"/>
            </w:tcBorders>
            <w:shd w:val="clear" w:color="000000" w:fill="D9D9D9"/>
            <w:noWrap/>
            <w:vAlign w:val="bottom"/>
            <w:hideMark/>
          </w:tcPr>
          <w:p w14:paraId="47F98EF5"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156,695</w:t>
            </w:r>
          </w:p>
        </w:tc>
        <w:tc>
          <w:tcPr>
            <w:tcW w:w="1227" w:type="dxa"/>
            <w:tcBorders>
              <w:top w:val="nil"/>
              <w:left w:val="nil"/>
              <w:bottom w:val="nil"/>
              <w:right w:val="nil"/>
            </w:tcBorders>
            <w:shd w:val="clear" w:color="000000" w:fill="D9D9D9"/>
            <w:noWrap/>
            <w:vAlign w:val="bottom"/>
            <w:hideMark/>
          </w:tcPr>
          <w:p w14:paraId="4BEE1755"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156,695</w:t>
            </w:r>
          </w:p>
        </w:tc>
        <w:tc>
          <w:tcPr>
            <w:tcW w:w="1408" w:type="dxa"/>
            <w:tcBorders>
              <w:top w:val="nil"/>
              <w:left w:val="nil"/>
              <w:bottom w:val="nil"/>
              <w:right w:val="nil"/>
            </w:tcBorders>
            <w:shd w:val="clear" w:color="000000" w:fill="D9D9D9"/>
            <w:noWrap/>
            <w:vAlign w:val="bottom"/>
            <w:hideMark/>
          </w:tcPr>
          <w:p w14:paraId="0801F8EA"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408" w:type="dxa"/>
            <w:tcBorders>
              <w:top w:val="nil"/>
              <w:left w:val="nil"/>
              <w:bottom w:val="nil"/>
              <w:right w:val="nil"/>
            </w:tcBorders>
            <w:shd w:val="clear" w:color="000000" w:fill="D9D9D9"/>
            <w:noWrap/>
            <w:vAlign w:val="bottom"/>
            <w:hideMark/>
          </w:tcPr>
          <w:p w14:paraId="4EB6E51A"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000000" w:fill="D9D9D9"/>
            <w:noWrap/>
            <w:vAlign w:val="bottom"/>
            <w:hideMark/>
          </w:tcPr>
          <w:p w14:paraId="597FE3D8"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000000" w:fill="D9D9D9"/>
            <w:noWrap/>
            <w:vAlign w:val="bottom"/>
            <w:hideMark/>
          </w:tcPr>
          <w:p w14:paraId="1A54C7A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723E6CC1" w14:textId="77777777" w:rsidTr="00A94966">
        <w:trPr>
          <w:trHeight w:val="260"/>
        </w:trPr>
        <w:tc>
          <w:tcPr>
            <w:tcW w:w="1139" w:type="dxa"/>
            <w:tcBorders>
              <w:top w:val="nil"/>
              <w:left w:val="nil"/>
              <w:bottom w:val="nil"/>
              <w:right w:val="nil"/>
            </w:tcBorders>
            <w:shd w:val="clear" w:color="auto" w:fill="auto"/>
            <w:noWrap/>
            <w:vAlign w:val="bottom"/>
            <w:hideMark/>
          </w:tcPr>
          <w:p w14:paraId="5E14F35D"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3/15/21</w:t>
            </w:r>
          </w:p>
        </w:tc>
        <w:tc>
          <w:tcPr>
            <w:tcW w:w="1464" w:type="dxa"/>
            <w:tcBorders>
              <w:top w:val="nil"/>
              <w:left w:val="nil"/>
              <w:bottom w:val="nil"/>
              <w:right w:val="nil"/>
            </w:tcBorders>
            <w:shd w:val="clear" w:color="auto" w:fill="auto"/>
            <w:noWrap/>
            <w:vAlign w:val="bottom"/>
            <w:hideMark/>
          </w:tcPr>
          <w:p w14:paraId="64C9320A"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158,301</w:t>
            </w:r>
          </w:p>
        </w:tc>
        <w:tc>
          <w:tcPr>
            <w:tcW w:w="1227" w:type="dxa"/>
            <w:tcBorders>
              <w:top w:val="nil"/>
              <w:left w:val="nil"/>
              <w:bottom w:val="nil"/>
              <w:right w:val="nil"/>
            </w:tcBorders>
            <w:shd w:val="clear" w:color="auto" w:fill="auto"/>
            <w:noWrap/>
            <w:vAlign w:val="bottom"/>
            <w:hideMark/>
          </w:tcPr>
          <w:p w14:paraId="1591A21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157,169</w:t>
            </w:r>
          </w:p>
        </w:tc>
        <w:tc>
          <w:tcPr>
            <w:tcW w:w="1408" w:type="dxa"/>
            <w:tcBorders>
              <w:top w:val="nil"/>
              <w:left w:val="nil"/>
              <w:bottom w:val="nil"/>
              <w:right w:val="nil"/>
            </w:tcBorders>
            <w:shd w:val="clear" w:color="auto" w:fill="auto"/>
            <w:noWrap/>
            <w:vAlign w:val="bottom"/>
            <w:hideMark/>
          </w:tcPr>
          <w:p w14:paraId="0F0535BD"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158,301</w:t>
            </w:r>
          </w:p>
        </w:tc>
        <w:tc>
          <w:tcPr>
            <w:tcW w:w="1408" w:type="dxa"/>
            <w:tcBorders>
              <w:top w:val="nil"/>
              <w:left w:val="nil"/>
              <w:bottom w:val="nil"/>
              <w:right w:val="nil"/>
            </w:tcBorders>
            <w:shd w:val="clear" w:color="auto" w:fill="auto"/>
            <w:noWrap/>
            <w:vAlign w:val="bottom"/>
            <w:hideMark/>
          </w:tcPr>
          <w:p w14:paraId="55EB4928"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auto" w:fill="auto"/>
            <w:noWrap/>
            <w:vAlign w:val="bottom"/>
            <w:hideMark/>
          </w:tcPr>
          <w:p w14:paraId="3E6277E5"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auto" w:fill="auto"/>
            <w:noWrap/>
            <w:vAlign w:val="bottom"/>
            <w:hideMark/>
          </w:tcPr>
          <w:p w14:paraId="629E696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562F5849" w14:textId="77777777" w:rsidTr="00A94966">
        <w:trPr>
          <w:trHeight w:val="260"/>
        </w:trPr>
        <w:tc>
          <w:tcPr>
            <w:tcW w:w="1139" w:type="dxa"/>
            <w:tcBorders>
              <w:top w:val="nil"/>
              <w:left w:val="nil"/>
              <w:bottom w:val="nil"/>
              <w:right w:val="nil"/>
            </w:tcBorders>
            <w:shd w:val="clear" w:color="000000" w:fill="D9D9D9"/>
            <w:noWrap/>
            <w:vAlign w:val="bottom"/>
            <w:hideMark/>
          </w:tcPr>
          <w:p w14:paraId="5FDF2E3C"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3/30/21</w:t>
            </w:r>
          </w:p>
        </w:tc>
        <w:tc>
          <w:tcPr>
            <w:tcW w:w="1464" w:type="dxa"/>
            <w:tcBorders>
              <w:top w:val="nil"/>
              <w:left w:val="nil"/>
              <w:bottom w:val="nil"/>
              <w:right w:val="nil"/>
            </w:tcBorders>
            <w:shd w:val="clear" w:color="000000" w:fill="D9D9D9"/>
            <w:noWrap/>
            <w:vAlign w:val="bottom"/>
            <w:hideMark/>
          </w:tcPr>
          <w:p w14:paraId="0FFD930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161,911</w:t>
            </w:r>
          </w:p>
        </w:tc>
        <w:tc>
          <w:tcPr>
            <w:tcW w:w="1227" w:type="dxa"/>
            <w:tcBorders>
              <w:top w:val="nil"/>
              <w:left w:val="nil"/>
              <w:bottom w:val="nil"/>
              <w:right w:val="nil"/>
            </w:tcBorders>
            <w:shd w:val="clear" w:color="000000" w:fill="D9D9D9"/>
            <w:noWrap/>
            <w:vAlign w:val="bottom"/>
            <w:hideMark/>
          </w:tcPr>
          <w:p w14:paraId="0DFE6E9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157,534</w:t>
            </w:r>
          </w:p>
        </w:tc>
        <w:tc>
          <w:tcPr>
            <w:tcW w:w="1408" w:type="dxa"/>
            <w:tcBorders>
              <w:top w:val="nil"/>
              <w:left w:val="nil"/>
              <w:bottom w:val="nil"/>
              <w:right w:val="nil"/>
            </w:tcBorders>
            <w:shd w:val="clear" w:color="000000" w:fill="D9D9D9"/>
            <w:noWrap/>
            <w:vAlign w:val="bottom"/>
            <w:hideMark/>
          </w:tcPr>
          <w:p w14:paraId="74E4E0FB"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159,074</w:t>
            </w:r>
          </w:p>
        </w:tc>
        <w:tc>
          <w:tcPr>
            <w:tcW w:w="1408" w:type="dxa"/>
            <w:tcBorders>
              <w:top w:val="nil"/>
              <w:left w:val="nil"/>
              <w:bottom w:val="nil"/>
              <w:right w:val="nil"/>
            </w:tcBorders>
            <w:shd w:val="clear" w:color="000000" w:fill="D9D9D9"/>
            <w:noWrap/>
            <w:vAlign w:val="bottom"/>
            <w:hideMark/>
          </w:tcPr>
          <w:p w14:paraId="0B97E663"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161,911</w:t>
            </w:r>
          </w:p>
        </w:tc>
        <w:tc>
          <w:tcPr>
            <w:tcW w:w="1227" w:type="dxa"/>
            <w:tcBorders>
              <w:top w:val="nil"/>
              <w:left w:val="nil"/>
              <w:bottom w:val="nil"/>
              <w:right w:val="nil"/>
            </w:tcBorders>
            <w:shd w:val="clear" w:color="000000" w:fill="D9D9D9"/>
            <w:noWrap/>
            <w:vAlign w:val="bottom"/>
            <w:hideMark/>
          </w:tcPr>
          <w:p w14:paraId="5D6E185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000000" w:fill="D9D9D9"/>
            <w:noWrap/>
            <w:vAlign w:val="bottom"/>
            <w:hideMark/>
          </w:tcPr>
          <w:p w14:paraId="63A89A2B"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7FF19A29" w14:textId="77777777" w:rsidTr="00A94966">
        <w:trPr>
          <w:trHeight w:val="260"/>
        </w:trPr>
        <w:tc>
          <w:tcPr>
            <w:tcW w:w="1139" w:type="dxa"/>
            <w:tcBorders>
              <w:top w:val="nil"/>
              <w:left w:val="nil"/>
              <w:bottom w:val="nil"/>
              <w:right w:val="nil"/>
            </w:tcBorders>
            <w:shd w:val="clear" w:color="auto" w:fill="auto"/>
            <w:noWrap/>
            <w:vAlign w:val="bottom"/>
            <w:hideMark/>
          </w:tcPr>
          <w:p w14:paraId="715ABB3D"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4/15/21</w:t>
            </w:r>
          </w:p>
        </w:tc>
        <w:tc>
          <w:tcPr>
            <w:tcW w:w="1464" w:type="dxa"/>
            <w:tcBorders>
              <w:top w:val="nil"/>
              <w:left w:val="nil"/>
              <w:bottom w:val="nil"/>
              <w:right w:val="nil"/>
            </w:tcBorders>
            <w:shd w:val="clear" w:color="auto" w:fill="auto"/>
            <w:noWrap/>
            <w:vAlign w:val="bottom"/>
            <w:hideMark/>
          </w:tcPr>
          <w:p w14:paraId="40CE0161"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173,746</w:t>
            </w:r>
          </w:p>
        </w:tc>
        <w:tc>
          <w:tcPr>
            <w:tcW w:w="1227" w:type="dxa"/>
            <w:tcBorders>
              <w:top w:val="nil"/>
              <w:left w:val="nil"/>
              <w:bottom w:val="nil"/>
              <w:right w:val="nil"/>
            </w:tcBorders>
            <w:shd w:val="clear" w:color="auto" w:fill="auto"/>
            <w:noWrap/>
            <w:vAlign w:val="bottom"/>
            <w:hideMark/>
          </w:tcPr>
          <w:p w14:paraId="3A17C79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157,674</w:t>
            </w:r>
          </w:p>
        </w:tc>
        <w:tc>
          <w:tcPr>
            <w:tcW w:w="1408" w:type="dxa"/>
            <w:tcBorders>
              <w:top w:val="nil"/>
              <w:left w:val="nil"/>
              <w:bottom w:val="nil"/>
              <w:right w:val="nil"/>
            </w:tcBorders>
            <w:shd w:val="clear" w:color="auto" w:fill="auto"/>
            <w:noWrap/>
            <w:vAlign w:val="bottom"/>
            <w:hideMark/>
          </w:tcPr>
          <w:p w14:paraId="3D500401"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159,387</w:t>
            </w:r>
          </w:p>
        </w:tc>
        <w:tc>
          <w:tcPr>
            <w:tcW w:w="1408" w:type="dxa"/>
            <w:tcBorders>
              <w:top w:val="nil"/>
              <w:left w:val="nil"/>
              <w:bottom w:val="nil"/>
              <w:right w:val="nil"/>
            </w:tcBorders>
            <w:shd w:val="clear" w:color="auto" w:fill="auto"/>
            <w:noWrap/>
            <w:vAlign w:val="bottom"/>
            <w:hideMark/>
          </w:tcPr>
          <w:p w14:paraId="41B67DA5"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163,576</w:t>
            </w:r>
          </w:p>
        </w:tc>
        <w:tc>
          <w:tcPr>
            <w:tcW w:w="1227" w:type="dxa"/>
            <w:tcBorders>
              <w:top w:val="nil"/>
              <w:left w:val="nil"/>
              <w:bottom w:val="nil"/>
              <w:right w:val="nil"/>
            </w:tcBorders>
            <w:shd w:val="clear" w:color="auto" w:fill="auto"/>
            <w:noWrap/>
            <w:vAlign w:val="bottom"/>
            <w:hideMark/>
          </w:tcPr>
          <w:p w14:paraId="10FEF045"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173,746</w:t>
            </w:r>
          </w:p>
        </w:tc>
        <w:tc>
          <w:tcPr>
            <w:tcW w:w="1227" w:type="dxa"/>
            <w:tcBorders>
              <w:top w:val="nil"/>
              <w:left w:val="nil"/>
              <w:bottom w:val="nil"/>
              <w:right w:val="nil"/>
            </w:tcBorders>
            <w:shd w:val="clear" w:color="auto" w:fill="auto"/>
            <w:noWrap/>
            <w:vAlign w:val="bottom"/>
            <w:hideMark/>
          </w:tcPr>
          <w:p w14:paraId="1F544BEE"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136AF228" w14:textId="77777777" w:rsidTr="00A94966">
        <w:trPr>
          <w:trHeight w:val="260"/>
        </w:trPr>
        <w:tc>
          <w:tcPr>
            <w:tcW w:w="1139" w:type="dxa"/>
            <w:tcBorders>
              <w:top w:val="nil"/>
              <w:left w:val="nil"/>
              <w:bottom w:val="nil"/>
              <w:right w:val="nil"/>
            </w:tcBorders>
            <w:shd w:val="clear" w:color="000000" w:fill="D9D9D9"/>
            <w:noWrap/>
            <w:vAlign w:val="bottom"/>
            <w:hideMark/>
          </w:tcPr>
          <w:p w14:paraId="72B419A4"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4/30/21</w:t>
            </w:r>
          </w:p>
        </w:tc>
        <w:tc>
          <w:tcPr>
            <w:tcW w:w="1464" w:type="dxa"/>
            <w:tcBorders>
              <w:top w:val="nil"/>
              <w:left w:val="nil"/>
              <w:bottom w:val="nil"/>
              <w:right w:val="nil"/>
            </w:tcBorders>
            <w:shd w:val="clear" w:color="000000" w:fill="D9D9D9"/>
            <w:noWrap/>
            <w:vAlign w:val="bottom"/>
            <w:hideMark/>
          </w:tcPr>
          <w:p w14:paraId="0248A770"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211,248</w:t>
            </w:r>
          </w:p>
        </w:tc>
        <w:tc>
          <w:tcPr>
            <w:tcW w:w="1227" w:type="dxa"/>
            <w:tcBorders>
              <w:top w:val="nil"/>
              <w:left w:val="nil"/>
              <w:bottom w:val="nil"/>
              <w:right w:val="nil"/>
            </w:tcBorders>
            <w:shd w:val="clear" w:color="000000" w:fill="D9D9D9"/>
            <w:noWrap/>
            <w:vAlign w:val="bottom"/>
            <w:hideMark/>
          </w:tcPr>
          <w:p w14:paraId="384C14BB"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157,697</w:t>
            </w:r>
          </w:p>
        </w:tc>
        <w:tc>
          <w:tcPr>
            <w:tcW w:w="1408" w:type="dxa"/>
            <w:tcBorders>
              <w:top w:val="nil"/>
              <w:left w:val="nil"/>
              <w:bottom w:val="nil"/>
              <w:right w:val="nil"/>
            </w:tcBorders>
            <w:shd w:val="clear" w:color="000000" w:fill="D9D9D9"/>
            <w:noWrap/>
            <w:vAlign w:val="bottom"/>
            <w:hideMark/>
          </w:tcPr>
          <w:p w14:paraId="59C427B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159,447</w:t>
            </w:r>
          </w:p>
        </w:tc>
        <w:tc>
          <w:tcPr>
            <w:tcW w:w="1408" w:type="dxa"/>
            <w:tcBorders>
              <w:top w:val="nil"/>
              <w:left w:val="nil"/>
              <w:bottom w:val="nil"/>
              <w:right w:val="nil"/>
            </w:tcBorders>
            <w:shd w:val="clear" w:color="000000" w:fill="D9D9D9"/>
            <w:noWrap/>
            <w:vAlign w:val="bottom"/>
            <w:hideMark/>
          </w:tcPr>
          <w:p w14:paraId="5535A4C0"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163,953</w:t>
            </w:r>
          </w:p>
        </w:tc>
        <w:tc>
          <w:tcPr>
            <w:tcW w:w="1227" w:type="dxa"/>
            <w:tcBorders>
              <w:top w:val="nil"/>
              <w:left w:val="nil"/>
              <w:bottom w:val="nil"/>
              <w:right w:val="nil"/>
            </w:tcBorders>
            <w:shd w:val="clear" w:color="000000" w:fill="D9D9D9"/>
            <w:noWrap/>
            <w:vAlign w:val="bottom"/>
            <w:hideMark/>
          </w:tcPr>
          <w:p w14:paraId="05FE35D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176,507</w:t>
            </w:r>
          </w:p>
        </w:tc>
        <w:tc>
          <w:tcPr>
            <w:tcW w:w="1227" w:type="dxa"/>
            <w:tcBorders>
              <w:top w:val="nil"/>
              <w:left w:val="nil"/>
              <w:bottom w:val="nil"/>
              <w:right w:val="nil"/>
            </w:tcBorders>
            <w:shd w:val="clear" w:color="000000" w:fill="D9D9D9"/>
            <w:noWrap/>
            <w:vAlign w:val="bottom"/>
            <w:hideMark/>
          </w:tcPr>
          <w:p w14:paraId="046435A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211,248</w:t>
            </w:r>
          </w:p>
        </w:tc>
      </w:tr>
      <w:tr w:rsidR="00A94966" w:rsidRPr="00A94966" w14:paraId="4AD78728" w14:textId="77777777" w:rsidTr="00A94966">
        <w:trPr>
          <w:trHeight w:val="260"/>
        </w:trPr>
        <w:tc>
          <w:tcPr>
            <w:tcW w:w="1139" w:type="dxa"/>
            <w:tcBorders>
              <w:top w:val="nil"/>
              <w:left w:val="nil"/>
              <w:bottom w:val="nil"/>
              <w:right w:val="nil"/>
            </w:tcBorders>
            <w:shd w:val="clear" w:color="auto" w:fill="auto"/>
            <w:noWrap/>
            <w:vAlign w:val="bottom"/>
            <w:hideMark/>
          </w:tcPr>
          <w:p w14:paraId="08D89BA3"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5/15/21</w:t>
            </w:r>
          </w:p>
        </w:tc>
        <w:tc>
          <w:tcPr>
            <w:tcW w:w="1464" w:type="dxa"/>
            <w:tcBorders>
              <w:top w:val="nil"/>
              <w:left w:val="nil"/>
              <w:bottom w:val="nil"/>
              <w:right w:val="nil"/>
            </w:tcBorders>
            <w:shd w:val="clear" w:color="auto" w:fill="auto"/>
            <w:noWrap/>
            <w:vAlign w:val="bottom"/>
            <w:hideMark/>
          </w:tcPr>
          <w:p w14:paraId="78D76B0B"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269,728</w:t>
            </w:r>
          </w:p>
        </w:tc>
        <w:tc>
          <w:tcPr>
            <w:tcW w:w="1227" w:type="dxa"/>
            <w:tcBorders>
              <w:top w:val="nil"/>
              <w:left w:val="nil"/>
              <w:bottom w:val="nil"/>
              <w:right w:val="nil"/>
            </w:tcBorders>
            <w:shd w:val="clear" w:color="auto" w:fill="auto"/>
            <w:noWrap/>
            <w:vAlign w:val="bottom"/>
            <w:hideMark/>
          </w:tcPr>
          <w:p w14:paraId="7B3272FD"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157,712</w:t>
            </w:r>
          </w:p>
        </w:tc>
        <w:tc>
          <w:tcPr>
            <w:tcW w:w="1408" w:type="dxa"/>
            <w:tcBorders>
              <w:top w:val="nil"/>
              <w:left w:val="nil"/>
              <w:bottom w:val="nil"/>
              <w:right w:val="nil"/>
            </w:tcBorders>
            <w:shd w:val="clear" w:color="auto" w:fill="auto"/>
            <w:noWrap/>
            <w:vAlign w:val="bottom"/>
            <w:hideMark/>
          </w:tcPr>
          <w:p w14:paraId="597246A0"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159,485</w:t>
            </w:r>
          </w:p>
        </w:tc>
        <w:tc>
          <w:tcPr>
            <w:tcW w:w="1408" w:type="dxa"/>
            <w:tcBorders>
              <w:top w:val="nil"/>
              <w:left w:val="nil"/>
              <w:bottom w:val="nil"/>
              <w:right w:val="nil"/>
            </w:tcBorders>
            <w:shd w:val="clear" w:color="auto" w:fill="auto"/>
            <w:noWrap/>
            <w:vAlign w:val="bottom"/>
            <w:hideMark/>
          </w:tcPr>
          <w:p w14:paraId="100C4590"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164,219</w:t>
            </w:r>
          </w:p>
        </w:tc>
        <w:tc>
          <w:tcPr>
            <w:tcW w:w="1227" w:type="dxa"/>
            <w:tcBorders>
              <w:top w:val="nil"/>
              <w:left w:val="nil"/>
              <w:bottom w:val="nil"/>
              <w:right w:val="nil"/>
            </w:tcBorders>
            <w:shd w:val="clear" w:color="auto" w:fill="auto"/>
            <w:noWrap/>
            <w:vAlign w:val="bottom"/>
            <w:hideMark/>
          </w:tcPr>
          <w:p w14:paraId="41D56C3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179,070</w:t>
            </w:r>
          </w:p>
        </w:tc>
        <w:tc>
          <w:tcPr>
            <w:tcW w:w="1227" w:type="dxa"/>
            <w:tcBorders>
              <w:top w:val="nil"/>
              <w:left w:val="nil"/>
              <w:bottom w:val="nil"/>
              <w:right w:val="nil"/>
            </w:tcBorders>
            <w:shd w:val="clear" w:color="auto" w:fill="auto"/>
            <w:noWrap/>
            <w:vAlign w:val="bottom"/>
            <w:hideMark/>
          </w:tcPr>
          <w:p w14:paraId="33A48D8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220,106</w:t>
            </w:r>
          </w:p>
        </w:tc>
      </w:tr>
      <w:tr w:rsidR="00A94966" w:rsidRPr="00A94966" w14:paraId="10BD3BFB" w14:textId="77777777" w:rsidTr="00A94966">
        <w:trPr>
          <w:trHeight w:val="260"/>
        </w:trPr>
        <w:tc>
          <w:tcPr>
            <w:tcW w:w="1139" w:type="dxa"/>
            <w:tcBorders>
              <w:top w:val="nil"/>
              <w:left w:val="nil"/>
              <w:bottom w:val="nil"/>
              <w:right w:val="nil"/>
            </w:tcBorders>
            <w:shd w:val="clear" w:color="auto" w:fill="auto"/>
            <w:noWrap/>
            <w:vAlign w:val="bottom"/>
            <w:hideMark/>
          </w:tcPr>
          <w:p w14:paraId="4968EC10" w14:textId="77777777" w:rsidR="00A94966" w:rsidRPr="00A94966" w:rsidRDefault="00A94966" w:rsidP="00A94966">
            <w:pPr>
              <w:jc w:val="center"/>
              <w:rPr>
                <w:rFonts w:ascii="Arial" w:eastAsia="Times New Roman" w:hAnsi="Arial" w:cs="Arial"/>
                <w:color w:val="000000"/>
                <w:sz w:val="20"/>
                <w:szCs w:val="20"/>
              </w:rPr>
            </w:pPr>
          </w:p>
        </w:tc>
        <w:tc>
          <w:tcPr>
            <w:tcW w:w="1464" w:type="dxa"/>
            <w:tcBorders>
              <w:top w:val="nil"/>
              <w:left w:val="nil"/>
              <w:bottom w:val="nil"/>
              <w:right w:val="nil"/>
            </w:tcBorders>
            <w:shd w:val="clear" w:color="auto" w:fill="auto"/>
            <w:noWrap/>
            <w:vAlign w:val="bottom"/>
            <w:hideMark/>
          </w:tcPr>
          <w:p w14:paraId="5934F62E" w14:textId="77777777" w:rsidR="00A94966" w:rsidRPr="00A94966" w:rsidRDefault="00A94966" w:rsidP="00A94966">
            <w:pPr>
              <w:rPr>
                <w:rFonts w:ascii="Times New Roman" w:eastAsia="Times New Roman" w:hAnsi="Times New Roman" w:cs="Times New Roman"/>
                <w:sz w:val="20"/>
                <w:szCs w:val="20"/>
              </w:rPr>
            </w:pPr>
          </w:p>
        </w:tc>
        <w:tc>
          <w:tcPr>
            <w:tcW w:w="6497" w:type="dxa"/>
            <w:gridSpan w:val="5"/>
            <w:tcBorders>
              <w:top w:val="nil"/>
              <w:left w:val="nil"/>
              <w:bottom w:val="single" w:sz="4" w:space="0" w:color="auto"/>
              <w:right w:val="nil"/>
            </w:tcBorders>
            <w:shd w:val="clear" w:color="auto" w:fill="auto"/>
            <w:noWrap/>
            <w:vAlign w:val="bottom"/>
            <w:hideMark/>
          </w:tcPr>
          <w:p w14:paraId="5FD530C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Deaths averted</w:t>
            </w:r>
          </w:p>
        </w:tc>
      </w:tr>
      <w:tr w:rsidR="00A94966" w:rsidRPr="00A94966" w14:paraId="5CC1A5E2" w14:textId="77777777" w:rsidTr="00A94966">
        <w:trPr>
          <w:trHeight w:val="260"/>
        </w:trPr>
        <w:tc>
          <w:tcPr>
            <w:tcW w:w="1139" w:type="dxa"/>
            <w:tcBorders>
              <w:top w:val="nil"/>
              <w:left w:val="nil"/>
              <w:bottom w:val="nil"/>
              <w:right w:val="nil"/>
            </w:tcBorders>
            <w:shd w:val="clear" w:color="000000" w:fill="D9D9D9"/>
            <w:noWrap/>
            <w:vAlign w:val="bottom"/>
            <w:hideMark/>
          </w:tcPr>
          <w:p w14:paraId="46B2BF0F"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3/1/21</w:t>
            </w:r>
          </w:p>
        </w:tc>
        <w:tc>
          <w:tcPr>
            <w:tcW w:w="1464" w:type="dxa"/>
            <w:tcBorders>
              <w:top w:val="nil"/>
              <w:left w:val="nil"/>
              <w:bottom w:val="nil"/>
              <w:right w:val="nil"/>
            </w:tcBorders>
            <w:shd w:val="clear" w:color="000000" w:fill="D9D9D9"/>
            <w:noWrap/>
            <w:vAlign w:val="bottom"/>
            <w:hideMark/>
          </w:tcPr>
          <w:p w14:paraId="5258891A"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156,695</w:t>
            </w:r>
          </w:p>
        </w:tc>
        <w:tc>
          <w:tcPr>
            <w:tcW w:w="1227" w:type="dxa"/>
            <w:tcBorders>
              <w:top w:val="nil"/>
              <w:left w:val="nil"/>
              <w:bottom w:val="nil"/>
              <w:right w:val="nil"/>
            </w:tcBorders>
            <w:shd w:val="clear" w:color="000000" w:fill="D9D9D9"/>
            <w:noWrap/>
            <w:vAlign w:val="bottom"/>
            <w:hideMark/>
          </w:tcPr>
          <w:p w14:paraId="29907E71"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0</w:t>
            </w:r>
          </w:p>
        </w:tc>
        <w:tc>
          <w:tcPr>
            <w:tcW w:w="1408" w:type="dxa"/>
            <w:tcBorders>
              <w:top w:val="nil"/>
              <w:left w:val="nil"/>
              <w:bottom w:val="nil"/>
              <w:right w:val="nil"/>
            </w:tcBorders>
            <w:shd w:val="clear" w:color="000000" w:fill="D9D9D9"/>
            <w:noWrap/>
            <w:vAlign w:val="bottom"/>
            <w:hideMark/>
          </w:tcPr>
          <w:p w14:paraId="274F8048"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408" w:type="dxa"/>
            <w:tcBorders>
              <w:top w:val="nil"/>
              <w:left w:val="nil"/>
              <w:bottom w:val="nil"/>
              <w:right w:val="nil"/>
            </w:tcBorders>
            <w:shd w:val="clear" w:color="000000" w:fill="D9D9D9"/>
            <w:noWrap/>
            <w:vAlign w:val="bottom"/>
            <w:hideMark/>
          </w:tcPr>
          <w:p w14:paraId="2FF90BB8"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000000" w:fill="D9D9D9"/>
            <w:noWrap/>
            <w:vAlign w:val="bottom"/>
            <w:hideMark/>
          </w:tcPr>
          <w:p w14:paraId="0043693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000000" w:fill="D9D9D9"/>
            <w:noWrap/>
            <w:vAlign w:val="bottom"/>
            <w:hideMark/>
          </w:tcPr>
          <w:p w14:paraId="35280E8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2CD3348A" w14:textId="77777777" w:rsidTr="00A94966">
        <w:trPr>
          <w:trHeight w:val="260"/>
        </w:trPr>
        <w:tc>
          <w:tcPr>
            <w:tcW w:w="1139" w:type="dxa"/>
            <w:tcBorders>
              <w:top w:val="nil"/>
              <w:left w:val="nil"/>
              <w:bottom w:val="nil"/>
              <w:right w:val="nil"/>
            </w:tcBorders>
            <w:shd w:val="clear" w:color="auto" w:fill="auto"/>
            <w:noWrap/>
            <w:vAlign w:val="bottom"/>
            <w:hideMark/>
          </w:tcPr>
          <w:p w14:paraId="0C05C5B7"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3/15/21</w:t>
            </w:r>
          </w:p>
        </w:tc>
        <w:tc>
          <w:tcPr>
            <w:tcW w:w="1464" w:type="dxa"/>
            <w:tcBorders>
              <w:top w:val="nil"/>
              <w:left w:val="nil"/>
              <w:bottom w:val="nil"/>
              <w:right w:val="nil"/>
            </w:tcBorders>
            <w:shd w:val="clear" w:color="auto" w:fill="auto"/>
            <w:noWrap/>
            <w:vAlign w:val="bottom"/>
            <w:hideMark/>
          </w:tcPr>
          <w:p w14:paraId="547EC590"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158,301</w:t>
            </w:r>
          </w:p>
        </w:tc>
        <w:tc>
          <w:tcPr>
            <w:tcW w:w="1227" w:type="dxa"/>
            <w:tcBorders>
              <w:top w:val="nil"/>
              <w:left w:val="nil"/>
              <w:bottom w:val="nil"/>
              <w:right w:val="nil"/>
            </w:tcBorders>
            <w:shd w:val="clear" w:color="auto" w:fill="auto"/>
            <w:noWrap/>
            <w:vAlign w:val="bottom"/>
            <w:hideMark/>
          </w:tcPr>
          <w:p w14:paraId="1E6DF51D"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1,132</w:t>
            </w:r>
          </w:p>
        </w:tc>
        <w:tc>
          <w:tcPr>
            <w:tcW w:w="1408" w:type="dxa"/>
            <w:tcBorders>
              <w:top w:val="nil"/>
              <w:left w:val="nil"/>
              <w:bottom w:val="nil"/>
              <w:right w:val="nil"/>
            </w:tcBorders>
            <w:shd w:val="clear" w:color="auto" w:fill="auto"/>
            <w:noWrap/>
            <w:vAlign w:val="bottom"/>
            <w:hideMark/>
          </w:tcPr>
          <w:p w14:paraId="7B611E2B"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0</w:t>
            </w:r>
          </w:p>
        </w:tc>
        <w:tc>
          <w:tcPr>
            <w:tcW w:w="1408" w:type="dxa"/>
            <w:tcBorders>
              <w:top w:val="nil"/>
              <w:left w:val="nil"/>
              <w:bottom w:val="nil"/>
              <w:right w:val="nil"/>
            </w:tcBorders>
            <w:shd w:val="clear" w:color="auto" w:fill="auto"/>
            <w:noWrap/>
            <w:vAlign w:val="bottom"/>
            <w:hideMark/>
          </w:tcPr>
          <w:p w14:paraId="57CF4025"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auto" w:fill="auto"/>
            <w:noWrap/>
            <w:vAlign w:val="bottom"/>
            <w:hideMark/>
          </w:tcPr>
          <w:p w14:paraId="44DCB44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auto" w:fill="auto"/>
            <w:noWrap/>
            <w:vAlign w:val="bottom"/>
            <w:hideMark/>
          </w:tcPr>
          <w:p w14:paraId="61FC72F6"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46E3F699" w14:textId="77777777" w:rsidTr="00A94966">
        <w:trPr>
          <w:trHeight w:val="260"/>
        </w:trPr>
        <w:tc>
          <w:tcPr>
            <w:tcW w:w="1139" w:type="dxa"/>
            <w:tcBorders>
              <w:top w:val="nil"/>
              <w:left w:val="nil"/>
              <w:bottom w:val="nil"/>
              <w:right w:val="nil"/>
            </w:tcBorders>
            <w:shd w:val="clear" w:color="000000" w:fill="D9D9D9"/>
            <w:noWrap/>
            <w:vAlign w:val="bottom"/>
            <w:hideMark/>
          </w:tcPr>
          <w:p w14:paraId="3D935E8F"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3/30/21</w:t>
            </w:r>
          </w:p>
        </w:tc>
        <w:tc>
          <w:tcPr>
            <w:tcW w:w="1464" w:type="dxa"/>
            <w:tcBorders>
              <w:top w:val="nil"/>
              <w:left w:val="nil"/>
              <w:bottom w:val="nil"/>
              <w:right w:val="nil"/>
            </w:tcBorders>
            <w:shd w:val="clear" w:color="000000" w:fill="D9D9D9"/>
            <w:noWrap/>
            <w:vAlign w:val="bottom"/>
            <w:hideMark/>
          </w:tcPr>
          <w:p w14:paraId="599F784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161,911</w:t>
            </w:r>
          </w:p>
        </w:tc>
        <w:tc>
          <w:tcPr>
            <w:tcW w:w="1227" w:type="dxa"/>
            <w:tcBorders>
              <w:top w:val="nil"/>
              <w:left w:val="nil"/>
              <w:bottom w:val="nil"/>
              <w:right w:val="nil"/>
            </w:tcBorders>
            <w:shd w:val="clear" w:color="000000" w:fill="D9D9D9"/>
            <w:noWrap/>
            <w:vAlign w:val="bottom"/>
            <w:hideMark/>
          </w:tcPr>
          <w:p w14:paraId="55D61DF3"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4,377</w:t>
            </w:r>
          </w:p>
        </w:tc>
        <w:tc>
          <w:tcPr>
            <w:tcW w:w="1408" w:type="dxa"/>
            <w:tcBorders>
              <w:top w:val="nil"/>
              <w:left w:val="nil"/>
              <w:bottom w:val="nil"/>
              <w:right w:val="nil"/>
            </w:tcBorders>
            <w:shd w:val="clear" w:color="000000" w:fill="D9D9D9"/>
            <w:noWrap/>
            <w:vAlign w:val="bottom"/>
            <w:hideMark/>
          </w:tcPr>
          <w:p w14:paraId="1247CB2C"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2,837</w:t>
            </w:r>
          </w:p>
        </w:tc>
        <w:tc>
          <w:tcPr>
            <w:tcW w:w="1408" w:type="dxa"/>
            <w:tcBorders>
              <w:top w:val="nil"/>
              <w:left w:val="nil"/>
              <w:bottom w:val="nil"/>
              <w:right w:val="nil"/>
            </w:tcBorders>
            <w:shd w:val="clear" w:color="000000" w:fill="D9D9D9"/>
            <w:noWrap/>
            <w:vAlign w:val="bottom"/>
            <w:hideMark/>
          </w:tcPr>
          <w:p w14:paraId="674A0CEE"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0</w:t>
            </w:r>
          </w:p>
        </w:tc>
        <w:tc>
          <w:tcPr>
            <w:tcW w:w="1227" w:type="dxa"/>
            <w:tcBorders>
              <w:top w:val="nil"/>
              <w:left w:val="nil"/>
              <w:bottom w:val="nil"/>
              <w:right w:val="nil"/>
            </w:tcBorders>
            <w:shd w:val="clear" w:color="000000" w:fill="D9D9D9"/>
            <w:noWrap/>
            <w:vAlign w:val="bottom"/>
            <w:hideMark/>
          </w:tcPr>
          <w:p w14:paraId="1EDEFE46"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000000" w:fill="D9D9D9"/>
            <w:noWrap/>
            <w:vAlign w:val="bottom"/>
            <w:hideMark/>
          </w:tcPr>
          <w:p w14:paraId="6BCD87E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47426A8F" w14:textId="77777777" w:rsidTr="00A94966">
        <w:trPr>
          <w:trHeight w:val="260"/>
        </w:trPr>
        <w:tc>
          <w:tcPr>
            <w:tcW w:w="1139" w:type="dxa"/>
            <w:tcBorders>
              <w:top w:val="nil"/>
              <w:left w:val="nil"/>
              <w:bottom w:val="nil"/>
              <w:right w:val="nil"/>
            </w:tcBorders>
            <w:shd w:val="clear" w:color="auto" w:fill="auto"/>
            <w:noWrap/>
            <w:vAlign w:val="bottom"/>
            <w:hideMark/>
          </w:tcPr>
          <w:p w14:paraId="32781649"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4/15/21</w:t>
            </w:r>
          </w:p>
        </w:tc>
        <w:tc>
          <w:tcPr>
            <w:tcW w:w="1464" w:type="dxa"/>
            <w:tcBorders>
              <w:top w:val="nil"/>
              <w:left w:val="nil"/>
              <w:bottom w:val="nil"/>
              <w:right w:val="nil"/>
            </w:tcBorders>
            <w:shd w:val="clear" w:color="auto" w:fill="auto"/>
            <w:noWrap/>
            <w:vAlign w:val="bottom"/>
            <w:hideMark/>
          </w:tcPr>
          <w:p w14:paraId="43FBCC08"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173,746</w:t>
            </w:r>
          </w:p>
        </w:tc>
        <w:tc>
          <w:tcPr>
            <w:tcW w:w="1227" w:type="dxa"/>
            <w:tcBorders>
              <w:top w:val="nil"/>
              <w:left w:val="nil"/>
              <w:bottom w:val="nil"/>
              <w:right w:val="nil"/>
            </w:tcBorders>
            <w:shd w:val="clear" w:color="auto" w:fill="auto"/>
            <w:noWrap/>
            <w:vAlign w:val="bottom"/>
            <w:hideMark/>
          </w:tcPr>
          <w:p w14:paraId="2DCF1CC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16,072</w:t>
            </w:r>
          </w:p>
        </w:tc>
        <w:tc>
          <w:tcPr>
            <w:tcW w:w="1408" w:type="dxa"/>
            <w:tcBorders>
              <w:top w:val="nil"/>
              <w:left w:val="nil"/>
              <w:bottom w:val="nil"/>
              <w:right w:val="nil"/>
            </w:tcBorders>
            <w:shd w:val="clear" w:color="auto" w:fill="auto"/>
            <w:noWrap/>
            <w:vAlign w:val="bottom"/>
            <w:hideMark/>
          </w:tcPr>
          <w:p w14:paraId="7D8F0DB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14,359</w:t>
            </w:r>
          </w:p>
        </w:tc>
        <w:tc>
          <w:tcPr>
            <w:tcW w:w="1408" w:type="dxa"/>
            <w:tcBorders>
              <w:top w:val="nil"/>
              <w:left w:val="nil"/>
              <w:bottom w:val="nil"/>
              <w:right w:val="nil"/>
            </w:tcBorders>
            <w:shd w:val="clear" w:color="auto" w:fill="auto"/>
            <w:noWrap/>
            <w:vAlign w:val="bottom"/>
            <w:hideMark/>
          </w:tcPr>
          <w:p w14:paraId="740F5F5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10,170</w:t>
            </w:r>
          </w:p>
        </w:tc>
        <w:tc>
          <w:tcPr>
            <w:tcW w:w="1227" w:type="dxa"/>
            <w:tcBorders>
              <w:top w:val="nil"/>
              <w:left w:val="nil"/>
              <w:bottom w:val="nil"/>
              <w:right w:val="nil"/>
            </w:tcBorders>
            <w:shd w:val="clear" w:color="auto" w:fill="auto"/>
            <w:noWrap/>
            <w:vAlign w:val="bottom"/>
            <w:hideMark/>
          </w:tcPr>
          <w:p w14:paraId="0CC91EF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0</w:t>
            </w:r>
          </w:p>
        </w:tc>
        <w:tc>
          <w:tcPr>
            <w:tcW w:w="1227" w:type="dxa"/>
            <w:tcBorders>
              <w:top w:val="nil"/>
              <w:left w:val="nil"/>
              <w:bottom w:val="nil"/>
              <w:right w:val="nil"/>
            </w:tcBorders>
            <w:shd w:val="clear" w:color="auto" w:fill="auto"/>
            <w:noWrap/>
            <w:vAlign w:val="bottom"/>
            <w:hideMark/>
          </w:tcPr>
          <w:p w14:paraId="1AB5B08A"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27AEA236" w14:textId="77777777" w:rsidTr="00A94966">
        <w:trPr>
          <w:trHeight w:val="260"/>
        </w:trPr>
        <w:tc>
          <w:tcPr>
            <w:tcW w:w="1139" w:type="dxa"/>
            <w:tcBorders>
              <w:top w:val="nil"/>
              <w:left w:val="nil"/>
              <w:bottom w:val="nil"/>
              <w:right w:val="nil"/>
            </w:tcBorders>
            <w:shd w:val="clear" w:color="000000" w:fill="D9D9D9"/>
            <w:noWrap/>
            <w:vAlign w:val="bottom"/>
            <w:hideMark/>
          </w:tcPr>
          <w:p w14:paraId="59FED447"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4/30/21</w:t>
            </w:r>
          </w:p>
        </w:tc>
        <w:tc>
          <w:tcPr>
            <w:tcW w:w="1464" w:type="dxa"/>
            <w:tcBorders>
              <w:top w:val="nil"/>
              <w:left w:val="nil"/>
              <w:bottom w:val="nil"/>
              <w:right w:val="nil"/>
            </w:tcBorders>
            <w:shd w:val="clear" w:color="000000" w:fill="D9D9D9"/>
            <w:noWrap/>
            <w:vAlign w:val="bottom"/>
            <w:hideMark/>
          </w:tcPr>
          <w:p w14:paraId="202289F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211,248</w:t>
            </w:r>
          </w:p>
        </w:tc>
        <w:tc>
          <w:tcPr>
            <w:tcW w:w="1227" w:type="dxa"/>
            <w:tcBorders>
              <w:top w:val="nil"/>
              <w:left w:val="nil"/>
              <w:bottom w:val="nil"/>
              <w:right w:val="nil"/>
            </w:tcBorders>
            <w:shd w:val="clear" w:color="000000" w:fill="D9D9D9"/>
            <w:noWrap/>
            <w:vAlign w:val="bottom"/>
            <w:hideMark/>
          </w:tcPr>
          <w:p w14:paraId="6813072B"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53,551</w:t>
            </w:r>
          </w:p>
        </w:tc>
        <w:tc>
          <w:tcPr>
            <w:tcW w:w="1408" w:type="dxa"/>
            <w:tcBorders>
              <w:top w:val="nil"/>
              <w:left w:val="nil"/>
              <w:bottom w:val="nil"/>
              <w:right w:val="nil"/>
            </w:tcBorders>
            <w:shd w:val="clear" w:color="000000" w:fill="D9D9D9"/>
            <w:noWrap/>
            <w:vAlign w:val="bottom"/>
            <w:hideMark/>
          </w:tcPr>
          <w:p w14:paraId="3D06D8E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51,801</w:t>
            </w:r>
          </w:p>
        </w:tc>
        <w:tc>
          <w:tcPr>
            <w:tcW w:w="1408" w:type="dxa"/>
            <w:tcBorders>
              <w:top w:val="nil"/>
              <w:left w:val="nil"/>
              <w:bottom w:val="nil"/>
              <w:right w:val="nil"/>
            </w:tcBorders>
            <w:shd w:val="clear" w:color="000000" w:fill="D9D9D9"/>
            <w:noWrap/>
            <w:vAlign w:val="bottom"/>
            <w:hideMark/>
          </w:tcPr>
          <w:p w14:paraId="4ABD1A45"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47,295</w:t>
            </w:r>
          </w:p>
        </w:tc>
        <w:tc>
          <w:tcPr>
            <w:tcW w:w="1227" w:type="dxa"/>
            <w:tcBorders>
              <w:top w:val="nil"/>
              <w:left w:val="nil"/>
              <w:bottom w:val="nil"/>
              <w:right w:val="nil"/>
            </w:tcBorders>
            <w:shd w:val="clear" w:color="000000" w:fill="D9D9D9"/>
            <w:noWrap/>
            <w:vAlign w:val="bottom"/>
            <w:hideMark/>
          </w:tcPr>
          <w:p w14:paraId="53A5B3EA"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34,741</w:t>
            </w:r>
          </w:p>
        </w:tc>
        <w:tc>
          <w:tcPr>
            <w:tcW w:w="1227" w:type="dxa"/>
            <w:tcBorders>
              <w:top w:val="nil"/>
              <w:left w:val="nil"/>
              <w:bottom w:val="nil"/>
              <w:right w:val="nil"/>
            </w:tcBorders>
            <w:shd w:val="clear" w:color="000000" w:fill="D9D9D9"/>
            <w:noWrap/>
            <w:vAlign w:val="bottom"/>
            <w:hideMark/>
          </w:tcPr>
          <w:p w14:paraId="16F3F29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0</w:t>
            </w:r>
          </w:p>
        </w:tc>
      </w:tr>
      <w:tr w:rsidR="00A94966" w:rsidRPr="00A94966" w14:paraId="42E5B539" w14:textId="77777777" w:rsidTr="00A94966">
        <w:trPr>
          <w:trHeight w:val="280"/>
        </w:trPr>
        <w:tc>
          <w:tcPr>
            <w:tcW w:w="1139" w:type="dxa"/>
            <w:tcBorders>
              <w:top w:val="nil"/>
              <w:left w:val="nil"/>
              <w:bottom w:val="double" w:sz="6" w:space="0" w:color="auto"/>
              <w:right w:val="nil"/>
            </w:tcBorders>
            <w:shd w:val="clear" w:color="auto" w:fill="auto"/>
            <w:noWrap/>
            <w:vAlign w:val="bottom"/>
            <w:hideMark/>
          </w:tcPr>
          <w:p w14:paraId="7191C828"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5/15/21</w:t>
            </w:r>
          </w:p>
        </w:tc>
        <w:tc>
          <w:tcPr>
            <w:tcW w:w="1464" w:type="dxa"/>
            <w:tcBorders>
              <w:top w:val="nil"/>
              <w:left w:val="nil"/>
              <w:bottom w:val="double" w:sz="6" w:space="0" w:color="auto"/>
              <w:right w:val="nil"/>
            </w:tcBorders>
            <w:shd w:val="clear" w:color="auto" w:fill="auto"/>
            <w:noWrap/>
            <w:vAlign w:val="bottom"/>
            <w:hideMark/>
          </w:tcPr>
          <w:p w14:paraId="00B89ED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269,728</w:t>
            </w:r>
          </w:p>
        </w:tc>
        <w:tc>
          <w:tcPr>
            <w:tcW w:w="1227" w:type="dxa"/>
            <w:tcBorders>
              <w:top w:val="nil"/>
              <w:left w:val="nil"/>
              <w:bottom w:val="double" w:sz="6" w:space="0" w:color="auto"/>
              <w:right w:val="nil"/>
            </w:tcBorders>
            <w:shd w:val="clear" w:color="auto" w:fill="auto"/>
            <w:noWrap/>
            <w:vAlign w:val="bottom"/>
            <w:hideMark/>
          </w:tcPr>
          <w:p w14:paraId="45B379B3"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112,016</w:t>
            </w:r>
          </w:p>
        </w:tc>
        <w:tc>
          <w:tcPr>
            <w:tcW w:w="1408" w:type="dxa"/>
            <w:tcBorders>
              <w:top w:val="nil"/>
              <w:left w:val="nil"/>
              <w:bottom w:val="double" w:sz="6" w:space="0" w:color="auto"/>
              <w:right w:val="nil"/>
            </w:tcBorders>
            <w:shd w:val="clear" w:color="auto" w:fill="auto"/>
            <w:noWrap/>
            <w:vAlign w:val="bottom"/>
            <w:hideMark/>
          </w:tcPr>
          <w:p w14:paraId="115093B6"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110,243</w:t>
            </w:r>
          </w:p>
        </w:tc>
        <w:tc>
          <w:tcPr>
            <w:tcW w:w="1408" w:type="dxa"/>
            <w:tcBorders>
              <w:top w:val="nil"/>
              <w:left w:val="nil"/>
              <w:bottom w:val="double" w:sz="6" w:space="0" w:color="auto"/>
              <w:right w:val="nil"/>
            </w:tcBorders>
            <w:shd w:val="clear" w:color="auto" w:fill="auto"/>
            <w:noWrap/>
            <w:vAlign w:val="bottom"/>
            <w:hideMark/>
          </w:tcPr>
          <w:p w14:paraId="5B3F573A"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105,509</w:t>
            </w:r>
          </w:p>
        </w:tc>
        <w:tc>
          <w:tcPr>
            <w:tcW w:w="1227" w:type="dxa"/>
            <w:tcBorders>
              <w:top w:val="nil"/>
              <w:left w:val="nil"/>
              <w:bottom w:val="double" w:sz="6" w:space="0" w:color="auto"/>
              <w:right w:val="nil"/>
            </w:tcBorders>
            <w:shd w:val="clear" w:color="auto" w:fill="auto"/>
            <w:noWrap/>
            <w:vAlign w:val="bottom"/>
            <w:hideMark/>
          </w:tcPr>
          <w:p w14:paraId="2802290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90,658</w:t>
            </w:r>
          </w:p>
        </w:tc>
        <w:tc>
          <w:tcPr>
            <w:tcW w:w="1227" w:type="dxa"/>
            <w:tcBorders>
              <w:top w:val="nil"/>
              <w:left w:val="nil"/>
              <w:bottom w:val="double" w:sz="6" w:space="0" w:color="auto"/>
              <w:right w:val="nil"/>
            </w:tcBorders>
            <w:shd w:val="clear" w:color="auto" w:fill="auto"/>
            <w:noWrap/>
            <w:vAlign w:val="bottom"/>
            <w:hideMark/>
          </w:tcPr>
          <w:p w14:paraId="75EDE7E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49,622</w:t>
            </w:r>
          </w:p>
        </w:tc>
      </w:tr>
      <w:tr w:rsidR="00A94966" w:rsidRPr="00A94966" w14:paraId="475C364A" w14:textId="77777777" w:rsidTr="00A94966">
        <w:trPr>
          <w:trHeight w:val="280"/>
        </w:trPr>
        <w:tc>
          <w:tcPr>
            <w:tcW w:w="9100" w:type="dxa"/>
            <w:gridSpan w:val="7"/>
            <w:tcBorders>
              <w:top w:val="nil"/>
              <w:left w:val="nil"/>
              <w:bottom w:val="single" w:sz="4" w:space="0" w:color="auto"/>
              <w:right w:val="nil"/>
            </w:tcBorders>
            <w:shd w:val="clear" w:color="auto" w:fill="auto"/>
            <w:noWrap/>
            <w:vAlign w:val="bottom"/>
            <w:hideMark/>
          </w:tcPr>
          <w:p w14:paraId="016629BF" w14:textId="0B369CA0"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MAHARASHTRA LOCKDOWN AND KERALA CFR SCHEDULE</w:t>
            </w:r>
          </w:p>
        </w:tc>
      </w:tr>
      <w:tr w:rsidR="00A94966" w:rsidRPr="00A94966" w14:paraId="7C1B73A5" w14:textId="77777777" w:rsidTr="00A94966">
        <w:trPr>
          <w:trHeight w:val="260"/>
        </w:trPr>
        <w:tc>
          <w:tcPr>
            <w:tcW w:w="1139" w:type="dxa"/>
            <w:tcBorders>
              <w:top w:val="nil"/>
              <w:left w:val="nil"/>
              <w:bottom w:val="nil"/>
              <w:right w:val="nil"/>
            </w:tcBorders>
            <w:shd w:val="clear" w:color="auto" w:fill="auto"/>
            <w:noWrap/>
            <w:vAlign w:val="bottom"/>
            <w:hideMark/>
          </w:tcPr>
          <w:p w14:paraId="379B8DAD" w14:textId="77777777" w:rsidR="00A94966" w:rsidRPr="00A94966" w:rsidRDefault="00A94966" w:rsidP="00A94966">
            <w:pPr>
              <w:jc w:val="center"/>
              <w:rPr>
                <w:rFonts w:ascii="Arial" w:eastAsia="Times New Roman" w:hAnsi="Arial" w:cs="Arial"/>
                <w:color w:val="000000"/>
                <w:sz w:val="20"/>
                <w:szCs w:val="20"/>
              </w:rPr>
            </w:pPr>
          </w:p>
        </w:tc>
        <w:tc>
          <w:tcPr>
            <w:tcW w:w="1464" w:type="dxa"/>
            <w:tcBorders>
              <w:top w:val="nil"/>
              <w:left w:val="nil"/>
              <w:bottom w:val="nil"/>
              <w:right w:val="nil"/>
            </w:tcBorders>
            <w:shd w:val="clear" w:color="auto" w:fill="auto"/>
            <w:noWrap/>
            <w:vAlign w:val="bottom"/>
            <w:hideMark/>
          </w:tcPr>
          <w:p w14:paraId="6596EE27" w14:textId="77777777" w:rsidR="00A94966" w:rsidRPr="00A94966" w:rsidRDefault="00A94966" w:rsidP="00A94966">
            <w:pPr>
              <w:rPr>
                <w:rFonts w:ascii="Times New Roman" w:eastAsia="Times New Roman" w:hAnsi="Times New Roman" w:cs="Times New Roman"/>
                <w:sz w:val="20"/>
                <w:szCs w:val="20"/>
              </w:rPr>
            </w:pPr>
          </w:p>
        </w:tc>
        <w:tc>
          <w:tcPr>
            <w:tcW w:w="6497" w:type="dxa"/>
            <w:gridSpan w:val="5"/>
            <w:tcBorders>
              <w:top w:val="nil"/>
              <w:left w:val="nil"/>
              <w:bottom w:val="single" w:sz="4" w:space="0" w:color="auto"/>
              <w:right w:val="nil"/>
            </w:tcBorders>
            <w:shd w:val="clear" w:color="auto" w:fill="auto"/>
            <w:noWrap/>
            <w:vAlign w:val="bottom"/>
            <w:hideMark/>
          </w:tcPr>
          <w:p w14:paraId="6A3B32D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Lockdown start</w:t>
            </w:r>
          </w:p>
        </w:tc>
      </w:tr>
      <w:tr w:rsidR="00A94966" w:rsidRPr="00A94966" w14:paraId="1E005EE6" w14:textId="77777777" w:rsidTr="00A94966">
        <w:trPr>
          <w:trHeight w:val="260"/>
        </w:trPr>
        <w:tc>
          <w:tcPr>
            <w:tcW w:w="1139" w:type="dxa"/>
            <w:tcBorders>
              <w:top w:val="nil"/>
              <w:left w:val="nil"/>
              <w:bottom w:val="single" w:sz="4" w:space="0" w:color="auto"/>
              <w:right w:val="nil"/>
            </w:tcBorders>
            <w:shd w:val="clear" w:color="auto" w:fill="auto"/>
            <w:noWrap/>
            <w:vAlign w:val="bottom"/>
            <w:hideMark/>
          </w:tcPr>
          <w:p w14:paraId="44306A97" w14:textId="77777777" w:rsidR="00A94966" w:rsidRPr="00A94966" w:rsidRDefault="00A94966" w:rsidP="00A94966">
            <w:pPr>
              <w:rPr>
                <w:rFonts w:ascii="Arial" w:eastAsia="Times New Roman" w:hAnsi="Arial" w:cs="Arial"/>
                <w:color w:val="000000"/>
                <w:sz w:val="20"/>
                <w:szCs w:val="20"/>
              </w:rPr>
            </w:pPr>
            <w:r w:rsidRPr="00A94966">
              <w:rPr>
                <w:rFonts w:ascii="Arial" w:eastAsia="Times New Roman" w:hAnsi="Arial" w:cs="Arial"/>
                <w:color w:val="000000"/>
                <w:sz w:val="20"/>
                <w:szCs w:val="20"/>
              </w:rPr>
              <w:t>Date</w:t>
            </w:r>
          </w:p>
        </w:tc>
        <w:tc>
          <w:tcPr>
            <w:tcW w:w="1464" w:type="dxa"/>
            <w:tcBorders>
              <w:top w:val="nil"/>
              <w:left w:val="nil"/>
              <w:bottom w:val="single" w:sz="4" w:space="0" w:color="auto"/>
              <w:right w:val="nil"/>
            </w:tcBorders>
            <w:shd w:val="clear" w:color="auto" w:fill="auto"/>
            <w:noWrap/>
            <w:vAlign w:val="bottom"/>
            <w:hideMark/>
          </w:tcPr>
          <w:p w14:paraId="1076013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Observed</w:t>
            </w:r>
          </w:p>
        </w:tc>
        <w:tc>
          <w:tcPr>
            <w:tcW w:w="1227" w:type="dxa"/>
            <w:tcBorders>
              <w:top w:val="nil"/>
              <w:left w:val="nil"/>
              <w:bottom w:val="single" w:sz="4" w:space="0" w:color="auto"/>
              <w:right w:val="nil"/>
            </w:tcBorders>
            <w:shd w:val="clear" w:color="auto" w:fill="auto"/>
            <w:noWrap/>
            <w:vAlign w:val="bottom"/>
            <w:hideMark/>
          </w:tcPr>
          <w:p w14:paraId="1A18829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March 1</w:t>
            </w:r>
          </w:p>
        </w:tc>
        <w:tc>
          <w:tcPr>
            <w:tcW w:w="1408" w:type="dxa"/>
            <w:tcBorders>
              <w:top w:val="nil"/>
              <w:left w:val="nil"/>
              <w:bottom w:val="single" w:sz="4" w:space="0" w:color="auto"/>
              <w:right w:val="nil"/>
            </w:tcBorders>
            <w:shd w:val="clear" w:color="auto" w:fill="auto"/>
            <w:noWrap/>
            <w:vAlign w:val="bottom"/>
            <w:hideMark/>
          </w:tcPr>
          <w:p w14:paraId="3956301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March 15</w:t>
            </w:r>
          </w:p>
        </w:tc>
        <w:tc>
          <w:tcPr>
            <w:tcW w:w="1408" w:type="dxa"/>
            <w:tcBorders>
              <w:top w:val="nil"/>
              <w:left w:val="nil"/>
              <w:bottom w:val="single" w:sz="4" w:space="0" w:color="auto"/>
              <w:right w:val="nil"/>
            </w:tcBorders>
            <w:shd w:val="clear" w:color="auto" w:fill="auto"/>
            <w:noWrap/>
            <w:vAlign w:val="bottom"/>
            <w:hideMark/>
          </w:tcPr>
          <w:p w14:paraId="3A7F073E"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March 30</w:t>
            </w:r>
          </w:p>
        </w:tc>
        <w:tc>
          <w:tcPr>
            <w:tcW w:w="1227" w:type="dxa"/>
            <w:tcBorders>
              <w:top w:val="nil"/>
              <w:left w:val="nil"/>
              <w:bottom w:val="single" w:sz="4" w:space="0" w:color="auto"/>
              <w:right w:val="nil"/>
            </w:tcBorders>
            <w:shd w:val="clear" w:color="auto" w:fill="auto"/>
            <w:noWrap/>
            <w:vAlign w:val="bottom"/>
            <w:hideMark/>
          </w:tcPr>
          <w:p w14:paraId="3645B42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April 15</w:t>
            </w:r>
          </w:p>
        </w:tc>
        <w:tc>
          <w:tcPr>
            <w:tcW w:w="1227" w:type="dxa"/>
            <w:tcBorders>
              <w:top w:val="nil"/>
              <w:left w:val="nil"/>
              <w:bottom w:val="single" w:sz="4" w:space="0" w:color="auto"/>
              <w:right w:val="nil"/>
            </w:tcBorders>
            <w:shd w:val="clear" w:color="auto" w:fill="auto"/>
            <w:noWrap/>
            <w:vAlign w:val="bottom"/>
            <w:hideMark/>
          </w:tcPr>
          <w:p w14:paraId="2B1D4C2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April 30</w:t>
            </w:r>
          </w:p>
        </w:tc>
      </w:tr>
      <w:tr w:rsidR="00A94966" w:rsidRPr="00A94966" w14:paraId="38FD6E1D" w14:textId="77777777" w:rsidTr="00A94966">
        <w:trPr>
          <w:trHeight w:val="260"/>
        </w:trPr>
        <w:tc>
          <w:tcPr>
            <w:tcW w:w="1139" w:type="dxa"/>
            <w:tcBorders>
              <w:top w:val="nil"/>
              <w:left w:val="nil"/>
              <w:bottom w:val="nil"/>
              <w:right w:val="nil"/>
            </w:tcBorders>
            <w:shd w:val="clear" w:color="000000" w:fill="D9D9D9"/>
            <w:noWrap/>
            <w:vAlign w:val="bottom"/>
            <w:hideMark/>
          </w:tcPr>
          <w:p w14:paraId="0F455D66"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3/1/21</w:t>
            </w:r>
          </w:p>
        </w:tc>
        <w:tc>
          <w:tcPr>
            <w:tcW w:w="1464" w:type="dxa"/>
            <w:tcBorders>
              <w:top w:val="nil"/>
              <w:left w:val="nil"/>
              <w:bottom w:val="nil"/>
              <w:right w:val="nil"/>
            </w:tcBorders>
            <w:shd w:val="clear" w:color="000000" w:fill="D9D9D9"/>
            <w:noWrap/>
            <w:vAlign w:val="bottom"/>
            <w:hideMark/>
          </w:tcPr>
          <w:p w14:paraId="731CBC3D"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156,695</w:t>
            </w:r>
          </w:p>
        </w:tc>
        <w:tc>
          <w:tcPr>
            <w:tcW w:w="1227" w:type="dxa"/>
            <w:tcBorders>
              <w:top w:val="nil"/>
              <w:left w:val="nil"/>
              <w:bottom w:val="nil"/>
              <w:right w:val="nil"/>
            </w:tcBorders>
            <w:shd w:val="clear" w:color="000000" w:fill="D9D9D9"/>
            <w:noWrap/>
            <w:vAlign w:val="bottom"/>
            <w:hideMark/>
          </w:tcPr>
          <w:p w14:paraId="306E541E"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156,695</w:t>
            </w:r>
          </w:p>
        </w:tc>
        <w:tc>
          <w:tcPr>
            <w:tcW w:w="1408" w:type="dxa"/>
            <w:tcBorders>
              <w:top w:val="nil"/>
              <w:left w:val="nil"/>
              <w:bottom w:val="nil"/>
              <w:right w:val="nil"/>
            </w:tcBorders>
            <w:shd w:val="clear" w:color="000000" w:fill="D9D9D9"/>
            <w:noWrap/>
            <w:vAlign w:val="bottom"/>
            <w:hideMark/>
          </w:tcPr>
          <w:p w14:paraId="139DC25E"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408" w:type="dxa"/>
            <w:tcBorders>
              <w:top w:val="nil"/>
              <w:left w:val="nil"/>
              <w:bottom w:val="nil"/>
              <w:right w:val="nil"/>
            </w:tcBorders>
            <w:shd w:val="clear" w:color="000000" w:fill="D9D9D9"/>
            <w:noWrap/>
            <w:vAlign w:val="bottom"/>
            <w:hideMark/>
          </w:tcPr>
          <w:p w14:paraId="26363DDB"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000000" w:fill="D9D9D9"/>
            <w:noWrap/>
            <w:vAlign w:val="bottom"/>
            <w:hideMark/>
          </w:tcPr>
          <w:p w14:paraId="09EFCCC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000000" w:fill="D9D9D9"/>
            <w:noWrap/>
            <w:vAlign w:val="bottom"/>
            <w:hideMark/>
          </w:tcPr>
          <w:p w14:paraId="4F8EEBEB"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471F06F4" w14:textId="77777777" w:rsidTr="00A94966">
        <w:trPr>
          <w:trHeight w:val="260"/>
        </w:trPr>
        <w:tc>
          <w:tcPr>
            <w:tcW w:w="1139" w:type="dxa"/>
            <w:tcBorders>
              <w:top w:val="nil"/>
              <w:left w:val="nil"/>
              <w:bottom w:val="nil"/>
              <w:right w:val="nil"/>
            </w:tcBorders>
            <w:shd w:val="clear" w:color="auto" w:fill="auto"/>
            <w:noWrap/>
            <w:vAlign w:val="bottom"/>
            <w:hideMark/>
          </w:tcPr>
          <w:p w14:paraId="6D761CE8"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3/15/21</w:t>
            </w:r>
          </w:p>
        </w:tc>
        <w:tc>
          <w:tcPr>
            <w:tcW w:w="1464" w:type="dxa"/>
            <w:tcBorders>
              <w:top w:val="nil"/>
              <w:left w:val="nil"/>
              <w:bottom w:val="nil"/>
              <w:right w:val="nil"/>
            </w:tcBorders>
            <w:shd w:val="clear" w:color="auto" w:fill="auto"/>
            <w:noWrap/>
            <w:vAlign w:val="bottom"/>
            <w:hideMark/>
          </w:tcPr>
          <w:p w14:paraId="673FF055"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158,301</w:t>
            </w:r>
          </w:p>
        </w:tc>
        <w:tc>
          <w:tcPr>
            <w:tcW w:w="1227" w:type="dxa"/>
            <w:tcBorders>
              <w:top w:val="nil"/>
              <w:left w:val="nil"/>
              <w:bottom w:val="nil"/>
              <w:right w:val="nil"/>
            </w:tcBorders>
            <w:shd w:val="clear" w:color="auto" w:fill="auto"/>
            <w:noWrap/>
            <w:vAlign w:val="bottom"/>
            <w:hideMark/>
          </w:tcPr>
          <w:p w14:paraId="1AF3D70E"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157,259</w:t>
            </w:r>
          </w:p>
        </w:tc>
        <w:tc>
          <w:tcPr>
            <w:tcW w:w="1408" w:type="dxa"/>
            <w:tcBorders>
              <w:top w:val="nil"/>
              <w:left w:val="nil"/>
              <w:bottom w:val="nil"/>
              <w:right w:val="nil"/>
            </w:tcBorders>
            <w:shd w:val="clear" w:color="auto" w:fill="auto"/>
            <w:noWrap/>
            <w:vAlign w:val="bottom"/>
            <w:hideMark/>
          </w:tcPr>
          <w:p w14:paraId="178DF653"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158,301</w:t>
            </w:r>
          </w:p>
        </w:tc>
        <w:tc>
          <w:tcPr>
            <w:tcW w:w="1408" w:type="dxa"/>
            <w:tcBorders>
              <w:top w:val="nil"/>
              <w:left w:val="nil"/>
              <w:bottom w:val="nil"/>
              <w:right w:val="nil"/>
            </w:tcBorders>
            <w:shd w:val="clear" w:color="auto" w:fill="auto"/>
            <w:noWrap/>
            <w:vAlign w:val="bottom"/>
            <w:hideMark/>
          </w:tcPr>
          <w:p w14:paraId="3C2F978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auto" w:fill="auto"/>
            <w:noWrap/>
            <w:vAlign w:val="bottom"/>
            <w:hideMark/>
          </w:tcPr>
          <w:p w14:paraId="08D4296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auto" w:fill="auto"/>
            <w:noWrap/>
            <w:vAlign w:val="bottom"/>
            <w:hideMark/>
          </w:tcPr>
          <w:p w14:paraId="4E44F95B"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75893342" w14:textId="77777777" w:rsidTr="00A94966">
        <w:trPr>
          <w:trHeight w:val="260"/>
        </w:trPr>
        <w:tc>
          <w:tcPr>
            <w:tcW w:w="1139" w:type="dxa"/>
            <w:tcBorders>
              <w:top w:val="nil"/>
              <w:left w:val="nil"/>
              <w:bottom w:val="nil"/>
              <w:right w:val="nil"/>
            </w:tcBorders>
            <w:shd w:val="clear" w:color="000000" w:fill="D9D9D9"/>
            <w:noWrap/>
            <w:vAlign w:val="bottom"/>
            <w:hideMark/>
          </w:tcPr>
          <w:p w14:paraId="0C5A91E4"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3/30/21</w:t>
            </w:r>
          </w:p>
        </w:tc>
        <w:tc>
          <w:tcPr>
            <w:tcW w:w="1464" w:type="dxa"/>
            <w:tcBorders>
              <w:top w:val="nil"/>
              <w:left w:val="nil"/>
              <w:bottom w:val="nil"/>
              <w:right w:val="nil"/>
            </w:tcBorders>
            <w:shd w:val="clear" w:color="000000" w:fill="D9D9D9"/>
            <w:noWrap/>
            <w:vAlign w:val="bottom"/>
            <w:hideMark/>
          </w:tcPr>
          <w:p w14:paraId="099B83BD"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161,911</w:t>
            </w:r>
          </w:p>
        </w:tc>
        <w:tc>
          <w:tcPr>
            <w:tcW w:w="1227" w:type="dxa"/>
            <w:tcBorders>
              <w:top w:val="nil"/>
              <w:left w:val="nil"/>
              <w:bottom w:val="nil"/>
              <w:right w:val="nil"/>
            </w:tcBorders>
            <w:shd w:val="clear" w:color="000000" w:fill="D9D9D9"/>
            <w:noWrap/>
            <w:vAlign w:val="bottom"/>
            <w:hideMark/>
          </w:tcPr>
          <w:p w14:paraId="2E19AE1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157,816</w:t>
            </w:r>
          </w:p>
        </w:tc>
        <w:tc>
          <w:tcPr>
            <w:tcW w:w="1408" w:type="dxa"/>
            <w:tcBorders>
              <w:top w:val="nil"/>
              <w:left w:val="nil"/>
              <w:bottom w:val="nil"/>
              <w:right w:val="nil"/>
            </w:tcBorders>
            <w:shd w:val="clear" w:color="000000" w:fill="D9D9D9"/>
            <w:noWrap/>
            <w:vAlign w:val="bottom"/>
            <w:hideMark/>
          </w:tcPr>
          <w:p w14:paraId="2A37BC2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159,210</w:t>
            </w:r>
          </w:p>
        </w:tc>
        <w:tc>
          <w:tcPr>
            <w:tcW w:w="1408" w:type="dxa"/>
            <w:tcBorders>
              <w:top w:val="nil"/>
              <w:left w:val="nil"/>
              <w:bottom w:val="nil"/>
              <w:right w:val="nil"/>
            </w:tcBorders>
            <w:shd w:val="clear" w:color="000000" w:fill="D9D9D9"/>
            <w:noWrap/>
            <w:vAlign w:val="bottom"/>
            <w:hideMark/>
          </w:tcPr>
          <w:p w14:paraId="373A3FA5"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161,911</w:t>
            </w:r>
          </w:p>
        </w:tc>
        <w:tc>
          <w:tcPr>
            <w:tcW w:w="1227" w:type="dxa"/>
            <w:tcBorders>
              <w:top w:val="nil"/>
              <w:left w:val="nil"/>
              <w:bottom w:val="nil"/>
              <w:right w:val="nil"/>
            </w:tcBorders>
            <w:shd w:val="clear" w:color="000000" w:fill="D9D9D9"/>
            <w:noWrap/>
            <w:vAlign w:val="bottom"/>
            <w:hideMark/>
          </w:tcPr>
          <w:p w14:paraId="50A8731C"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000000" w:fill="D9D9D9"/>
            <w:noWrap/>
            <w:vAlign w:val="bottom"/>
            <w:hideMark/>
          </w:tcPr>
          <w:p w14:paraId="6954CEAA"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60BE4075" w14:textId="77777777" w:rsidTr="00A94966">
        <w:trPr>
          <w:trHeight w:val="260"/>
        </w:trPr>
        <w:tc>
          <w:tcPr>
            <w:tcW w:w="1139" w:type="dxa"/>
            <w:tcBorders>
              <w:top w:val="nil"/>
              <w:left w:val="nil"/>
              <w:bottom w:val="nil"/>
              <w:right w:val="nil"/>
            </w:tcBorders>
            <w:shd w:val="clear" w:color="auto" w:fill="auto"/>
            <w:noWrap/>
            <w:vAlign w:val="bottom"/>
            <w:hideMark/>
          </w:tcPr>
          <w:p w14:paraId="2B807393"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4/15/21</w:t>
            </w:r>
          </w:p>
        </w:tc>
        <w:tc>
          <w:tcPr>
            <w:tcW w:w="1464" w:type="dxa"/>
            <w:tcBorders>
              <w:top w:val="nil"/>
              <w:left w:val="nil"/>
              <w:bottom w:val="nil"/>
              <w:right w:val="nil"/>
            </w:tcBorders>
            <w:shd w:val="clear" w:color="auto" w:fill="auto"/>
            <w:noWrap/>
            <w:vAlign w:val="bottom"/>
            <w:hideMark/>
          </w:tcPr>
          <w:p w14:paraId="79DE86F8"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173,746</w:t>
            </w:r>
          </w:p>
        </w:tc>
        <w:tc>
          <w:tcPr>
            <w:tcW w:w="1227" w:type="dxa"/>
            <w:tcBorders>
              <w:top w:val="nil"/>
              <w:left w:val="nil"/>
              <w:bottom w:val="nil"/>
              <w:right w:val="nil"/>
            </w:tcBorders>
            <w:shd w:val="clear" w:color="auto" w:fill="auto"/>
            <w:noWrap/>
            <w:vAlign w:val="bottom"/>
            <w:hideMark/>
          </w:tcPr>
          <w:p w14:paraId="68ECDD9D"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158,116</w:t>
            </w:r>
          </w:p>
        </w:tc>
        <w:tc>
          <w:tcPr>
            <w:tcW w:w="1408" w:type="dxa"/>
            <w:tcBorders>
              <w:top w:val="nil"/>
              <w:left w:val="nil"/>
              <w:bottom w:val="nil"/>
              <w:right w:val="nil"/>
            </w:tcBorders>
            <w:shd w:val="clear" w:color="auto" w:fill="auto"/>
            <w:noWrap/>
            <w:vAlign w:val="bottom"/>
            <w:hideMark/>
          </w:tcPr>
          <w:p w14:paraId="61FEC43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159,696</w:t>
            </w:r>
          </w:p>
        </w:tc>
        <w:tc>
          <w:tcPr>
            <w:tcW w:w="1408" w:type="dxa"/>
            <w:tcBorders>
              <w:top w:val="nil"/>
              <w:left w:val="nil"/>
              <w:bottom w:val="nil"/>
              <w:right w:val="nil"/>
            </w:tcBorders>
            <w:shd w:val="clear" w:color="auto" w:fill="auto"/>
            <w:noWrap/>
            <w:vAlign w:val="bottom"/>
            <w:hideMark/>
          </w:tcPr>
          <w:p w14:paraId="05BB9A8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163,819</w:t>
            </w:r>
          </w:p>
        </w:tc>
        <w:tc>
          <w:tcPr>
            <w:tcW w:w="1227" w:type="dxa"/>
            <w:tcBorders>
              <w:top w:val="nil"/>
              <w:left w:val="nil"/>
              <w:bottom w:val="nil"/>
              <w:right w:val="nil"/>
            </w:tcBorders>
            <w:shd w:val="clear" w:color="auto" w:fill="auto"/>
            <w:noWrap/>
            <w:vAlign w:val="bottom"/>
            <w:hideMark/>
          </w:tcPr>
          <w:p w14:paraId="0923E74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173,746</w:t>
            </w:r>
          </w:p>
        </w:tc>
        <w:tc>
          <w:tcPr>
            <w:tcW w:w="1227" w:type="dxa"/>
            <w:tcBorders>
              <w:top w:val="nil"/>
              <w:left w:val="nil"/>
              <w:bottom w:val="nil"/>
              <w:right w:val="nil"/>
            </w:tcBorders>
            <w:shd w:val="clear" w:color="auto" w:fill="auto"/>
            <w:noWrap/>
            <w:vAlign w:val="bottom"/>
            <w:hideMark/>
          </w:tcPr>
          <w:p w14:paraId="416BD45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1CE42DD9" w14:textId="77777777" w:rsidTr="00A94966">
        <w:trPr>
          <w:trHeight w:val="260"/>
        </w:trPr>
        <w:tc>
          <w:tcPr>
            <w:tcW w:w="1139" w:type="dxa"/>
            <w:tcBorders>
              <w:top w:val="nil"/>
              <w:left w:val="nil"/>
              <w:bottom w:val="nil"/>
              <w:right w:val="nil"/>
            </w:tcBorders>
            <w:shd w:val="clear" w:color="000000" w:fill="D9D9D9"/>
            <w:noWrap/>
            <w:vAlign w:val="bottom"/>
            <w:hideMark/>
          </w:tcPr>
          <w:p w14:paraId="7DBBB871"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4/30/21</w:t>
            </w:r>
          </w:p>
        </w:tc>
        <w:tc>
          <w:tcPr>
            <w:tcW w:w="1464" w:type="dxa"/>
            <w:tcBorders>
              <w:top w:val="nil"/>
              <w:left w:val="nil"/>
              <w:bottom w:val="nil"/>
              <w:right w:val="nil"/>
            </w:tcBorders>
            <w:shd w:val="clear" w:color="000000" w:fill="D9D9D9"/>
            <w:noWrap/>
            <w:vAlign w:val="bottom"/>
            <w:hideMark/>
          </w:tcPr>
          <w:p w14:paraId="259FD57E"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211,248</w:t>
            </w:r>
          </w:p>
        </w:tc>
        <w:tc>
          <w:tcPr>
            <w:tcW w:w="1227" w:type="dxa"/>
            <w:tcBorders>
              <w:top w:val="nil"/>
              <w:left w:val="nil"/>
              <w:bottom w:val="nil"/>
              <w:right w:val="nil"/>
            </w:tcBorders>
            <w:shd w:val="clear" w:color="000000" w:fill="D9D9D9"/>
            <w:noWrap/>
            <w:vAlign w:val="bottom"/>
            <w:hideMark/>
          </w:tcPr>
          <w:p w14:paraId="7FCE01C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158,192</w:t>
            </w:r>
          </w:p>
        </w:tc>
        <w:tc>
          <w:tcPr>
            <w:tcW w:w="1408" w:type="dxa"/>
            <w:tcBorders>
              <w:top w:val="nil"/>
              <w:left w:val="nil"/>
              <w:bottom w:val="nil"/>
              <w:right w:val="nil"/>
            </w:tcBorders>
            <w:shd w:val="clear" w:color="000000" w:fill="D9D9D9"/>
            <w:noWrap/>
            <w:vAlign w:val="bottom"/>
            <w:hideMark/>
          </w:tcPr>
          <w:p w14:paraId="1D27730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159,824</w:t>
            </w:r>
          </w:p>
        </w:tc>
        <w:tc>
          <w:tcPr>
            <w:tcW w:w="1408" w:type="dxa"/>
            <w:tcBorders>
              <w:top w:val="nil"/>
              <w:left w:val="nil"/>
              <w:bottom w:val="nil"/>
              <w:right w:val="nil"/>
            </w:tcBorders>
            <w:shd w:val="clear" w:color="000000" w:fill="D9D9D9"/>
            <w:noWrap/>
            <w:vAlign w:val="bottom"/>
            <w:hideMark/>
          </w:tcPr>
          <w:p w14:paraId="0D73D84A"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164,421</w:t>
            </w:r>
          </w:p>
        </w:tc>
        <w:tc>
          <w:tcPr>
            <w:tcW w:w="1227" w:type="dxa"/>
            <w:tcBorders>
              <w:top w:val="nil"/>
              <w:left w:val="nil"/>
              <w:bottom w:val="nil"/>
              <w:right w:val="nil"/>
            </w:tcBorders>
            <w:shd w:val="clear" w:color="000000" w:fill="D9D9D9"/>
            <w:noWrap/>
            <w:vAlign w:val="bottom"/>
            <w:hideMark/>
          </w:tcPr>
          <w:p w14:paraId="303D4A1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176,927</w:t>
            </w:r>
          </w:p>
        </w:tc>
        <w:tc>
          <w:tcPr>
            <w:tcW w:w="1227" w:type="dxa"/>
            <w:tcBorders>
              <w:top w:val="nil"/>
              <w:left w:val="nil"/>
              <w:bottom w:val="nil"/>
              <w:right w:val="nil"/>
            </w:tcBorders>
            <w:shd w:val="clear" w:color="000000" w:fill="D9D9D9"/>
            <w:noWrap/>
            <w:vAlign w:val="bottom"/>
            <w:hideMark/>
          </w:tcPr>
          <w:p w14:paraId="3A4FA7C6"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211,248</w:t>
            </w:r>
          </w:p>
        </w:tc>
      </w:tr>
      <w:tr w:rsidR="00A94966" w:rsidRPr="00A94966" w14:paraId="3003D751" w14:textId="77777777" w:rsidTr="00A94966">
        <w:trPr>
          <w:trHeight w:val="260"/>
        </w:trPr>
        <w:tc>
          <w:tcPr>
            <w:tcW w:w="1139" w:type="dxa"/>
            <w:tcBorders>
              <w:top w:val="nil"/>
              <w:left w:val="nil"/>
              <w:bottom w:val="nil"/>
              <w:right w:val="nil"/>
            </w:tcBorders>
            <w:shd w:val="clear" w:color="auto" w:fill="auto"/>
            <w:noWrap/>
            <w:vAlign w:val="bottom"/>
            <w:hideMark/>
          </w:tcPr>
          <w:p w14:paraId="78BFAC47"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5/15/21</w:t>
            </w:r>
          </w:p>
        </w:tc>
        <w:tc>
          <w:tcPr>
            <w:tcW w:w="1464" w:type="dxa"/>
            <w:tcBorders>
              <w:top w:val="nil"/>
              <w:left w:val="nil"/>
              <w:bottom w:val="nil"/>
              <w:right w:val="nil"/>
            </w:tcBorders>
            <w:shd w:val="clear" w:color="auto" w:fill="auto"/>
            <w:noWrap/>
            <w:vAlign w:val="bottom"/>
            <w:hideMark/>
          </w:tcPr>
          <w:p w14:paraId="6C4126D0"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269,728</w:t>
            </w:r>
          </w:p>
        </w:tc>
        <w:tc>
          <w:tcPr>
            <w:tcW w:w="1227" w:type="dxa"/>
            <w:tcBorders>
              <w:top w:val="nil"/>
              <w:left w:val="nil"/>
              <w:bottom w:val="nil"/>
              <w:right w:val="nil"/>
            </w:tcBorders>
            <w:shd w:val="clear" w:color="auto" w:fill="auto"/>
            <w:noWrap/>
            <w:vAlign w:val="bottom"/>
            <w:hideMark/>
          </w:tcPr>
          <w:p w14:paraId="1A7ADFB1"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158,254</w:t>
            </w:r>
          </w:p>
        </w:tc>
        <w:tc>
          <w:tcPr>
            <w:tcW w:w="1408" w:type="dxa"/>
            <w:tcBorders>
              <w:top w:val="nil"/>
              <w:left w:val="nil"/>
              <w:bottom w:val="nil"/>
              <w:right w:val="nil"/>
            </w:tcBorders>
            <w:shd w:val="clear" w:color="auto" w:fill="auto"/>
            <w:noWrap/>
            <w:vAlign w:val="bottom"/>
            <w:hideMark/>
          </w:tcPr>
          <w:p w14:paraId="76E452F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159,941</w:t>
            </w:r>
          </w:p>
        </w:tc>
        <w:tc>
          <w:tcPr>
            <w:tcW w:w="1408" w:type="dxa"/>
            <w:tcBorders>
              <w:top w:val="nil"/>
              <w:left w:val="nil"/>
              <w:bottom w:val="nil"/>
              <w:right w:val="nil"/>
            </w:tcBorders>
            <w:shd w:val="clear" w:color="auto" w:fill="auto"/>
            <w:noWrap/>
            <w:vAlign w:val="bottom"/>
            <w:hideMark/>
          </w:tcPr>
          <w:p w14:paraId="304F49B0"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165,046</w:t>
            </w:r>
          </w:p>
        </w:tc>
        <w:tc>
          <w:tcPr>
            <w:tcW w:w="1227" w:type="dxa"/>
            <w:tcBorders>
              <w:top w:val="nil"/>
              <w:left w:val="nil"/>
              <w:bottom w:val="nil"/>
              <w:right w:val="nil"/>
            </w:tcBorders>
            <w:shd w:val="clear" w:color="auto" w:fill="auto"/>
            <w:noWrap/>
            <w:vAlign w:val="bottom"/>
            <w:hideMark/>
          </w:tcPr>
          <w:p w14:paraId="6CCA9FE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181,471</w:t>
            </w:r>
          </w:p>
        </w:tc>
        <w:tc>
          <w:tcPr>
            <w:tcW w:w="1227" w:type="dxa"/>
            <w:tcBorders>
              <w:top w:val="nil"/>
              <w:left w:val="nil"/>
              <w:bottom w:val="nil"/>
              <w:right w:val="nil"/>
            </w:tcBorders>
            <w:shd w:val="clear" w:color="auto" w:fill="auto"/>
            <w:noWrap/>
            <w:vAlign w:val="bottom"/>
            <w:hideMark/>
          </w:tcPr>
          <w:p w14:paraId="34655F40"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222,048</w:t>
            </w:r>
          </w:p>
        </w:tc>
      </w:tr>
      <w:tr w:rsidR="00A94966" w:rsidRPr="00A94966" w14:paraId="2FE0C8C8" w14:textId="77777777" w:rsidTr="00A94966">
        <w:trPr>
          <w:trHeight w:val="260"/>
        </w:trPr>
        <w:tc>
          <w:tcPr>
            <w:tcW w:w="1139" w:type="dxa"/>
            <w:tcBorders>
              <w:top w:val="nil"/>
              <w:left w:val="nil"/>
              <w:bottom w:val="nil"/>
              <w:right w:val="nil"/>
            </w:tcBorders>
            <w:shd w:val="clear" w:color="auto" w:fill="auto"/>
            <w:noWrap/>
            <w:vAlign w:val="bottom"/>
            <w:hideMark/>
          </w:tcPr>
          <w:p w14:paraId="1E6819B1" w14:textId="77777777" w:rsidR="00A94966" w:rsidRPr="00A94966" w:rsidRDefault="00A94966" w:rsidP="00A94966">
            <w:pPr>
              <w:jc w:val="center"/>
              <w:rPr>
                <w:rFonts w:ascii="Arial" w:eastAsia="Times New Roman" w:hAnsi="Arial" w:cs="Arial"/>
                <w:color w:val="000000"/>
                <w:sz w:val="20"/>
                <w:szCs w:val="20"/>
              </w:rPr>
            </w:pPr>
          </w:p>
        </w:tc>
        <w:tc>
          <w:tcPr>
            <w:tcW w:w="1464" w:type="dxa"/>
            <w:tcBorders>
              <w:top w:val="nil"/>
              <w:left w:val="nil"/>
              <w:bottom w:val="nil"/>
              <w:right w:val="nil"/>
            </w:tcBorders>
            <w:shd w:val="clear" w:color="auto" w:fill="auto"/>
            <w:noWrap/>
            <w:vAlign w:val="bottom"/>
            <w:hideMark/>
          </w:tcPr>
          <w:p w14:paraId="1AAE57EC" w14:textId="77777777" w:rsidR="00A94966" w:rsidRPr="00A94966" w:rsidRDefault="00A94966" w:rsidP="00A94966">
            <w:pPr>
              <w:rPr>
                <w:rFonts w:ascii="Times New Roman" w:eastAsia="Times New Roman" w:hAnsi="Times New Roman" w:cs="Times New Roman"/>
                <w:sz w:val="20"/>
                <w:szCs w:val="20"/>
              </w:rPr>
            </w:pPr>
          </w:p>
        </w:tc>
        <w:tc>
          <w:tcPr>
            <w:tcW w:w="6497" w:type="dxa"/>
            <w:gridSpan w:val="5"/>
            <w:tcBorders>
              <w:top w:val="nil"/>
              <w:left w:val="nil"/>
              <w:bottom w:val="single" w:sz="4" w:space="0" w:color="auto"/>
              <w:right w:val="nil"/>
            </w:tcBorders>
            <w:shd w:val="clear" w:color="auto" w:fill="auto"/>
            <w:noWrap/>
            <w:vAlign w:val="bottom"/>
            <w:hideMark/>
          </w:tcPr>
          <w:p w14:paraId="2D6FAA30"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Deaths averted</w:t>
            </w:r>
          </w:p>
        </w:tc>
      </w:tr>
      <w:tr w:rsidR="00A94966" w:rsidRPr="00A94966" w14:paraId="7888EA34" w14:textId="77777777" w:rsidTr="00A94966">
        <w:trPr>
          <w:trHeight w:val="260"/>
        </w:trPr>
        <w:tc>
          <w:tcPr>
            <w:tcW w:w="1139" w:type="dxa"/>
            <w:tcBorders>
              <w:top w:val="nil"/>
              <w:left w:val="nil"/>
              <w:bottom w:val="nil"/>
              <w:right w:val="nil"/>
            </w:tcBorders>
            <w:shd w:val="clear" w:color="000000" w:fill="D9D9D9"/>
            <w:noWrap/>
            <w:vAlign w:val="bottom"/>
            <w:hideMark/>
          </w:tcPr>
          <w:p w14:paraId="5D837639"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3/1/21</w:t>
            </w:r>
          </w:p>
        </w:tc>
        <w:tc>
          <w:tcPr>
            <w:tcW w:w="1464" w:type="dxa"/>
            <w:tcBorders>
              <w:top w:val="nil"/>
              <w:left w:val="nil"/>
              <w:bottom w:val="nil"/>
              <w:right w:val="nil"/>
            </w:tcBorders>
            <w:shd w:val="clear" w:color="000000" w:fill="D9D9D9"/>
            <w:noWrap/>
            <w:vAlign w:val="bottom"/>
            <w:hideMark/>
          </w:tcPr>
          <w:p w14:paraId="175B532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156,695</w:t>
            </w:r>
          </w:p>
        </w:tc>
        <w:tc>
          <w:tcPr>
            <w:tcW w:w="1227" w:type="dxa"/>
            <w:tcBorders>
              <w:top w:val="nil"/>
              <w:left w:val="nil"/>
              <w:bottom w:val="nil"/>
              <w:right w:val="nil"/>
            </w:tcBorders>
            <w:shd w:val="clear" w:color="000000" w:fill="D9D9D9"/>
            <w:noWrap/>
            <w:vAlign w:val="bottom"/>
            <w:hideMark/>
          </w:tcPr>
          <w:p w14:paraId="2592E9D3"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0</w:t>
            </w:r>
          </w:p>
        </w:tc>
        <w:tc>
          <w:tcPr>
            <w:tcW w:w="1408" w:type="dxa"/>
            <w:tcBorders>
              <w:top w:val="nil"/>
              <w:left w:val="nil"/>
              <w:bottom w:val="nil"/>
              <w:right w:val="nil"/>
            </w:tcBorders>
            <w:shd w:val="clear" w:color="000000" w:fill="D9D9D9"/>
            <w:noWrap/>
            <w:vAlign w:val="bottom"/>
            <w:hideMark/>
          </w:tcPr>
          <w:p w14:paraId="1020FC8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408" w:type="dxa"/>
            <w:tcBorders>
              <w:top w:val="nil"/>
              <w:left w:val="nil"/>
              <w:bottom w:val="nil"/>
              <w:right w:val="nil"/>
            </w:tcBorders>
            <w:shd w:val="clear" w:color="000000" w:fill="D9D9D9"/>
            <w:noWrap/>
            <w:vAlign w:val="bottom"/>
            <w:hideMark/>
          </w:tcPr>
          <w:p w14:paraId="5C84755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000000" w:fill="D9D9D9"/>
            <w:noWrap/>
            <w:vAlign w:val="bottom"/>
            <w:hideMark/>
          </w:tcPr>
          <w:p w14:paraId="6096BAE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000000" w:fill="D9D9D9"/>
            <w:noWrap/>
            <w:vAlign w:val="bottom"/>
            <w:hideMark/>
          </w:tcPr>
          <w:p w14:paraId="118D65D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08FB6CFF" w14:textId="77777777" w:rsidTr="00A94966">
        <w:trPr>
          <w:trHeight w:val="260"/>
        </w:trPr>
        <w:tc>
          <w:tcPr>
            <w:tcW w:w="1139" w:type="dxa"/>
            <w:tcBorders>
              <w:top w:val="nil"/>
              <w:left w:val="nil"/>
              <w:bottom w:val="nil"/>
              <w:right w:val="nil"/>
            </w:tcBorders>
            <w:shd w:val="clear" w:color="auto" w:fill="auto"/>
            <w:noWrap/>
            <w:vAlign w:val="bottom"/>
            <w:hideMark/>
          </w:tcPr>
          <w:p w14:paraId="378DCBD2"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3/15/21</w:t>
            </w:r>
          </w:p>
        </w:tc>
        <w:tc>
          <w:tcPr>
            <w:tcW w:w="1464" w:type="dxa"/>
            <w:tcBorders>
              <w:top w:val="nil"/>
              <w:left w:val="nil"/>
              <w:bottom w:val="nil"/>
              <w:right w:val="nil"/>
            </w:tcBorders>
            <w:shd w:val="clear" w:color="auto" w:fill="auto"/>
            <w:noWrap/>
            <w:vAlign w:val="bottom"/>
            <w:hideMark/>
          </w:tcPr>
          <w:p w14:paraId="55D105BD"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158,301</w:t>
            </w:r>
          </w:p>
        </w:tc>
        <w:tc>
          <w:tcPr>
            <w:tcW w:w="1227" w:type="dxa"/>
            <w:tcBorders>
              <w:top w:val="nil"/>
              <w:left w:val="nil"/>
              <w:bottom w:val="nil"/>
              <w:right w:val="nil"/>
            </w:tcBorders>
            <w:shd w:val="clear" w:color="auto" w:fill="auto"/>
            <w:noWrap/>
            <w:vAlign w:val="bottom"/>
            <w:hideMark/>
          </w:tcPr>
          <w:p w14:paraId="4ED60451"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1,042</w:t>
            </w:r>
          </w:p>
        </w:tc>
        <w:tc>
          <w:tcPr>
            <w:tcW w:w="1408" w:type="dxa"/>
            <w:tcBorders>
              <w:top w:val="nil"/>
              <w:left w:val="nil"/>
              <w:bottom w:val="nil"/>
              <w:right w:val="nil"/>
            </w:tcBorders>
            <w:shd w:val="clear" w:color="auto" w:fill="auto"/>
            <w:noWrap/>
            <w:vAlign w:val="bottom"/>
            <w:hideMark/>
          </w:tcPr>
          <w:p w14:paraId="03707D68"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0</w:t>
            </w:r>
          </w:p>
        </w:tc>
        <w:tc>
          <w:tcPr>
            <w:tcW w:w="1408" w:type="dxa"/>
            <w:tcBorders>
              <w:top w:val="nil"/>
              <w:left w:val="nil"/>
              <w:bottom w:val="nil"/>
              <w:right w:val="nil"/>
            </w:tcBorders>
            <w:shd w:val="clear" w:color="auto" w:fill="auto"/>
            <w:noWrap/>
            <w:vAlign w:val="bottom"/>
            <w:hideMark/>
          </w:tcPr>
          <w:p w14:paraId="0D87BA6D"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auto" w:fill="auto"/>
            <w:noWrap/>
            <w:vAlign w:val="bottom"/>
            <w:hideMark/>
          </w:tcPr>
          <w:p w14:paraId="2B07B18E"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auto" w:fill="auto"/>
            <w:noWrap/>
            <w:vAlign w:val="bottom"/>
            <w:hideMark/>
          </w:tcPr>
          <w:p w14:paraId="613352C6"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53693C79" w14:textId="77777777" w:rsidTr="00A94966">
        <w:trPr>
          <w:trHeight w:val="260"/>
        </w:trPr>
        <w:tc>
          <w:tcPr>
            <w:tcW w:w="1139" w:type="dxa"/>
            <w:tcBorders>
              <w:top w:val="nil"/>
              <w:left w:val="nil"/>
              <w:bottom w:val="nil"/>
              <w:right w:val="nil"/>
            </w:tcBorders>
            <w:shd w:val="clear" w:color="000000" w:fill="D9D9D9"/>
            <w:noWrap/>
            <w:vAlign w:val="bottom"/>
            <w:hideMark/>
          </w:tcPr>
          <w:p w14:paraId="309117CD"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3/30/21</w:t>
            </w:r>
          </w:p>
        </w:tc>
        <w:tc>
          <w:tcPr>
            <w:tcW w:w="1464" w:type="dxa"/>
            <w:tcBorders>
              <w:top w:val="nil"/>
              <w:left w:val="nil"/>
              <w:bottom w:val="nil"/>
              <w:right w:val="nil"/>
            </w:tcBorders>
            <w:shd w:val="clear" w:color="000000" w:fill="D9D9D9"/>
            <w:noWrap/>
            <w:vAlign w:val="bottom"/>
            <w:hideMark/>
          </w:tcPr>
          <w:p w14:paraId="494AF0E8"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161,911</w:t>
            </w:r>
          </w:p>
        </w:tc>
        <w:tc>
          <w:tcPr>
            <w:tcW w:w="1227" w:type="dxa"/>
            <w:tcBorders>
              <w:top w:val="nil"/>
              <w:left w:val="nil"/>
              <w:bottom w:val="nil"/>
              <w:right w:val="nil"/>
            </w:tcBorders>
            <w:shd w:val="clear" w:color="000000" w:fill="D9D9D9"/>
            <w:noWrap/>
            <w:vAlign w:val="bottom"/>
            <w:hideMark/>
          </w:tcPr>
          <w:p w14:paraId="5B08E186"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4,095</w:t>
            </w:r>
          </w:p>
        </w:tc>
        <w:tc>
          <w:tcPr>
            <w:tcW w:w="1408" w:type="dxa"/>
            <w:tcBorders>
              <w:top w:val="nil"/>
              <w:left w:val="nil"/>
              <w:bottom w:val="nil"/>
              <w:right w:val="nil"/>
            </w:tcBorders>
            <w:shd w:val="clear" w:color="000000" w:fill="D9D9D9"/>
            <w:noWrap/>
            <w:vAlign w:val="bottom"/>
            <w:hideMark/>
          </w:tcPr>
          <w:p w14:paraId="7EC0CB6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2,701</w:t>
            </w:r>
          </w:p>
        </w:tc>
        <w:tc>
          <w:tcPr>
            <w:tcW w:w="1408" w:type="dxa"/>
            <w:tcBorders>
              <w:top w:val="nil"/>
              <w:left w:val="nil"/>
              <w:bottom w:val="nil"/>
              <w:right w:val="nil"/>
            </w:tcBorders>
            <w:shd w:val="clear" w:color="000000" w:fill="D9D9D9"/>
            <w:noWrap/>
            <w:vAlign w:val="bottom"/>
            <w:hideMark/>
          </w:tcPr>
          <w:p w14:paraId="454967E5"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0</w:t>
            </w:r>
          </w:p>
        </w:tc>
        <w:tc>
          <w:tcPr>
            <w:tcW w:w="1227" w:type="dxa"/>
            <w:tcBorders>
              <w:top w:val="nil"/>
              <w:left w:val="nil"/>
              <w:bottom w:val="nil"/>
              <w:right w:val="nil"/>
            </w:tcBorders>
            <w:shd w:val="clear" w:color="000000" w:fill="D9D9D9"/>
            <w:noWrap/>
            <w:vAlign w:val="bottom"/>
            <w:hideMark/>
          </w:tcPr>
          <w:p w14:paraId="2C239EB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c>
          <w:tcPr>
            <w:tcW w:w="1227" w:type="dxa"/>
            <w:tcBorders>
              <w:top w:val="nil"/>
              <w:left w:val="nil"/>
              <w:bottom w:val="nil"/>
              <w:right w:val="nil"/>
            </w:tcBorders>
            <w:shd w:val="clear" w:color="000000" w:fill="D9D9D9"/>
            <w:noWrap/>
            <w:vAlign w:val="bottom"/>
            <w:hideMark/>
          </w:tcPr>
          <w:p w14:paraId="6D8CF393"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56081D46" w14:textId="77777777" w:rsidTr="00A94966">
        <w:trPr>
          <w:trHeight w:val="260"/>
        </w:trPr>
        <w:tc>
          <w:tcPr>
            <w:tcW w:w="1139" w:type="dxa"/>
            <w:tcBorders>
              <w:top w:val="nil"/>
              <w:left w:val="nil"/>
              <w:bottom w:val="nil"/>
              <w:right w:val="nil"/>
            </w:tcBorders>
            <w:shd w:val="clear" w:color="auto" w:fill="auto"/>
            <w:noWrap/>
            <w:vAlign w:val="bottom"/>
            <w:hideMark/>
          </w:tcPr>
          <w:p w14:paraId="0741C15B"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4/15/21</w:t>
            </w:r>
          </w:p>
        </w:tc>
        <w:tc>
          <w:tcPr>
            <w:tcW w:w="1464" w:type="dxa"/>
            <w:tcBorders>
              <w:top w:val="nil"/>
              <w:left w:val="nil"/>
              <w:bottom w:val="nil"/>
              <w:right w:val="nil"/>
            </w:tcBorders>
            <w:shd w:val="clear" w:color="auto" w:fill="auto"/>
            <w:noWrap/>
            <w:vAlign w:val="bottom"/>
            <w:hideMark/>
          </w:tcPr>
          <w:p w14:paraId="00A379E8"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173,746</w:t>
            </w:r>
          </w:p>
        </w:tc>
        <w:tc>
          <w:tcPr>
            <w:tcW w:w="1227" w:type="dxa"/>
            <w:tcBorders>
              <w:top w:val="nil"/>
              <w:left w:val="nil"/>
              <w:bottom w:val="nil"/>
              <w:right w:val="nil"/>
            </w:tcBorders>
            <w:shd w:val="clear" w:color="auto" w:fill="auto"/>
            <w:noWrap/>
            <w:vAlign w:val="bottom"/>
            <w:hideMark/>
          </w:tcPr>
          <w:p w14:paraId="1A88757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15,630</w:t>
            </w:r>
          </w:p>
        </w:tc>
        <w:tc>
          <w:tcPr>
            <w:tcW w:w="1408" w:type="dxa"/>
            <w:tcBorders>
              <w:top w:val="nil"/>
              <w:left w:val="nil"/>
              <w:bottom w:val="nil"/>
              <w:right w:val="nil"/>
            </w:tcBorders>
            <w:shd w:val="clear" w:color="auto" w:fill="auto"/>
            <w:noWrap/>
            <w:vAlign w:val="bottom"/>
            <w:hideMark/>
          </w:tcPr>
          <w:p w14:paraId="000E9127"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14,050</w:t>
            </w:r>
          </w:p>
        </w:tc>
        <w:tc>
          <w:tcPr>
            <w:tcW w:w="1408" w:type="dxa"/>
            <w:tcBorders>
              <w:top w:val="nil"/>
              <w:left w:val="nil"/>
              <w:bottom w:val="nil"/>
              <w:right w:val="nil"/>
            </w:tcBorders>
            <w:shd w:val="clear" w:color="auto" w:fill="auto"/>
            <w:noWrap/>
            <w:vAlign w:val="bottom"/>
            <w:hideMark/>
          </w:tcPr>
          <w:p w14:paraId="49E33203"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9,927</w:t>
            </w:r>
          </w:p>
        </w:tc>
        <w:tc>
          <w:tcPr>
            <w:tcW w:w="1227" w:type="dxa"/>
            <w:tcBorders>
              <w:top w:val="nil"/>
              <w:left w:val="nil"/>
              <w:bottom w:val="nil"/>
              <w:right w:val="nil"/>
            </w:tcBorders>
            <w:shd w:val="clear" w:color="auto" w:fill="auto"/>
            <w:noWrap/>
            <w:vAlign w:val="bottom"/>
            <w:hideMark/>
          </w:tcPr>
          <w:p w14:paraId="2C027F10"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0</w:t>
            </w:r>
          </w:p>
        </w:tc>
        <w:tc>
          <w:tcPr>
            <w:tcW w:w="1227" w:type="dxa"/>
            <w:tcBorders>
              <w:top w:val="nil"/>
              <w:left w:val="nil"/>
              <w:bottom w:val="nil"/>
              <w:right w:val="nil"/>
            </w:tcBorders>
            <w:shd w:val="clear" w:color="auto" w:fill="auto"/>
            <w:noWrap/>
            <w:vAlign w:val="bottom"/>
            <w:hideMark/>
          </w:tcPr>
          <w:p w14:paraId="76D149C6"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w:t>
            </w:r>
          </w:p>
        </w:tc>
      </w:tr>
      <w:tr w:rsidR="00A94966" w:rsidRPr="00A94966" w14:paraId="036DD43C" w14:textId="77777777" w:rsidTr="00A94966">
        <w:trPr>
          <w:trHeight w:val="260"/>
        </w:trPr>
        <w:tc>
          <w:tcPr>
            <w:tcW w:w="1139" w:type="dxa"/>
            <w:tcBorders>
              <w:top w:val="nil"/>
              <w:left w:val="nil"/>
              <w:bottom w:val="nil"/>
              <w:right w:val="nil"/>
            </w:tcBorders>
            <w:shd w:val="clear" w:color="000000" w:fill="D9D9D9"/>
            <w:noWrap/>
            <w:vAlign w:val="bottom"/>
            <w:hideMark/>
          </w:tcPr>
          <w:p w14:paraId="1057F973"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4/30/21</w:t>
            </w:r>
          </w:p>
        </w:tc>
        <w:tc>
          <w:tcPr>
            <w:tcW w:w="1464" w:type="dxa"/>
            <w:tcBorders>
              <w:top w:val="nil"/>
              <w:left w:val="nil"/>
              <w:bottom w:val="nil"/>
              <w:right w:val="nil"/>
            </w:tcBorders>
            <w:shd w:val="clear" w:color="000000" w:fill="D9D9D9"/>
            <w:noWrap/>
            <w:vAlign w:val="bottom"/>
            <w:hideMark/>
          </w:tcPr>
          <w:p w14:paraId="1A095D4A"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211,248</w:t>
            </w:r>
          </w:p>
        </w:tc>
        <w:tc>
          <w:tcPr>
            <w:tcW w:w="1227" w:type="dxa"/>
            <w:tcBorders>
              <w:top w:val="nil"/>
              <w:left w:val="nil"/>
              <w:bottom w:val="nil"/>
              <w:right w:val="nil"/>
            </w:tcBorders>
            <w:shd w:val="clear" w:color="000000" w:fill="D9D9D9"/>
            <w:noWrap/>
            <w:vAlign w:val="bottom"/>
            <w:hideMark/>
          </w:tcPr>
          <w:p w14:paraId="744C8F4F"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53,056</w:t>
            </w:r>
          </w:p>
        </w:tc>
        <w:tc>
          <w:tcPr>
            <w:tcW w:w="1408" w:type="dxa"/>
            <w:tcBorders>
              <w:top w:val="nil"/>
              <w:left w:val="nil"/>
              <w:bottom w:val="nil"/>
              <w:right w:val="nil"/>
            </w:tcBorders>
            <w:shd w:val="clear" w:color="000000" w:fill="D9D9D9"/>
            <w:noWrap/>
            <w:vAlign w:val="bottom"/>
            <w:hideMark/>
          </w:tcPr>
          <w:p w14:paraId="3822C91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51,424</w:t>
            </w:r>
          </w:p>
        </w:tc>
        <w:tc>
          <w:tcPr>
            <w:tcW w:w="1408" w:type="dxa"/>
            <w:tcBorders>
              <w:top w:val="nil"/>
              <w:left w:val="nil"/>
              <w:bottom w:val="nil"/>
              <w:right w:val="nil"/>
            </w:tcBorders>
            <w:shd w:val="clear" w:color="000000" w:fill="D9D9D9"/>
            <w:noWrap/>
            <w:vAlign w:val="bottom"/>
            <w:hideMark/>
          </w:tcPr>
          <w:p w14:paraId="2988D60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46,827</w:t>
            </w:r>
          </w:p>
        </w:tc>
        <w:tc>
          <w:tcPr>
            <w:tcW w:w="1227" w:type="dxa"/>
            <w:tcBorders>
              <w:top w:val="nil"/>
              <w:left w:val="nil"/>
              <w:bottom w:val="nil"/>
              <w:right w:val="nil"/>
            </w:tcBorders>
            <w:shd w:val="clear" w:color="000000" w:fill="D9D9D9"/>
            <w:noWrap/>
            <w:vAlign w:val="bottom"/>
            <w:hideMark/>
          </w:tcPr>
          <w:p w14:paraId="0187117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34,321</w:t>
            </w:r>
          </w:p>
        </w:tc>
        <w:tc>
          <w:tcPr>
            <w:tcW w:w="1227" w:type="dxa"/>
            <w:tcBorders>
              <w:top w:val="nil"/>
              <w:left w:val="nil"/>
              <w:bottom w:val="nil"/>
              <w:right w:val="nil"/>
            </w:tcBorders>
            <w:shd w:val="clear" w:color="000000" w:fill="D9D9D9"/>
            <w:noWrap/>
            <w:vAlign w:val="bottom"/>
            <w:hideMark/>
          </w:tcPr>
          <w:p w14:paraId="35B532E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0</w:t>
            </w:r>
          </w:p>
        </w:tc>
      </w:tr>
      <w:tr w:rsidR="00A94966" w:rsidRPr="00A94966" w14:paraId="7A884939" w14:textId="77777777" w:rsidTr="00A94966">
        <w:trPr>
          <w:trHeight w:val="260"/>
        </w:trPr>
        <w:tc>
          <w:tcPr>
            <w:tcW w:w="1139" w:type="dxa"/>
            <w:tcBorders>
              <w:top w:val="nil"/>
              <w:left w:val="nil"/>
              <w:bottom w:val="nil"/>
              <w:right w:val="nil"/>
            </w:tcBorders>
            <w:shd w:val="clear" w:color="auto" w:fill="auto"/>
            <w:noWrap/>
            <w:vAlign w:val="bottom"/>
            <w:hideMark/>
          </w:tcPr>
          <w:p w14:paraId="2773AF5B" w14:textId="77777777" w:rsidR="00A94966" w:rsidRPr="00A94966" w:rsidRDefault="00A94966" w:rsidP="00A94966">
            <w:pPr>
              <w:jc w:val="right"/>
              <w:rPr>
                <w:rFonts w:ascii="Arial" w:eastAsia="Times New Roman" w:hAnsi="Arial" w:cs="Arial"/>
                <w:color w:val="000000"/>
                <w:sz w:val="20"/>
                <w:szCs w:val="20"/>
              </w:rPr>
            </w:pPr>
            <w:r w:rsidRPr="00A94966">
              <w:rPr>
                <w:rFonts w:ascii="Arial" w:eastAsia="Times New Roman" w:hAnsi="Arial" w:cs="Arial"/>
                <w:color w:val="000000"/>
                <w:sz w:val="20"/>
                <w:szCs w:val="20"/>
              </w:rPr>
              <w:t>5/15/21</w:t>
            </w:r>
          </w:p>
        </w:tc>
        <w:tc>
          <w:tcPr>
            <w:tcW w:w="1464" w:type="dxa"/>
            <w:tcBorders>
              <w:top w:val="nil"/>
              <w:left w:val="nil"/>
              <w:bottom w:val="nil"/>
              <w:right w:val="nil"/>
            </w:tcBorders>
            <w:shd w:val="clear" w:color="auto" w:fill="auto"/>
            <w:noWrap/>
            <w:vAlign w:val="bottom"/>
            <w:hideMark/>
          </w:tcPr>
          <w:p w14:paraId="1C1AFA5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269,728</w:t>
            </w:r>
          </w:p>
        </w:tc>
        <w:tc>
          <w:tcPr>
            <w:tcW w:w="1227" w:type="dxa"/>
            <w:tcBorders>
              <w:top w:val="nil"/>
              <w:left w:val="nil"/>
              <w:bottom w:val="nil"/>
              <w:right w:val="nil"/>
            </w:tcBorders>
            <w:shd w:val="clear" w:color="auto" w:fill="auto"/>
            <w:noWrap/>
            <w:vAlign w:val="bottom"/>
            <w:hideMark/>
          </w:tcPr>
          <w:p w14:paraId="5201E179"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111,474</w:t>
            </w:r>
          </w:p>
        </w:tc>
        <w:tc>
          <w:tcPr>
            <w:tcW w:w="1408" w:type="dxa"/>
            <w:tcBorders>
              <w:top w:val="nil"/>
              <w:left w:val="nil"/>
              <w:bottom w:val="nil"/>
              <w:right w:val="nil"/>
            </w:tcBorders>
            <w:shd w:val="clear" w:color="auto" w:fill="auto"/>
            <w:noWrap/>
            <w:vAlign w:val="bottom"/>
            <w:hideMark/>
          </w:tcPr>
          <w:p w14:paraId="2D33B5F3"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109,787</w:t>
            </w:r>
          </w:p>
        </w:tc>
        <w:tc>
          <w:tcPr>
            <w:tcW w:w="1408" w:type="dxa"/>
            <w:tcBorders>
              <w:top w:val="nil"/>
              <w:left w:val="nil"/>
              <w:bottom w:val="nil"/>
              <w:right w:val="nil"/>
            </w:tcBorders>
            <w:shd w:val="clear" w:color="auto" w:fill="auto"/>
            <w:noWrap/>
            <w:vAlign w:val="bottom"/>
            <w:hideMark/>
          </w:tcPr>
          <w:p w14:paraId="33D800B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104,682</w:t>
            </w:r>
          </w:p>
        </w:tc>
        <w:tc>
          <w:tcPr>
            <w:tcW w:w="1227" w:type="dxa"/>
            <w:tcBorders>
              <w:top w:val="nil"/>
              <w:left w:val="nil"/>
              <w:bottom w:val="nil"/>
              <w:right w:val="nil"/>
            </w:tcBorders>
            <w:shd w:val="clear" w:color="auto" w:fill="auto"/>
            <w:noWrap/>
            <w:vAlign w:val="bottom"/>
            <w:hideMark/>
          </w:tcPr>
          <w:p w14:paraId="009F8934"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88,257</w:t>
            </w:r>
          </w:p>
        </w:tc>
        <w:tc>
          <w:tcPr>
            <w:tcW w:w="1227" w:type="dxa"/>
            <w:tcBorders>
              <w:top w:val="nil"/>
              <w:left w:val="nil"/>
              <w:bottom w:val="nil"/>
              <w:right w:val="nil"/>
            </w:tcBorders>
            <w:shd w:val="clear" w:color="auto" w:fill="auto"/>
            <w:noWrap/>
            <w:vAlign w:val="bottom"/>
            <w:hideMark/>
          </w:tcPr>
          <w:p w14:paraId="035F4FE2" w14:textId="77777777" w:rsidR="00A94966" w:rsidRPr="00A94966" w:rsidRDefault="00A94966" w:rsidP="00A94966">
            <w:pPr>
              <w:jc w:val="center"/>
              <w:rPr>
                <w:rFonts w:ascii="Arial" w:eastAsia="Times New Roman" w:hAnsi="Arial" w:cs="Arial"/>
                <w:color w:val="000000"/>
                <w:sz w:val="20"/>
                <w:szCs w:val="20"/>
              </w:rPr>
            </w:pPr>
            <w:r w:rsidRPr="00A94966">
              <w:rPr>
                <w:rFonts w:ascii="Arial" w:eastAsia="Times New Roman" w:hAnsi="Arial" w:cs="Arial"/>
                <w:color w:val="000000"/>
                <w:sz w:val="20"/>
                <w:szCs w:val="20"/>
              </w:rPr>
              <w:t>47,680</w:t>
            </w:r>
          </w:p>
        </w:tc>
      </w:tr>
      <w:tr w:rsidR="00A94966" w:rsidRPr="00A94966" w14:paraId="6AA65C7A" w14:textId="77777777" w:rsidTr="00A94966">
        <w:trPr>
          <w:trHeight w:val="600"/>
        </w:trPr>
        <w:tc>
          <w:tcPr>
            <w:tcW w:w="9100" w:type="dxa"/>
            <w:gridSpan w:val="7"/>
            <w:tcBorders>
              <w:top w:val="single" w:sz="4" w:space="0" w:color="auto"/>
              <w:left w:val="nil"/>
              <w:bottom w:val="nil"/>
              <w:right w:val="nil"/>
            </w:tcBorders>
            <w:shd w:val="clear" w:color="auto" w:fill="auto"/>
            <w:hideMark/>
          </w:tcPr>
          <w:p w14:paraId="596DF6EA" w14:textId="77777777" w:rsidR="00A94966" w:rsidRPr="00A94966" w:rsidRDefault="00A94966" w:rsidP="00A94966">
            <w:pPr>
              <w:rPr>
                <w:rFonts w:ascii="Arial" w:eastAsia="Times New Roman" w:hAnsi="Arial" w:cs="Arial"/>
                <w:color w:val="000000"/>
                <w:sz w:val="20"/>
                <w:szCs w:val="20"/>
              </w:rPr>
            </w:pPr>
            <w:r w:rsidRPr="00A94966">
              <w:rPr>
                <w:rFonts w:ascii="Arial" w:eastAsia="Times New Roman" w:hAnsi="Arial" w:cs="Arial"/>
                <w:color w:val="000000"/>
                <w:sz w:val="20"/>
                <w:szCs w:val="20"/>
              </w:rPr>
              <w:t>NOTE: Using observed trailing 7-day average CFRs.</w:t>
            </w:r>
            <w:r w:rsidRPr="00A94966">
              <w:rPr>
                <w:rFonts w:ascii="Arial" w:eastAsia="Times New Roman" w:hAnsi="Arial" w:cs="Arial"/>
                <w:color w:val="000000"/>
                <w:sz w:val="20"/>
                <w:szCs w:val="20"/>
              </w:rPr>
              <w:br/>
              <w:t>Abbrev: CFR, case-fatality rate</w:t>
            </w:r>
          </w:p>
        </w:tc>
      </w:tr>
    </w:tbl>
    <w:p w14:paraId="18DE70EC" w14:textId="77777777" w:rsidR="002A4BFC" w:rsidRPr="002A4BFC" w:rsidRDefault="002A4BFC" w:rsidP="007D547D">
      <w:pPr>
        <w:jc w:val="both"/>
      </w:pPr>
    </w:p>
    <w:sectPr w:rsidR="002A4BFC" w:rsidRPr="002A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7D"/>
    <w:rsid w:val="000D127D"/>
    <w:rsid w:val="0010153A"/>
    <w:rsid w:val="001C01C0"/>
    <w:rsid w:val="002A4BFC"/>
    <w:rsid w:val="00363886"/>
    <w:rsid w:val="003C57DF"/>
    <w:rsid w:val="003D4BC9"/>
    <w:rsid w:val="003F6336"/>
    <w:rsid w:val="004B54C0"/>
    <w:rsid w:val="005245E4"/>
    <w:rsid w:val="00543132"/>
    <w:rsid w:val="005C6BE7"/>
    <w:rsid w:val="00667405"/>
    <w:rsid w:val="0075341A"/>
    <w:rsid w:val="00766216"/>
    <w:rsid w:val="007D547D"/>
    <w:rsid w:val="008E3260"/>
    <w:rsid w:val="0093151B"/>
    <w:rsid w:val="00A120CD"/>
    <w:rsid w:val="00A41553"/>
    <w:rsid w:val="00A94966"/>
    <w:rsid w:val="00AB5B9D"/>
    <w:rsid w:val="00BC4AF5"/>
    <w:rsid w:val="00C66B17"/>
    <w:rsid w:val="00D36565"/>
    <w:rsid w:val="00D84F19"/>
    <w:rsid w:val="00E625CC"/>
    <w:rsid w:val="00F9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5A271"/>
  <w15:chartTrackingRefBased/>
  <w15:docId w15:val="{695B6855-E73F-0648-BCB4-893AF1E5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47D"/>
    <w:rPr>
      <w:color w:val="0563C1" w:themeColor="hyperlink"/>
      <w:u w:val="single"/>
    </w:rPr>
  </w:style>
  <w:style w:type="character" w:styleId="UnresolvedMention">
    <w:name w:val="Unresolved Mention"/>
    <w:basedOn w:val="DefaultParagraphFont"/>
    <w:uiPriority w:val="99"/>
    <w:semiHidden/>
    <w:unhideWhenUsed/>
    <w:rsid w:val="007D547D"/>
    <w:rPr>
      <w:color w:val="605E5C"/>
      <w:shd w:val="clear" w:color="auto" w:fill="E1DFDD"/>
    </w:rPr>
  </w:style>
  <w:style w:type="character" w:styleId="PlaceholderText">
    <w:name w:val="Placeholder Text"/>
    <w:basedOn w:val="DefaultParagraphFont"/>
    <w:uiPriority w:val="99"/>
    <w:semiHidden/>
    <w:rsid w:val="007D54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1575">
      <w:bodyDiv w:val="1"/>
      <w:marLeft w:val="0"/>
      <w:marRight w:val="0"/>
      <w:marTop w:val="0"/>
      <w:marBottom w:val="0"/>
      <w:divBdr>
        <w:top w:val="none" w:sz="0" w:space="0" w:color="auto"/>
        <w:left w:val="none" w:sz="0" w:space="0" w:color="auto"/>
        <w:bottom w:val="none" w:sz="0" w:space="0" w:color="auto"/>
        <w:right w:val="none" w:sz="0" w:space="0" w:color="auto"/>
      </w:divBdr>
    </w:div>
    <w:div w:id="296422567">
      <w:bodyDiv w:val="1"/>
      <w:marLeft w:val="0"/>
      <w:marRight w:val="0"/>
      <w:marTop w:val="0"/>
      <w:marBottom w:val="0"/>
      <w:divBdr>
        <w:top w:val="none" w:sz="0" w:space="0" w:color="auto"/>
        <w:left w:val="none" w:sz="0" w:space="0" w:color="auto"/>
        <w:bottom w:val="none" w:sz="0" w:space="0" w:color="auto"/>
        <w:right w:val="none" w:sz="0" w:space="0" w:color="auto"/>
      </w:divBdr>
    </w:div>
    <w:div w:id="405610679">
      <w:bodyDiv w:val="1"/>
      <w:marLeft w:val="0"/>
      <w:marRight w:val="0"/>
      <w:marTop w:val="0"/>
      <w:marBottom w:val="0"/>
      <w:divBdr>
        <w:top w:val="none" w:sz="0" w:space="0" w:color="auto"/>
        <w:left w:val="none" w:sz="0" w:space="0" w:color="auto"/>
        <w:bottom w:val="none" w:sz="0" w:space="0" w:color="auto"/>
        <w:right w:val="none" w:sz="0" w:space="0" w:color="auto"/>
      </w:divBdr>
    </w:div>
    <w:div w:id="1253733899">
      <w:bodyDiv w:val="1"/>
      <w:marLeft w:val="0"/>
      <w:marRight w:val="0"/>
      <w:marTop w:val="0"/>
      <w:marBottom w:val="0"/>
      <w:divBdr>
        <w:top w:val="none" w:sz="0" w:space="0" w:color="auto"/>
        <w:left w:val="none" w:sz="0" w:space="0" w:color="auto"/>
        <w:bottom w:val="none" w:sz="0" w:space="0" w:color="auto"/>
        <w:right w:val="none" w:sz="0" w:space="0" w:color="auto"/>
      </w:divBdr>
    </w:div>
    <w:div w:id="1347974025">
      <w:bodyDiv w:val="1"/>
      <w:marLeft w:val="0"/>
      <w:marRight w:val="0"/>
      <w:marTop w:val="0"/>
      <w:marBottom w:val="0"/>
      <w:divBdr>
        <w:top w:val="none" w:sz="0" w:space="0" w:color="auto"/>
        <w:left w:val="none" w:sz="0" w:space="0" w:color="auto"/>
        <w:bottom w:val="none" w:sz="0" w:space="0" w:color="auto"/>
        <w:right w:val="none" w:sz="0" w:space="0" w:color="auto"/>
      </w:divBdr>
    </w:div>
    <w:div w:id="1513228842">
      <w:bodyDiv w:val="1"/>
      <w:marLeft w:val="0"/>
      <w:marRight w:val="0"/>
      <w:marTop w:val="0"/>
      <w:marBottom w:val="0"/>
      <w:divBdr>
        <w:top w:val="none" w:sz="0" w:space="0" w:color="auto"/>
        <w:left w:val="none" w:sz="0" w:space="0" w:color="auto"/>
        <w:bottom w:val="none" w:sz="0" w:space="0" w:color="auto"/>
        <w:right w:val="none" w:sz="0" w:space="0" w:color="auto"/>
      </w:divBdr>
    </w:div>
    <w:div w:id="1540556982">
      <w:bodyDiv w:val="1"/>
      <w:marLeft w:val="0"/>
      <w:marRight w:val="0"/>
      <w:marTop w:val="0"/>
      <w:marBottom w:val="0"/>
      <w:divBdr>
        <w:top w:val="none" w:sz="0" w:space="0" w:color="auto"/>
        <w:left w:val="none" w:sz="0" w:space="0" w:color="auto"/>
        <w:bottom w:val="none" w:sz="0" w:space="0" w:color="auto"/>
        <w:right w:val="none" w:sz="0" w:space="0" w:color="auto"/>
      </w:divBdr>
    </w:div>
    <w:div w:id="1682976798">
      <w:bodyDiv w:val="1"/>
      <w:marLeft w:val="0"/>
      <w:marRight w:val="0"/>
      <w:marTop w:val="0"/>
      <w:marBottom w:val="0"/>
      <w:divBdr>
        <w:top w:val="none" w:sz="0" w:space="0" w:color="auto"/>
        <w:left w:val="none" w:sz="0" w:space="0" w:color="auto"/>
        <w:bottom w:val="none" w:sz="0" w:space="0" w:color="auto"/>
        <w:right w:val="none" w:sz="0" w:space="0" w:color="auto"/>
      </w:divBdr>
    </w:div>
    <w:div w:id="1905792657">
      <w:bodyDiv w:val="1"/>
      <w:marLeft w:val="0"/>
      <w:marRight w:val="0"/>
      <w:marTop w:val="0"/>
      <w:marBottom w:val="0"/>
      <w:divBdr>
        <w:top w:val="none" w:sz="0" w:space="0" w:color="auto"/>
        <w:left w:val="none" w:sz="0" w:space="0" w:color="auto"/>
        <w:bottom w:val="none" w:sz="0" w:space="0" w:color="auto"/>
        <w:right w:val="none" w:sz="0" w:space="0" w:color="auto"/>
      </w:divBdr>
    </w:div>
    <w:div w:id="204721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github.com/lilywang1988/eSIR" TargetMode="External"/><Relationship Id="rId10" Type="http://schemas.openxmlformats.org/officeDocument/2006/relationships/image" Target="media/image5.emf"/><Relationship Id="rId4" Type="http://schemas.openxmlformats.org/officeDocument/2006/relationships/hyperlink" Target="https://jds-online.org/journal/JDS/article/28/info" TargetMode="Externa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Maxwell</dc:creator>
  <cp:keywords/>
  <dc:description/>
  <cp:lastModifiedBy>Salvatore, Maxwell</cp:lastModifiedBy>
  <cp:revision>16</cp:revision>
  <dcterms:created xsi:type="dcterms:W3CDTF">2021-05-25T19:19:00Z</dcterms:created>
  <dcterms:modified xsi:type="dcterms:W3CDTF">2021-05-26T04:16:00Z</dcterms:modified>
</cp:coreProperties>
</file>