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COLÉGIO LICEU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PROFA. SAMARA LIMA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PLANEJAMENTO QUINZENAL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OFICINA DE REDAÇÃO, 3º BIMESTRE</w:t>
      </w:r>
      <w:r w:rsidR="0097753A">
        <w:rPr>
          <w:rFonts w:ascii="Verdana" w:hAnsi="Verdana"/>
        </w:rPr>
        <w:t>/2022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Pr="00392B27" w:rsidRDefault="00B06AA7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3</w:t>
      </w:r>
      <w:r w:rsidR="00827E02">
        <w:rPr>
          <w:rFonts w:ascii="Verdana" w:hAnsi="Verdana"/>
          <w:highlight w:val="yellow"/>
        </w:rPr>
        <w:t>ª série do ensino médio</w:t>
      </w:r>
    </w:p>
    <w:p w:rsidR="00827E02" w:rsidRPr="00392B27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25/07 </w:t>
      </w:r>
      <w:r w:rsidR="00B06AA7">
        <w:rPr>
          <w:rFonts w:ascii="Verdana" w:hAnsi="Verdana"/>
          <w:highlight w:val="yellow"/>
        </w:rPr>
        <w:t>2</w:t>
      </w:r>
      <w:r w:rsidRPr="00392B27">
        <w:rPr>
          <w:rFonts w:ascii="Verdana" w:hAnsi="Verdana"/>
          <w:highlight w:val="yellow"/>
        </w:rPr>
        <w:t>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</w:t>
      </w:r>
      <w:r w:rsidR="002D20F0">
        <w:rPr>
          <w:rFonts w:ascii="Verdana" w:hAnsi="Verdana"/>
        </w:rPr>
        <w:t>Síntese como recurso de construção de argumentação.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2D20F0" w:rsidRDefault="00827E02" w:rsidP="002D20F0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</w:t>
      </w:r>
      <w:r w:rsidR="002D20F0">
        <w:rPr>
          <w:rFonts w:ascii="Verdana" w:hAnsi="Verdana"/>
        </w:rPr>
        <w:t>Slides sobre s</w:t>
      </w:r>
      <w:r w:rsidR="002D20F0">
        <w:rPr>
          <w:rFonts w:ascii="Verdana" w:hAnsi="Verdana"/>
        </w:rPr>
        <w:t>íntese como recurso de construção de argumentação</w:t>
      </w:r>
      <w:r w:rsidR="002D20F0">
        <w:rPr>
          <w:rFonts w:ascii="Verdana" w:hAnsi="Verdana"/>
        </w:rPr>
        <w:t>; Lista de 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2D20F0">
        <w:rPr>
          <w:rFonts w:ascii="Verdana" w:hAnsi="Verdana"/>
        </w:rPr>
        <w:t>Terminar lista de 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B06AA7">
        <w:rPr>
          <w:rFonts w:ascii="Verdana" w:hAnsi="Verdana"/>
          <w:highlight w:val="yellow"/>
        </w:rPr>
        <w:t>01</w:t>
      </w:r>
      <w:r w:rsidRPr="00D831E1">
        <w:rPr>
          <w:rFonts w:ascii="Verdana" w:hAnsi="Verdana"/>
          <w:highlight w:val="yellow"/>
        </w:rPr>
        <w:t>/0</w:t>
      </w:r>
      <w:r w:rsidR="00B06AA7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</w:t>
      </w:r>
      <w:r w:rsidR="00B06AA7"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2D20F0" w:rsidRDefault="00827E02" w:rsidP="002D20F0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</w:t>
      </w:r>
      <w:r w:rsidR="002D20F0">
        <w:rPr>
          <w:rFonts w:ascii="Verdana" w:hAnsi="Verdana"/>
        </w:rPr>
        <w:t>Síntese como recurso de construção de argumentação.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</w:t>
      </w:r>
      <w:r w:rsidR="002D20F0">
        <w:rPr>
          <w:rFonts w:ascii="Verdana" w:hAnsi="Verdana"/>
        </w:rPr>
        <w:t>Correção da lista de atividades;</w:t>
      </w:r>
    </w:p>
    <w:p w:rsidR="002D20F0" w:rsidRDefault="002D20F0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Lista de atividades 2 sobre síntese como recurso de argumentação, partes do texto dissertativo argumentativo etc.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2D20F0">
        <w:rPr>
          <w:rFonts w:ascii="Verdana" w:hAnsi="Verdana"/>
        </w:rPr>
        <w:t>terminar lista de atividades.</w:t>
      </w:r>
      <w:bookmarkStart w:id="0" w:name="_GoBack"/>
      <w:bookmarkEnd w:id="0"/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Pr="0097753A" w:rsidRDefault="00827E02" w:rsidP="0097753A">
      <w:pPr>
        <w:spacing w:line="240" w:lineRule="auto"/>
        <w:contextualSpacing/>
        <w:jc w:val="both"/>
        <w:rPr>
          <w:rFonts w:ascii="Verdana" w:hAnsi="Verdana"/>
        </w:rPr>
      </w:pPr>
    </w:p>
    <w:sectPr w:rsidR="00827E02" w:rsidRPr="0097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2"/>
    <w:rsid w:val="002D20F0"/>
    <w:rsid w:val="00827E02"/>
    <w:rsid w:val="0097753A"/>
    <w:rsid w:val="00B0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C7EF"/>
  <w15:chartTrackingRefBased/>
  <w15:docId w15:val="{C1698B09-48E3-4AEC-9A15-6C0CF38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4</cp:revision>
  <dcterms:created xsi:type="dcterms:W3CDTF">2022-07-26T17:50:00Z</dcterms:created>
  <dcterms:modified xsi:type="dcterms:W3CDTF">2022-07-26T18:13:00Z</dcterms:modified>
</cp:coreProperties>
</file>