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23EF76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B427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bookmarkStart w:id="0" w:name="_GoBack"/>
            <w:bookmarkEnd w:id="0"/>
            <w:r w:rsidR="007E23D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492388D" w:rsidR="00A84FD5" w:rsidRPr="00965A01" w:rsidRDefault="007E23D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63C428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E23D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C5E15A8" w:rsidR="00093F84" w:rsidRPr="0086497B" w:rsidRDefault="007E23D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1FE452BD" w:rsidR="0034676E" w:rsidRPr="000B427D" w:rsidRDefault="00FD5860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1. (0,5) 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A industrialização brasileira tem como marco a década de 1930, com o processo de implantação de setores de base. Isto não quer dizer que, antes daquela década, não houvesse indústrias no país. Elas </w:t>
      </w:r>
      <w:proofErr w:type="gramStart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existiram,</w:t>
      </w:r>
      <w:proofErr w:type="gramEnd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 só que compuseram um setor de pouca monta e, ainda: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a)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se caracterizaram pela forte dependência a uma política de investimentos governamentais.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b)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se basearam em capitais provenientes da exportação da borracha amazônica.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c)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tiveram, na redução de tarifas de importação de manufaturados, seu principal fator de competitividade.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d)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t> estiveram ligadas à formação de um mercado consumidor representado pelo afluxo de imigrantes europeus assalariados.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e)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apresentaram forte concentração de investimentos nos setores de energia e transportes.</w:t>
      </w:r>
    </w:p>
    <w:p w14:paraId="1546D05D" w14:textId="77777777" w:rsidR="00FD5860" w:rsidRPr="000B427D" w:rsidRDefault="00FD5860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31C1CA95" w14:textId="0686EA93" w:rsidR="00457BBE" w:rsidRPr="000B427D" w:rsidRDefault="00FD5860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2. (0,5) </w:t>
      </w:r>
      <w:r w:rsidR="00457BBE" w:rsidRPr="000B427D">
        <w:rPr>
          <w:rFonts w:ascii="Verdana" w:hAnsi="Verdana"/>
          <w:sz w:val="20"/>
          <w:szCs w:val="20"/>
          <w:bdr w:val="none" w:sz="0" w:space="0" w:color="auto" w:frame="1"/>
        </w:rPr>
        <w:t>As seguintes afirmações referem-s</w:t>
      </w:r>
      <w:r w:rsidR="00457BBE" w:rsidRPr="000B427D">
        <w:rPr>
          <w:rFonts w:ascii="Verdana" w:hAnsi="Verdana"/>
          <w:sz w:val="20"/>
          <w:szCs w:val="20"/>
          <w:bdr w:val="none" w:sz="0" w:space="0" w:color="auto" w:frame="1"/>
        </w:rPr>
        <w:t>e à industrialização brasileira:</w:t>
      </w:r>
    </w:p>
    <w:p w14:paraId="747D29B9" w14:textId="77777777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I.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Participação do capital das multinacionais na construção de infraestrutura em produção energética e rede viária.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II.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Concentração espacial no Sudeste, em especial no eixo Rio-São Paulo.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III.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Participação governamental, através do Plano de Metas, durante o governo Kubitscheck.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IV.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Aplicação de vultosas verbas em ciência e tecnologia no setor de pesquisa das Universidades.</w:t>
      </w:r>
    </w:p>
    <w:p w14:paraId="00E1C02E" w14:textId="00B68889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  <w:t>Quanto a essas afirmações,</w:t>
      </w:r>
    </w:p>
    <w:p w14:paraId="58B43FFF" w14:textId="6F964FB8" w:rsidR="00FD5860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proofErr w:type="gramStart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a</w:t>
      </w:r>
      <w:proofErr w:type="gramEnd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todas estão corretas.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b)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somente a I está correta.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c) 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t>somente a II e a III estão corretas.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d)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nenhuma está correta.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e)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somente a I, a III e a IV estão corretas.</w:t>
      </w:r>
    </w:p>
    <w:p w14:paraId="75A099A7" w14:textId="77777777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637F0BA9" w14:textId="77777777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3. (0,5) 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"Entre 1955 e 1960 houve um salto no processo de industrialização brasileira através da fase conhecida como PLANO DE METAS, onde o crescimento econômico esteve apoiado em um conjunto de investimentos e profundas modificações na estrutura industrial do País.</w:t>
      </w:r>
      <w:proofErr w:type="gramStart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"</w:t>
      </w:r>
      <w:proofErr w:type="gramEnd"/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  <w:t>O conjunto de investimentos e modificações a que se refere o texto consistia, entre outros,</w:t>
      </w:r>
    </w:p>
    <w:p w14:paraId="2D338A1D" w14:textId="1BEF4137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proofErr w:type="gramStart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a</w:t>
      </w:r>
      <w:proofErr w:type="gramEnd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na grande ampliação das centrais de energia termelétricas; na instalação e modernização de terminais marítimos e no crescimento de indústrias de bens de consumo duráveis, como a alimentícia e a eletroeletrônica.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b)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na recuperação de áreas urbanas junto às metrópoles; na criação de corredores de exportação e no sensível crescimento dos setores de indústria de base, como a do aço, cimento e química pesada.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c)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na crescente diversificação da pauta de exportações de produtos primários e na nacionalização de indústrias inicialmente ligadas ao capital internacional, como a química leve e a farmacêutica.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lastRenderedPageBreak/>
        <w:t>d)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t> na ampliação significativa da capacidade instalada de energia elétrica; no aumento do número e na modernização das rodovias e no crescimento do setor de bens de produção e da indústria automobilística.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e)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na criação e instalação de portos fluviais, na expansão da agroindústria, na descentralização da atividade industrial e no fortalecimento dos mecanismos de distribuição equilibrada da renda.</w:t>
      </w:r>
    </w:p>
    <w:p w14:paraId="44A5A742" w14:textId="77777777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129FDCF0" w14:textId="77777777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4. (0,5) 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Em sua fase inicial, associada à substituição das importações, a industrialização brasileira ressentiu-se </w:t>
      </w:r>
      <w:proofErr w:type="gramStart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principalmente</w:t>
      </w:r>
      <w:proofErr w:type="gramEnd"/>
    </w:p>
    <w:p w14:paraId="220E655F" w14:textId="19EB8D26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proofErr w:type="gramStart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a</w:t>
      </w:r>
      <w:proofErr w:type="gramEnd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 da falta de iniciativa estatal, uma vez que o Estado tinha interesse em manter a </w:t>
      </w:r>
      <w:proofErr w:type="spellStart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agroexportação</w:t>
      </w:r>
      <w:proofErr w:type="spellEnd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 do café.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b)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das dificuldades provocadas pela Grande Guerra que impossibilitavam a produção de bens, antes importados.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c)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da conjuntura internacional desfavorável, pois as grandes potências econômicas procuravam manter o monopólio industrial.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d)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da ausência de uma integração em nível de América Latina.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e)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t> da falta de integração do território, reflexo de uma organização espacial ligada à exportação de bens primários.</w:t>
      </w:r>
    </w:p>
    <w:p w14:paraId="55936727" w14:textId="77777777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5. (0,5) 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Sobre a industrialização brasileira, assinale a alternativa INCORRETA.</w:t>
      </w:r>
    </w:p>
    <w:p w14:paraId="23F0D23D" w14:textId="12E92973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proofErr w:type="gramStart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a</w:t>
      </w:r>
      <w:proofErr w:type="gramEnd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No Brasil, a distribuição espacial da indústria registra forte concentração na Região Sudeste, particularmente no estado de São Paulo.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b)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t> Quanto ao processo de industrialização periférica, destaca-se o Mato Grosso, onde se está formando uma nova região industrial.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c)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A Região Sul é a principal beneficiada pelo processo de descentralização industrial.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d)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Na região Sudeste, ha significativo crescimento da participação de Minas Gerais no Setor Secundário.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e)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A indústria da Região Sudeste concentra quase dois terços da força de trabalho e mais de dois terços do valor da produção.</w:t>
      </w:r>
    </w:p>
    <w:p w14:paraId="15E7D1EF" w14:textId="77777777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796D774B" w14:textId="3C756843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6. (0,5) 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O processo de industrialização brasileira encontrou, no Centro Sul do país, principalmente em São Paulo, os elementos indispensáveis ao seu desenvolvimento: mão-de-obra assalariada, mercado consumidor, eletricidade, sistema de transportes e excelente sistema bancário. Sobre esse processo, é INCORRETO afirmar que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a)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a concentração da produção industrial brasileira ocorre, desde os seus primórdios, em São Paulo.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b)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 a elevada concentração industrial em São Paulo gerou uma </w:t>
      </w:r>
      <w:proofErr w:type="spellStart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deseconomia</w:t>
      </w:r>
      <w:proofErr w:type="spellEnd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 de escala, responsável pela desconcentração espacial das indústrias, a partir de 1970.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c)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t> o processo de desconcentração espacial das indústrias paulistas gerou um surto de industrialização no Nordeste e no Sul, equilibrando assim a produção industrial por regiões.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d)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 o crescimento industrial nas diversas regiões do país passa, a partir dos anos 70, a ser promovido pelos governos </w:t>
      </w:r>
      <w:proofErr w:type="gramStart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estaduais e federal, através de incentivos</w:t>
      </w:r>
      <w:proofErr w:type="gramEnd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e)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as atividades industriais concentram-se, atualmente, em São Paulo, tendo as outras regiões do país como mercados consumidores, de acordo com a lógica da acumulação capitalista.</w:t>
      </w:r>
    </w:p>
    <w:p w14:paraId="7F2DA236" w14:textId="77777777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14B4E396" w14:textId="55FF28D4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7. (0,5) 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Entre as transformações observadas na industrialização brasileira na última década, está correto afirmar que os novos investimentos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a)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visaram concluir o processo de substituição de importações, iniciado na década de 1930, por meio da abertura econômica ao capital internacional.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b)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concentraram-se em áreas de oferta de recursos naturais, como minério de ferro e bauxita, e de mão-de-obra, como na Baixada Fluminense (RJ).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c)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t> alteraram a produção industrial do país, distribuindo recursos em unidades da federação do Nordeste e Centro-Oeste do país.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d)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resultaram na autonomia da economia do país e no crescimento da participação do Brasil no comércio mundial.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e)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 dificultaram a integração regional com países do </w:t>
      </w:r>
      <w:proofErr w:type="gramStart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Mercosul</w:t>
      </w:r>
      <w:proofErr w:type="gramEnd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, pois concentraram-se na faixa litorânea do país.</w:t>
      </w:r>
    </w:p>
    <w:p w14:paraId="38CE3BAF" w14:textId="77777777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69527C94" w14:textId="77777777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8. (0,5) 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Considere os textos a seguir, para responder a esta questão.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I.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"No período de 1930 a 1956, os grandes investimentos foram direcionados ao setor de base (siderurgia, petroquímica e extração mineral), com grande intervenção do Estado.</w:t>
      </w:r>
      <w:proofErr w:type="gramStart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"</w:t>
      </w:r>
      <w:proofErr w:type="gramEnd"/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lastRenderedPageBreak/>
        <w:t>II.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"Embora a indústria, desde o início do século, estivesse concentrada no eixo São Paulo - Rio de Janeiro, até 1930 a organização espacial se caracterizava pelas atividades econômicas dispersas e regionalmente quase autônomas."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III.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 "O sucesso do Plano de Metas foi acompanhado por um significativo aumento da inflação e da dívida externa, pelo afastamento da capital federal do centro econômico e populacional do país e pela efetiva implantação do </w:t>
      </w:r>
      <w:proofErr w:type="spellStart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rodoviarismo</w:t>
      </w:r>
      <w:proofErr w:type="spellEnd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."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IV.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"A política do Plano de Metas acentuou a concentração do parque industrial na região sudeste, intensificando ainda mais as migrações internas e provocando o crescimento caótico dos grandes centros urbanos."</w:t>
      </w:r>
    </w:p>
    <w:p w14:paraId="0C2A1393" w14:textId="1C82333A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  <w:t>(</w:t>
      </w:r>
      <w:proofErr w:type="spellStart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Adap</w:t>
      </w:r>
      <w:proofErr w:type="spellEnd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. Sene &amp; Moreira, 1998</w:t>
      </w:r>
      <w:proofErr w:type="gramStart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)</w:t>
      </w:r>
      <w:proofErr w:type="gramEnd"/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  <w:t>Referem-se à industrialização brasileira os textos</w:t>
      </w:r>
    </w:p>
    <w:p w14:paraId="5AD48D47" w14:textId="453DA793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proofErr w:type="gramStart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a</w:t>
      </w:r>
      <w:proofErr w:type="gramEnd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I e III somente.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b)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II e III somente.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c)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I, III e IV somente.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d)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II, III e IV somente.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e)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t> I, II, III e IV.</w:t>
      </w:r>
    </w:p>
    <w:p w14:paraId="49F3FC68" w14:textId="77777777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3026EE6F" w14:textId="1D8605A5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9. (0,5) 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Sobre a industrialização brasileira, é correto afirmar que: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a)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difundiu-se de modo homogêneo no território brasileiro.</w:t>
      </w:r>
      <w:proofErr w:type="gramStart"/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b)</w:t>
      </w:r>
      <w:proofErr w:type="gramEnd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caracteriza-se por ausentar-se do eixo centro-sul.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c)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é resultado de uma política nacionalista de desenvolvimento econômico.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d)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t> constitui base da política de desenvolvimento econômico implementada no país.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e)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gera o maior número de empregos nos principais centros urbanos do país.</w:t>
      </w:r>
    </w:p>
    <w:p w14:paraId="39934679" w14:textId="77777777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3B549A4D" w14:textId="7B74EF82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10. </w:t>
      </w:r>
      <w:r w:rsidR="003E4A44"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(0,5) 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O conhecimento da industrialização no Brasil, isto é, das formas particulares da industrialização no Brasil, deve estar, explícita ou implicitamente, apoiado na análise das relações entre o café e a indústria. E a análise correta dessas relações é impossível se considerarmos café e indústria como elementos opostos. É indispensável reunir café e indústria como partes da acumulação de capital no Brasil; mais precisamente, como partes das novas formas de acumulação cuja formação encontra as suas origens na década de 1880 a 1890.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proofErr w:type="gramStart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Sérgio Silva, Expansão cafeeira e origens da indústria no Brasil)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  <w:t>No contexto do Brasil da passagem do século XIX para o XX, acerca das relações entre a produção cafeeira e a indústria, é correto considerar que</w:t>
      </w:r>
    </w:p>
    <w:p w14:paraId="620362A3" w14:textId="37B045ED" w:rsidR="00457BBE" w:rsidRPr="000B427D" w:rsidRDefault="00457BBE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proofErr w:type="gramStart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a</w:t>
      </w:r>
      <w:proofErr w:type="gramEnd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o avanço da produção industrial foi inversamente proporcional ao crescimento da produção cafeeira, uma vez que a entrada de recursos derivada da exportação de café era reaplicada apenas na produção cafeeira.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b) 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t>a ampliação do trabalho livre permitiu que parcelas dos capitais acumulados fossem investidas nas atividades industriais, desse modo, a economia cafeeira e a indústria fazem parte de um mesmo processo de desenvolvimento.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c)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os empresários ligados à produção e exportação do café tinham representação política hegemônica e seus interesses eram defendidos pelo Estado brasileiro, que impedia a inversão de capitais cafeeiros na indústria.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d)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os interesses dos cafeicultores e os dos industriais eram excludentes, visto que, com a expansão cafeeira, as maciças exportações desse produto atrapalharam os investimentos na indústria.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e)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a exportação cafeeira atrelou o comércio externo brasileiro às importações de produtos industrializados da Europa e dos Estados Unidos, impedido o desenvolvi- mento da indústria no Brasil antes de 1930.</w:t>
      </w:r>
    </w:p>
    <w:p w14:paraId="57DC5D67" w14:textId="77777777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5D83EE6E" w14:textId="15D0846C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11. (0,5) 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Analise as seguintes afirmações que tratam do processo de industrialização no Brasil.</w:t>
      </w:r>
    </w:p>
    <w:p w14:paraId="1E5FA2BC" w14:textId="77777777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I.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No governo de Getúlio Vargas, foram criadas as condições de infraestrutura necessárias para a industrialização brasileira.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II.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O governo de Juscelino Kubitschek priorizou a construção de rodovias e obras para geração de energia.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III.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A década de 1990 foi marcada pela globalização da economia e pela consolidação do Brasil como grande produtor e exportador de tecnologia.</w:t>
      </w:r>
    </w:p>
    <w:p w14:paraId="38831DB1" w14:textId="55F2D80B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lastRenderedPageBreak/>
        <w:br/>
        <w:t>Está correto o que se afirma em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:</w:t>
      </w:r>
    </w:p>
    <w:p w14:paraId="3BF81ACD" w14:textId="1916E519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proofErr w:type="gramStart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a</w:t>
      </w:r>
      <w:proofErr w:type="gramEnd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III apenas.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b)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t> I e II apenas.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c)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II apenas.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d)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I e III apenas.</w:t>
      </w:r>
    </w:p>
    <w:p w14:paraId="6056FE5A" w14:textId="77777777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463A49D4" w14:textId="77777777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12. (0,5) 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O processo de industrialização ocorrido no Brasil a partir de 1930 trouxe grandes transformações na organização do território nacional, pois constituiu uma economia cujo crescimento depende principalmente do dinamismo do mercado interno. Com base no enunciado e nos conhecimentos de geografia do Brasil, assinale a afirmativa correta.</w:t>
      </w:r>
    </w:p>
    <w:p w14:paraId="0468B32B" w14:textId="452F1851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proofErr w:type="gramStart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a</w:t>
      </w:r>
      <w:proofErr w:type="gramEnd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A alta concentração industrial nas regiões metropolitanas e cidades médias próximas dessas áreas cria uma estrutura produtiva pouco integrada.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b)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Como o mercado consumidor de bens industriais se concentra nas cidades localizadas até 150 km do litoral, a interiorização do desenvolvimento econômico continua a depender da agropecuária.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c) 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t>A industrialização forjou uma rede urbana constituída por duas metrópoles globais, algumas metrópoles nacionais e centros urbanos com áreas de influência regional ou local.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d)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A agricultura de exportação vigente até 1930 criou uma economia estruturada em centro e periferia, sendo o primeiro a então capital federal, Rio de Janeiro, e a segunda, as áreas de produção agropecuária.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e)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A concentração industrial cada vez mais alta no Sul e Sudeste reduz os níveis de integração econômica do território brasileiro, que vai ficando cada vez mais desigual.</w:t>
      </w:r>
    </w:p>
    <w:p w14:paraId="3AC4AE26" w14:textId="77777777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42E0D34C" w14:textId="77777777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13. (0,5) 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Nas últimas décadas do século XX e início do século XXI, o processo de desconcentração da indústria brasileira se acelerou em decorrência </w:t>
      </w:r>
      <w:proofErr w:type="gramStart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do(</w:t>
      </w:r>
      <w:proofErr w:type="gramEnd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a)</w:t>
      </w:r>
    </w:p>
    <w:p w14:paraId="2659AFAA" w14:textId="7CB0A490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proofErr w:type="gramStart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a</w:t>
      </w:r>
      <w:proofErr w:type="gramEnd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política fiscal instituída sobretudo pelos estados do Sudeste, com maiores condições de impor aumentos fiscais, estimulando a transferência da indústria nacional para as demais regiões.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b</w:t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processo de privatização, que restringiu a industrialização às atividades tradicionais de investimento, por meio da redução da intervenção do Estado na economia.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c</w:t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) 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elevado nível de escolaridade dos trabalhadores brasileiros, o que tornou o território nacional atraente, em sua totalidade, para investimentos nos setores industriais.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d</w:t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t> política de desenvolvimento regional instituída pelo Estado, exemplificada pela criação da Zona Franca de Manaus.</w:t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e</w:t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presença de sindicatos fortes nos estados das regiões Norte e Nordeste, o que expulsou o capital dessas regiões para estados e cidades tradicionalmente desindustrializados.</w:t>
      </w:r>
    </w:p>
    <w:p w14:paraId="1FA61257" w14:textId="77777777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39628187" w14:textId="77777777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14. (0,5) 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O texto a seguir é do geógrafo Rui Moreira descrevendo o modelo industrial aplicado no Brasil. Um modelo industrial com três características principalmente, considerando o tema ambiental. Primeiramente, desenvolvem-se basicamente os ramos destinados a suprir a demanda da elite e da classe média, vale dizer, da população dotada de renda para consumo no mercado. Em segundo lugar, mobilizam-se capitais em montante capaz de oferecer resposta imediata a uma necessidade de produção em volume até certo ponto esperada, o que faz a indústria acompanhar a estrutura monopolista existente, já nascendo fortemente concentrada, em termos de ramos e empresa. Em terceiro, condicionam-se todos os setores existentes a uma forma de vinculação com o ramo-base do regime de acumulação posto a serviço dos lucros </w:t>
      </w:r>
      <w:proofErr w:type="spellStart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oligopólicos</w:t>
      </w:r>
      <w:proofErr w:type="spellEnd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, em particular a agropecuária, a energia e a circulação, </w:t>
      </w:r>
      <w:proofErr w:type="spellStart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pré-determinando-os</w:t>
      </w:r>
      <w:proofErr w:type="spellEnd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 como modelos. Estas três características expressam a lógica do mercado, no modo como aqui se faz presente.</w:t>
      </w:r>
    </w:p>
    <w:p w14:paraId="411A47FB" w14:textId="45D8152A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proofErr w:type="gramStart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a</w:t>
      </w:r>
      <w:proofErr w:type="gramEnd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industrialização tardia de ponta.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b</w:t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matriz espacial da indústria nacional.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c</w:t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industrialização planificada.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d</w:t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industrialização clássica.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e</w:t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t> substituição das importações.</w:t>
      </w:r>
    </w:p>
    <w:p w14:paraId="0DB0BD69" w14:textId="77777777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00C1F162" w14:textId="77777777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15. (0,5) 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Em sua fase inicial, associada à substituição das importações, a industrialização brasileira ressentiu-se </w:t>
      </w:r>
      <w:proofErr w:type="gramStart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principalmente</w:t>
      </w:r>
      <w:proofErr w:type="gramEnd"/>
    </w:p>
    <w:p w14:paraId="505F0DC1" w14:textId="2B55E72A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b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lastRenderedPageBreak/>
        <w:br/>
      </w:r>
      <w:proofErr w:type="gramStart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a</w:t>
      </w:r>
      <w:proofErr w:type="gramEnd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 da falta de iniciativa estatal, uma vez que o Estado tinha interesse em manter a </w:t>
      </w:r>
      <w:proofErr w:type="spellStart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>agroexportação</w:t>
      </w:r>
      <w:proofErr w:type="spellEnd"/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 do café.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b)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das dificuldades provocadas pela Grande Guerra que impossibilitavam a produção de bens, antes importados.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c)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da conjuntura internacional desfavorável, pois as grandes potências econômicas procuravam manter o monopólio industrial.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d)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da ausência de uma integração em nível de América Latina.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e)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t> da falta de integração do território, reflexo de uma organização espacial ligada à exportação de bens primários.</w:t>
      </w:r>
    </w:p>
    <w:p w14:paraId="0EBDA318" w14:textId="77777777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b/>
          <w:sz w:val="20"/>
          <w:szCs w:val="20"/>
          <w:bdr w:val="none" w:sz="0" w:space="0" w:color="auto" w:frame="1"/>
        </w:rPr>
      </w:pPr>
    </w:p>
    <w:p w14:paraId="65B38314" w14:textId="77777777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16. 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O desenvolvimento industrial, baseado na substituição das importações, na atração de capitais estrangeiros e na participação estatal em obras de infraestrutura, explica o surto industrial verificado a partir da década de 1950:</w:t>
      </w:r>
    </w:p>
    <w:p w14:paraId="1C268003" w14:textId="32B87D71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proofErr w:type="gramStart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a</w:t>
      </w:r>
      <w:proofErr w:type="gramEnd"/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na Europa Oriental.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b)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na Coréia do Sul e em Taiwan.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c)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na China e na Índia.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</w:rPr>
        <w:t>d)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t> no Brasil e no México.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</w:rPr>
        <w:t>e)</w:t>
      </w:r>
      <w:r w:rsidRPr="000B427D">
        <w:rPr>
          <w:rFonts w:ascii="Verdana" w:hAnsi="Verdana"/>
          <w:sz w:val="20"/>
          <w:szCs w:val="20"/>
          <w:bdr w:val="none" w:sz="0" w:space="0" w:color="auto" w:frame="1"/>
        </w:rPr>
        <w:t> no Peru e na Bolívia.</w:t>
      </w:r>
    </w:p>
    <w:p w14:paraId="6AB13675" w14:textId="77777777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2B4CA5DD" w14:textId="77777777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</w:rPr>
        <w:t xml:space="preserve">17. (0,5) 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Leia o texto a seguir.</w:t>
      </w:r>
    </w:p>
    <w:p w14:paraId="78A83AF0" w14:textId="77777777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  <w:t>Tentando atrair os chineses...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gramStart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“</w:t>
      </w:r>
      <w:proofErr w:type="gramEnd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 xml:space="preserve">Municípios oferecem pacotes de isenções fiscais para sediar fábrica de </w:t>
      </w:r>
      <w:proofErr w:type="spellStart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iPads</w:t>
      </w:r>
      <w:proofErr w:type="spellEnd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 xml:space="preserve"> da </w:t>
      </w:r>
      <w:proofErr w:type="spellStart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Foxconn</w:t>
      </w:r>
      <w:proofErr w:type="spellEnd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”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  <w:t xml:space="preserve">“A confirmação de que a </w:t>
      </w:r>
      <w:proofErr w:type="spellStart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Foxconn</w:t>
      </w:r>
      <w:proofErr w:type="spellEnd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 xml:space="preserve">, maior exportadora da China, vai produzir no Brasil a segunda geração do </w:t>
      </w:r>
      <w:proofErr w:type="spellStart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tablet</w:t>
      </w:r>
      <w:proofErr w:type="spellEnd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 xml:space="preserve"> da Apple, o </w:t>
      </w:r>
      <w:proofErr w:type="spellStart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iPad</w:t>
      </w:r>
      <w:proofErr w:type="spellEnd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 xml:space="preserve"> 2, gerou a busca entre municípios pelo investimento bilionário. Maior fabricante de eletrônicos do planeta, a taiwanesa </w:t>
      </w:r>
      <w:proofErr w:type="spellStart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Foxconn</w:t>
      </w:r>
      <w:proofErr w:type="spellEnd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 xml:space="preserve"> acenou com um desembolso de até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  <w:t>US$ 12 bilhões. Pelo menos duas cidades da região de Campinas saíram à caça desse dinheiro: Jundiaí, a cerca de 60 quilômetros de São Paulo, e a vizinha Indaiatuba. Ambas já abrigam unidades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  <w:t xml:space="preserve">da multinacional. Ao contrário de Indaiatuba, que confirma ter apresentado um pacote de isenções, Jundiaí negocia em silêncio”. (Fonte: O Globo. 24 </w:t>
      </w:r>
      <w:proofErr w:type="spellStart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abr</w:t>
      </w:r>
      <w:proofErr w:type="spellEnd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 xml:space="preserve"> 2011. Economia: p. 31. (Adaptado).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  <w:t xml:space="preserve">O momento atual de desenvolvimento da economia capitalista faz com que as empresas busquem, </w:t>
      </w:r>
      <w:proofErr w:type="gramStart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a</w:t>
      </w:r>
      <w:proofErr w:type="gramEnd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  <w:t>todo tempo, novas localizações para suas unidades produtivas que possibilitem a redução dos custos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  <w:t>de produção. Conforme a reportagem apresentada acima, há a busca, por diversas cidades no país e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  <w:t xml:space="preserve">no mundo, de maneira que possam atrair essas empresas aos seus territórios. </w:t>
      </w:r>
    </w:p>
    <w:p w14:paraId="75B0907C" w14:textId="77777777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No contexto dessas informações, o conceito que MELHOR PODE SER EMPREGADO para definir o cenário descrito acima é:</w:t>
      </w:r>
    </w:p>
    <w:p w14:paraId="2B83219D" w14:textId="379018AA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gramStart"/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  <w:shd w:val="clear" w:color="auto" w:fill="FFFFFF"/>
        </w:rPr>
        <w:t>a</w:t>
      </w:r>
      <w:proofErr w:type="gramEnd"/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  <w:shd w:val="clear" w:color="auto" w:fill="FFFFFF"/>
        </w:rPr>
        <w:t xml:space="preserve"> Guerra 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  <w:shd w:val="clear" w:color="auto" w:fill="FFFFFF"/>
        </w:rPr>
        <w:t>fiscal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  <w:shd w:val="clear" w:color="auto" w:fill="FFFFFF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  <w:shd w:val="clear" w:color="auto" w:fill="FFFFFF"/>
        </w:rPr>
        <w:t>b)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 Reestruturação política.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  <w:shd w:val="clear" w:color="auto" w:fill="FFFFFF"/>
        </w:rPr>
        <w:t>c)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Desterritorialização</w:t>
      </w:r>
      <w:proofErr w:type="spellEnd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  <w:shd w:val="clear" w:color="auto" w:fill="FFFFFF"/>
        </w:rPr>
        <w:t>d)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Reterritorialização</w:t>
      </w:r>
      <w:proofErr w:type="spellEnd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  <w:shd w:val="clear" w:color="auto" w:fill="FFFFFF"/>
        </w:rPr>
        <w:t>e)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 Just in time.</w:t>
      </w:r>
    </w:p>
    <w:p w14:paraId="2E0EFBDD" w14:textId="77777777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</w:pPr>
    </w:p>
    <w:p w14:paraId="228A52B0" w14:textId="77777777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 xml:space="preserve">18. (0,5) 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“A partir dos anos 70, impõe-se um movimento de desconcentração da produção industrial, uma das manifestações do desdobramento da divisão territorial do trabalho no Brasil. [...] A produção industrial torna-se mais complexa, estendendo-se</w:t>
      </w:r>
      <w:proofErr w:type="gramStart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 xml:space="preserve"> sobretudo</w:t>
      </w:r>
      <w:proofErr w:type="gramEnd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 xml:space="preserve"> para novas áreas do Sul e para alguns pontos do Centro-Oeste, do Nordeste e do Norte (Manaus). Paralelamente, as áreas industriais já consolidadas ganham dinamismos diferentes dos que definiram a industrialização em períodos anteriores.”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  <w:t xml:space="preserve">SANTOS, M.; SILVEIRA, M. L. O Brasil: território e sociedade no início do século XXI. Rio de Janeiro: </w:t>
      </w:r>
      <w:proofErr w:type="gramStart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Record</w:t>
      </w:r>
      <w:proofErr w:type="gramEnd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, 2001.</w:t>
      </w:r>
    </w:p>
    <w:p w14:paraId="0FE1196A" w14:textId="2F92FE15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  <w:t>Sobre os aspectos que ajudam a explicar as transformações na geografia da industrialização brasileira, destaca-se: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  <w:shd w:val="clear" w:color="auto" w:fill="FFFFFF"/>
        </w:rPr>
        <w:t>a)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 xml:space="preserve"> a necessidade de se buscar novas fontes </w:t>
      </w:r>
      <w:proofErr w:type="gramStart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energéticas, dada</w:t>
      </w:r>
      <w:proofErr w:type="gramEnd"/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 xml:space="preserve"> a saturação da produção de energia no Sudeste.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  <w:shd w:val="clear" w:color="auto" w:fill="FFFFFF"/>
        </w:rPr>
        <w:t>b)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 a busca por uma mão-de-obra mais qualificada, considerando a necessidade crescente deste elemento nas últimas décadas.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</w:r>
      <w:r w:rsidRPr="000B427D">
        <w:rPr>
          <w:rFonts w:ascii="Verdana" w:hAnsi="Verdana"/>
          <w:bCs/>
          <w:sz w:val="20"/>
          <w:szCs w:val="20"/>
          <w:bdr w:val="none" w:sz="0" w:space="0" w:color="auto" w:frame="1"/>
          <w:shd w:val="clear" w:color="auto" w:fill="FFFFFF"/>
        </w:rPr>
        <w:lastRenderedPageBreak/>
        <w:t>c)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 a aproximação das fontes de matérias primas, pois os custos logísticos se tornaram limitadores para o crescimento das áreas consolidadas.</w:t>
      </w: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</w:r>
      <w:r w:rsidRPr="000B427D">
        <w:rPr>
          <w:rFonts w:ascii="Verdana" w:hAnsi="Verdana"/>
          <w:b/>
          <w:bCs/>
          <w:sz w:val="20"/>
          <w:szCs w:val="20"/>
          <w:bdr w:val="none" w:sz="0" w:space="0" w:color="auto" w:frame="1"/>
          <w:shd w:val="clear" w:color="auto" w:fill="FFFFFF"/>
        </w:rPr>
        <w:t>d)</w:t>
      </w:r>
      <w:r w:rsidRPr="000B427D">
        <w:rPr>
          <w:rFonts w:ascii="Verdana" w:hAnsi="Verdana"/>
          <w:b/>
          <w:sz w:val="20"/>
          <w:szCs w:val="20"/>
          <w:bdr w:val="none" w:sz="0" w:space="0" w:color="auto" w:frame="1"/>
          <w:shd w:val="clear" w:color="auto" w:fill="FFFFFF"/>
        </w:rPr>
        <w:t> a disputa entre estados e municípios no que se refere à concessão de benefícios fiscais, conhecida como “guerra fiscal” ou “guerra dos lugares”.</w:t>
      </w:r>
    </w:p>
    <w:p w14:paraId="352A44CB" w14:textId="77777777" w:rsidR="003E4A44" w:rsidRPr="000B427D" w:rsidRDefault="003E4A44" w:rsidP="003E4A44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</w:pPr>
    </w:p>
    <w:p w14:paraId="13DDDE0E" w14:textId="77777777" w:rsidR="003E4A44" w:rsidRPr="000B427D" w:rsidRDefault="003E4A44" w:rsidP="003E4A44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B427D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 xml:space="preserve">19. (0,5) </w:t>
      </w:r>
      <w:r w:rsidRPr="000B427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Observe a matéria:</w:t>
      </w:r>
    </w:p>
    <w:p w14:paraId="419C67FF" w14:textId="77777777" w:rsidR="003E4A44" w:rsidRPr="003E4A44" w:rsidRDefault="003E4A44" w:rsidP="003E4A44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Mesmo que o TAV (trem de alta velocidade) nacional saísse por US$ 21 bilhões, o que especialistas consideram improvável, o valor bastaria para construir 170 km de metrô. Parece óbvio que é mais urgente completar as redes de metrópoles mal servidas de transporte público como São Paulo e Rio.</w:t>
      </w:r>
    </w:p>
    <w:p w14:paraId="284E8239" w14:textId="77777777" w:rsidR="003E4A44" w:rsidRPr="003E4A44" w:rsidRDefault="003E4A44" w:rsidP="003E4A44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</w:t>
      </w:r>
      <w:r w:rsidRPr="003E4A44">
        <w:rPr>
          <w:rFonts w:ascii="Verdana" w:eastAsia="Times New Roman" w:hAnsi="Verdana" w:cs="Arial"/>
          <w:i/>
          <w:iCs/>
          <w:sz w:val="20"/>
          <w:szCs w:val="20"/>
          <w:bdr w:val="none" w:sz="0" w:space="0" w:color="auto" w:frame="1"/>
          <w:lang w:eastAsia="pt-BR"/>
        </w:rPr>
        <w:t>Folha de São Paulo</w:t>
      </w:r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, 19/08/09</w:t>
      </w:r>
      <w:proofErr w:type="gramStart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66E67D5A" w14:textId="77777777" w:rsidR="003E4A44" w:rsidRPr="003E4A44" w:rsidRDefault="003E4A44" w:rsidP="003E4A44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 matéria aborda o projeto de construção do “trem-bala” ligando Campinas, São Paulo e Rio de Janeiro. Sobre o assunto e a realidade do sistema de transporte nacional, é correto afirmar que:</w:t>
      </w:r>
    </w:p>
    <w:p w14:paraId="3363CBD3" w14:textId="77777777" w:rsidR="003E4A44" w:rsidRPr="003E4A44" w:rsidRDefault="003E4A44" w:rsidP="003E4A44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E4A4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3E4A4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construção do trem-bala vem suprir uma lacuna no setor ferroviário brasileiro e a viabilidade no trecho escolhido justifica-se pela ausência de barreiras topográficas e a suavidade do relevo.</w:t>
      </w:r>
    </w:p>
    <w:p w14:paraId="168F273C" w14:textId="77777777" w:rsidR="003E4A44" w:rsidRPr="003E4A44" w:rsidRDefault="003E4A44" w:rsidP="003E4A44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E4A4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Além da necessária linha em construção, o projeto consolidaria a supremacia das ferrovias no sistema de transporte brasileiro, seguindo a tendência internacional.</w:t>
      </w:r>
    </w:p>
    <w:p w14:paraId="0CE0EA83" w14:textId="77777777" w:rsidR="003E4A44" w:rsidRPr="003E4A44" w:rsidRDefault="003E4A44" w:rsidP="003E4A44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3E4A44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c) o Brasil é um raríssimo caso de grandes nações que optaram pelo transporte rodoviário como </w:t>
      </w:r>
      <w:proofErr w:type="gramStart"/>
      <w:r w:rsidRPr="003E4A44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modelo principal e especialistas</w:t>
      </w:r>
      <w:proofErr w:type="gramEnd"/>
      <w:r w:rsidRPr="003E4A44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 apontam a necessidade de rever essa realidade.</w:t>
      </w:r>
    </w:p>
    <w:p w14:paraId="2B916288" w14:textId="77777777" w:rsidR="003E4A44" w:rsidRPr="003E4A44" w:rsidRDefault="003E4A44" w:rsidP="003E4A44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E4A4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ao seguir a sugestão da matéria em se transferir para o metrô o investimento do TAV, o Brasil superaria as principais cidades do mundo em quilômetros construídos.</w:t>
      </w:r>
    </w:p>
    <w:p w14:paraId="037DC511" w14:textId="77777777" w:rsidR="003E4A44" w:rsidRPr="000B427D" w:rsidRDefault="003E4A44" w:rsidP="003E4A44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3E4A4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3E4A4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TAV se enquadra dentro do PAC do atual governo, cujas obras já eliminaram as precárias condições das estradas brasileiras.</w:t>
      </w:r>
    </w:p>
    <w:p w14:paraId="0AFDBF7F" w14:textId="77777777" w:rsidR="003E4A44" w:rsidRPr="000B427D" w:rsidRDefault="003E4A44" w:rsidP="003E4A44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31B861D6" w14:textId="77777777" w:rsidR="003E4A44" w:rsidRPr="000B427D" w:rsidRDefault="003E4A44" w:rsidP="003E4A44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B427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20. (0,5) O Plano de Logística para o Brasil, lançado pela Confederação Nacional do Transporte (CNT), no dia 5 de setembro, prevê 496 projetos e estima investimentos de R$ 223,8 bilhões ao longo dos próximos anos. “O Plano contempla a integração logística do Brasil. Ou seja, a integração da ferrovia com a rodovia, com o setor aéreo, com os portos, colocando o Brasil mais eficiente e criando as condições para que o Brasil possa crescer”, destacou o presidente da CNT, Clésio Andrade, </w:t>
      </w:r>
      <w:proofErr w:type="gramStart"/>
      <w:r w:rsidRPr="000B427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no</w:t>
      </w:r>
      <w:proofErr w:type="gramEnd"/>
    </w:p>
    <w:p w14:paraId="098E2E21" w14:textId="77777777" w:rsidR="003E4A44" w:rsidRPr="003E4A44" w:rsidRDefault="003E4A44" w:rsidP="003E4A44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lançamento</w:t>
      </w:r>
      <w:proofErr w:type="gramEnd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do Plano.</w:t>
      </w:r>
    </w:p>
    <w:p w14:paraId="2E8C643B" w14:textId="77777777" w:rsidR="003E4A44" w:rsidRPr="003E4A44" w:rsidRDefault="003E4A44" w:rsidP="003E4A44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CNT PROPÕE Plano de Logística para o Brasil com 496 projetos. Disponível em: </w:t>
      </w:r>
      <w:proofErr w:type="gramStart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http://www.cnt.org.br/ .</w:t>
      </w:r>
      <w:proofErr w:type="gramEnd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Acesso em: 01/10/2007.</w:t>
      </w:r>
    </w:p>
    <w:p w14:paraId="5AEE06C5" w14:textId="77777777" w:rsidR="003E4A44" w:rsidRPr="003E4A44" w:rsidRDefault="003E4A44" w:rsidP="003E4A44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Com base no texto, na análise do gráfico e nos conhecimentos sobre o sistema de transportes, no Brasil, é correto afirmar:</w:t>
      </w:r>
    </w:p>
    <w:p w14:paraId="78869D83" w14:textId="77777777" w:rsidR="003E4A44" w:rsidRPr="003E4A44" w:rsidRDefault="003E4A44" w:rsidP="003E4A44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3E4A44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a) O investimento do governo, a partir do governo de Juscelino Kubitschek, priorizou a rodovia em detrimento da ferrovia.</w:t>
      </w:r>
    </w:p>
    <w:p w14:paraId="5F55A4A5" w14:textId="77777777" w:rsidR="003E4A44" w:rsidRPr="003E4A44" w:rsidRDefault="003E4A44" w:rsidP="003E4A44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E4A4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O sistema </w:t>
      </w:r>
      <w:proofErr w:type="spellStart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aquaviário</w:t>
      </w:r>
      <w:proofErr w:type="spellEnd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ocupa a terceira colocação no deslocamento de cargas, devido à profundidade dos portos e à facilidade na ancoragem das embarcações.</w:t>
      </w:r>
    </w:p>
    <w:p w14:paraId="739A4A18" w14:textId="77777777" w:rsidR="003E4A44" w:rsidRPr="003E4A44" w:rsidRDefault="003E4A44" w:rsidP="003E4A44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E4A4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malha ferroviária está sendo modernizada para deslocar, preferencialmente, passageiros.</w:t>
      </w:r>
    </w:p>
    <w:p w14:paraId="01197A1A" w14:textId="77777777" w:rsidR="003E4A44" w:rsidRPr="003E4A44" w:rsidRDefault="003E4A44" w:rsidP="003E4A44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E4A4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plano da CNT deverá ser concentrado no transporte fluvial, devido à predominância de rios de planície, no país.</w:t>
      </w:r>
    </w:p>
    <w:p w14:paraId="496DE2D4" w14:textId="77777777" w:rsidR="003E4A44" w:rsidRPr="003E4A44" w:rsidRDefault="003E4A44" w:rsidP="003E4A44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E4A4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3E4A4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3E4A4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transporte aéreo, apesar da crise em que vive o setor, compete com o transporte rodoviário, por ser mais eficiente, mais econômico, devido à redução de preços das tarifas, e possui uma capacidade maior de transportar cargas em relação ao transporte rodoviário e o ferroviário.</w:t>
      </w:r>
    </w:p>
    <w:p w14:paraId="43A825F5" w14:textId="24C4F209" w:rsidR="003E4A44" w:rsidRPr="003E4A44" w:rsidRDefault="003E4A44" w:rsidP="003E4A4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sz w:val="20"/>
          <w:szCs w:val="20"/>
          <w:lang w:eastAsia="pt-BR"/>
        </w:rPr>
      </w:pPr>
    </w:p>
    <w:p w14:paraId="319DFF6E" w14:textId="2A7F851F" w:rsidR="003E4A44" w:rsidRPr="003E4A44" w:rsidRDefault="003E4A44" w:rsidP="00D62933">
      <w:pPr>
        <w:rPr>
          <w:rFonts w:ascii="Verdana" w:hAnsi="Verdana"/>
          <w:sz w:val="16"/>
          <w:szCs w:val="16"/>
        </w:rPr>
      </w:pPr>
    </w:p>
    <w:sectPr w:rsidR="003E4A44" w:rsidRPr="003E4A44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FD5A01" w14:textId="77777777" w:rsidR="00A50200" w:rsidRDefault="00A50200" w:rsidP="009851F2">
      <w:pPr>
        <w:spacing w:after="0" w:line="240" w:lineRule="auto"/>
      </w:pPr>
      <w:r>
        <w:separator/>
      </w:r>
    </w:p>
  </w:endnote>
  <w:endnote w:type="continuationSeparator" w:id="0">
    <w:p w14:paraId="2926605F" w14:textId="77777777" w:rsidR="00A50200" w:rsidRDefault="00A5020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B427D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B427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0836CB" w14:textId="77777777" w:rsidR="00A50200" w:rsidRDefault="00A50200" w:rsidP="009851F2">
      <w:pPr>
        <w:spacing w:after="0" w:line="240" w:lineRule="auto"/>
      </w:pPr>
      <w:r>
        <w:separator/>
      </w:r>
    </w:p>
  </w:footnote>
  <w:footnote w:type="continuationSeparator" w:id="0">
    <w:p w14:paraId="373005BC" w14:textId="77777777" w:rsidR="00A50200" w:rsidRDefault="00A5020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B427D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4A44"/>
    <w:rsid w:val="0040381F"/>
    <w:rsid w:val="0042634C"/>
    <w:rsid w:val="00446779"/>
    <w:rsid w:val="00457BBE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23DD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50200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4028"/>
    <w:rsid w:val="00E57A59"/>
    <w:rsid w:val="00E6002F"/>
    <w:rsid w:val="00E65448"/>
    <w:rsid w:val="00E77542"/>
    <w:rsid w:val="00EA4710"/>
    <w:rsid w:val="00EA61E8"/>
    <w:rsid w:val="00EB04E9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D5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3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07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9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0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16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44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8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72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1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36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5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1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1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8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28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6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09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6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72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0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74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38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61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35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7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61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4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AE6AC-A4A9-4737-A0F9-568A14345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3297</Words>
  <Characters>17806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2022-09-01T19:31:00Z</dcterms:created>
  <dcterms:modified xsi:type="dcterms:W3CDTF">2022-09-01T19:31:00Z</dcterms:modified>
</cp:coreProperties>
</file>