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F0B255E" w:rsidR="00093F84" w:rsidRPr="0086497B" w:rsidRDefault="000008C9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1551E7A" w14:textId="28B6E890" w:rsidR="00D62933" w:rsidRDefault="006E3EE8" w:rsidP="006E3EE8">
      <w:pPr>
        <w:tabs>
          <w:tab w:val="left" w:pos="1125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SIMULADO 01 – AS ALTERNATIVAS CORRETAS ESTÃO EM NEGRITO</w:t>
      </w:r>
    </w:p>
    <w:p w14:paraId="4767B574" w14:textId="70A9097D" w:rsidR="006E3EE8" w:rsidRDefault="006E3EE8" w:rsidP="006E3EE8">
      <w:pPr>
        <w:tabs>
          <w:tab w:val="left" w:pos="1125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1FDE0543" w14:textId="77777777" w:rsidR="006E3EE8" w:rsidRPr="006E3EE8" w:rsidRDefault="006E3EE8" w:rsidP="006E3EE8">
      <w:pPr>
        <w:tabs>
          <w:tab w:val="left" w:pos="1125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636CA96B" w14:textId="23A7680B" w:rsidR="000008C9" w:rsidRPr="006E3EE8" w:rsidRDefault="000008C9" w:rsidP="006E3EE8">
      <w:pPr>
        <w:tabs>
          <w:tab w:val="left" w:pos="1125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E3EE8">
        <w:rPr>
          <w:rFonts w:ascii="Verdana" w:hAnsi="Verdana"/>
          <w:sz w:val="20"/>
          <w:szCs w:val="20"/>
        </w:rPr>
        <w:t xml:space="preserve">01 </w:t>
      </w:r>
      <w:r w:rsidR="006E3EE8">
        <w:rPr>
          <w:rFonts w:ascii="Verdana" w:hAnsi="Verdana"/>
          <w:sz w:val="20"/>
          <w:szCs w:val="20"/>
        </w:rPr>
        <w:t>– (Vestibular – 2019)</w:t>
      </w:r>
      <w:r w:rsidRPr="006E3EE8">
        <w:rPr>
          <w:rFonts w:ascii="Verdana" w:hAnsi="Verdana"/>
          <w:sz w:val="20"/>
          <w:szCs w:val="20"/>
        </w:rPr>
        <w:t xml:space="preserve"> </w:t>
      </w:r>
      <w:r w:rsidRPr="006E3EE8">
        <w:rPr>
          <w:rFonts w:ascii="Verdana" w:hAnsi="Verdana"/>
          <w:sz w:val="20"/>
          <w:szCs w:val="20"/>
        </w:rPr>
        <w:t>A estética corresponde ao ramo da filosofia que se ocupa das manifestações artísticas, buscando apontar, por exemplo, os diferentes critérios e modos como em diferentes momentos ou culturas se percebe e classifica algo como belo, sublime ou agradável. Trata-se, assim, de uma forma de conhecimento que não nega a razão, ao certo, mas que coloca em relevo a forma como ela se relaciona com a imaginação e com a sensibilidade.</w:t>
      </w:r>
    </w:p>
    <w:p w14:paraId="5AAC471C" w14:textId="77777777" w:rsidR="000008C9" w:rsidRPr="006E3EE8" w:rsidRDefault="000008C9" w:rsidP="006E3EE8">
      <w:pPr>
        <w:tabs>
          <w:tab w:val="left" w:pos="1125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E3EE8">
        <w:rPr>
          <w:rFonts w:ascii="Verdana" w:hAnsi="Verdana"/>
          <w:sz w:val="20"/>
          <w:szCs w:val="20"/>
        </w:rPr>
        <w:t>A partir do exposto, é correto afirmar:</w:t>
      </w:r>
    </w:p>
    <w:p w14:paraId="1E30E3D3" w14:textId="77777777" w:rsidR="000008C9" w:rsidRPr="006E3EE8" w:rsidRDefault="000008C9" w:rsidP="006E3EE8">
      <w:pPr>
        <w:tabs>
          <w:tab w:val="left" w:pos="1125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248E5955" w14:textId="4A40C860" w:rsidR="000008C9" w:rsidRPr="006E3EE8" w:rsidRDefault="000008C9" w:rsidP="006E3EE8">
      <w:pPr>
        <w:tabs>
          <w:tab w:val="left" w:pos="1125"/>
        </w:tabs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 w:rsidRPr="006E3EE8">
        <w:rPr>
          <w:rFonts w:ascii="Verdana" w:hAnsi="Verdana"/>
          <w:b/>
          <w:bCs/>
          <w:sz w:val="20"/>
          <w:szCs w:val="20"/>
        </w:rPr>
        <w:t>a)</w:t>
      </w:r>
      <w:r w:rsidRPr="006E3EE8">
        <w:rPr>
          <w:rFonts w:ascii="Verdana" w:hAnsi="Verdana"/>
          <w:b/>
          <w:bCs/>
          <w:sz w:val="20"/>
          <w:szCs w:val="20"/>
        </w:rPr>
        <w:t xml:space="preserve"> </w:t>
      </w:r>
      <w:r w:rsidRPr="006E3EE8">
        <w:rPr>
          <w:rFonts w:ascii="Verdana" w:hAnsi="Verdana"/>
          <w:b/>
          <w:bCs/>
          <w:sz w:val="20"/>
          <w:szCs w:val="20"/>
        </w:rPr>
        <w:t>Juntamente com a razão, a imaginação e a sensibilidade são fatores indispensáveis para a nossa apreensão do mundo e das coisas.</w:t>
      </w:r>
    </w:p>
    <w:p w14:paraId="06443F82" w14:textId="78FF36DF" w:rsidR="000008C9" w:rsidRPr="006E3EE8" w:rsidRDefault="000008C9" w:rsidP="006E3EE8">
      <w:pPr>
        <w:tabs>
          <w:tab w:val="left" w:pos="1125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E3EE8">
        <w:rPr>
          <w:rFonts w:ascii="Verdana" w:hAnsi="Verdana"/>
          <w:sz w:val="20"/>
          <w:szCs w:val="20"/>
        </w:rPr>
        <w:t>b)</w:t>
      </w:r>
      <w:r w:rsidRPr="006E3EE8">
        <w:rPr>
          <w:rFonts w:ascii="Verdana" w:hAnsi="Verdana"/>
          <w:sz w:val="20"/>
          <w:szCs w:val="20"/>
        </w:rPr>
        <w:t xml:space="preserve"> </w:t>
      </w:r>
      <w:r w:rsidRPr="006E3EE8">
        <w:rPr>
          <w:rFonts w:ascii="Verdana" w:hAnsi="Verdana"/>
          <w:sz w:val="20"/>
          <w:szCs w:val="20"/>
        </w:rPr>
        <w:t>A estética é o campo da filosofia que se ocupa da relação entre o pensamento e a religião.</w:t>
      </w:r>
    </w:p>
    <w:p w14:paraId="29251808" w14:textId="4AB567A5" w:rsidR="000008C9" w:rsidRPr="006E3EE8" w:rsidRDefault="000008C9" w:rsidP="006E3EE8">
      <w:pPr>
        <w:tabs>
          <w:tab w:val="left" w:pos="1125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E3EE8">
        <w:rPr>
          <w:rFonts w:ascii="Verdana" w:hAnsi="Verdana"/>
          <w:sz w:val="20"/>
          <w:szCs w:val="20"/>
        </w:rPr>
        <w:t>c)</w:t>
      </w:r>
      <w:r w:rsidRPr="006E3EE8">
        <w:rPr>
          <w:rFonts w:ascii="Verdana" w:hAnsi="Verdana"/>
          <w:sz w:val="20"/>
          <w:szCs w:val="20"/>
        </w:rPr>
        <w:t xml:space="preserve"> </w:t>
      </w:r>
      <w:r w:rsidRPr="006E3EE8">
        <w:rPr>
          <w:rFonts w:ascii="Verdana" w:hAnsi="Verdana"/>
          <w:sz w:val="20"/>
          <w:szCs w:val="20"/>
        </w:rPr>
        <w:t>Na estética, a razão predomina sobre a sensibilidade e a imaginação.</w:t>
      </w:r>
    </w:p>
    <w:p w14:paraId="45F106DC" w14:textId="17CB7445" w:rsidR="000008C9" w:rsidRPr="006E3EE8" w:rsidRDefault="000008C9" w:rsidP="006E3EE8">
      <w:pPr>
        <w:tabs>
          <w:tab w:val="left" w:pos="1125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E3EE8">
        <w:rPr>
          <w:rFonts w:ascii="Verdana" w:hAnsi="Verdana"/>
          <w:sz w:val="20"/>
          <w:szCs w:val="20"/>
        </w:rPr>
        <w:t>d)</w:t>
      </w:r>
      <w:r w:rsidRPr="006E3EE8">
        <w:rPr>
          <w:rFonts w:ascii="Verdana" w:hAnsi="Verdana"/>
          <w:sz w:val="20"/>
          <w:szCs w:val="20"/>
        </w:rPr>
        <w:t xml:space="preserve"> </w:t>
      </w:r>
      <w:r w:rsidRPr="006E3EE8">
        <w:rPr>
          <w:rFonts w:ascii="Verdana" w:hAnsi="Verdana"/>
          <w:sz w:val="20"/>
          <w:szCs w:val="20"/>
        </w:rPr>
        <w:t>O sublime e o agradável devem ser apreendidos de forma objetiva pelo raciocínio lógico.</w:t>
      </w:r>
    </w:p>
    <w:p w14:paraId="3FEC034F" w14:textId="2490D66A" w:rsidR="006E3EE8" w:rsidRDefault="000008C9" w:rsidP="006E3EE8">
      <w:pPr>
        <w:tabs>
          <w:tab w:val="left" w:pos="1125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E3EE8">
        <w:rPr>
          <w:rFonts w:ascii="Verdana" w:hAnsi="Verdana"/>
          <w:sz w:val="20"/>
          <w:szCs w:val="20"/>
        </w:rPr>
        <w:t>e)</w:t>
      </w:r>
      <w:r w:rsidRPr="006E3EE8">
        <w:rPr>
          <w:rFonts w:ascii="Verdana" w:hAnsi="Verdana"/>
          <w:sz w:val="20"/>
          <w:szCs w:val="20"/>
        </w:rPr>
        <w:t xml:space="preserve"> </w:t>
      </w:r>
      <w:r w:rsidRPr="006E3EE8">
        <w:rPr>
          <w:rFonts w:ascii="Verdana" w:hAnsi="Verdana"/>
          <w:sz w:val="20"/>
          <w:szCs w:val="20"/>
        </w:rPr>
        <w:t>Na estética não há lugar para a razão, visto que ela se baseia na sensibilidade e na imaginação.</w:t>
      </w:r>
    </w:p>
    <w:p w14:paraId="637E5EC5" w14:textId="0206A99A" w:rsidR="006E3EE8" w:rsidRDefault="006E3EE8" w:rsidP="006E3EE8">
      <w:pPr>
        <w:tabs>
          <w:tab w:val="left" w:pos="1125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09353C8E" w14:textId="77777777" w:rsidR="006E3EE8" w:rsidRPr="006E3EE8" w:rsidRDefault="006E3EE8" w:rsidP="006E3EE8">
      <w:pPr>
        <w:tabs>
          <w:tab w:val="left" w:pos="1125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02 – (Vestibular – 2002) </w:t>
      </w:r>
      <w:r w:rsidRPr="006E3EE8">
        <w:rPr>
          <w:rFonts w:ascii="Verdana" w:hAnsi="Verdana"/>
          <w:sz w:val="20"/>
          <w:szCs w:val="20"/>
        </w:rPr>
        <w:t xml:space="preserve">O conhecimento sobre as formas de sobrevivência humana, na pré-história brasileira, é um grande quebra-cabeça que vem sendo estudado por </w:t>
      </w:r>
      <w:proofErr w:type="spellStart"/>
      <w:r w:rsidRPr="006E3EE8">
        <w:rPr>
          <w:rFonts w:ascii="Verdana" w:hAnsi="Verdana"/>
          <w:sz w:val="20"/>
          <w:szCs w:val="20"/>
        </w:rPr>
        <w:t>pré</w:t>
      </w:r>
      <w:proofErr w:type="spellEnd"/>
      <w:r w:rsidRPr="006E3EE8">
        <w:rPr>
          <w:rFonts w:ascii="Verdana" w:hAnsi="Verdana"/>
          <w:sz w:val="20"/>
          <w:szCs w:val="20"/>
        </w:rPr>
        <w:t>-historiadores e arqueólogos.</w:t>
      </w:r>
    </w:p>
    <w:p w14:paraId="5A60CF74" w14:textId="77777777" w:rsidR="006E3EE8" w:rsidRPr="006E3EE8" w:rsidRDefault="006E3EE8" w:rsidP="006E3EE8">
      <w:pPr>
        <w:tabs>
          <w:tab w:val="left" w:pos="1125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4F037400" w14:textId="77777777" w:rsidR="006E3EE8" w:rsidRPr="006E3EE8" w:rsidRDefault="006E3EE8" w:rsidP="006E3EE8">
      <w:pPr>
        <w:tabs>
          <w:tab w:val="left" w:pos="1125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E3EE8">
        <w:rPr>
          <w:rFonts w:ascii="Verdana" w:hAnsi="Verdana"/>
          <w:sz w:val="20"/>
          <w:szCs w:val="20"/>
        </w:rPr>
        <w:t>Sobre a pré-história brasileira, assinale a alternativa correta.</w:t>
      </w:r>
    </w:p>
    <w:p w14:paraId="5285FC31" w14:textId="77777777" w:rsidR="006E3EE8" w:rsidRPr="006E3EE8" w:rsidRDefault="006E3EE8" w:rsidP="006E3EE8">
      <w:pPr>
        <w:tabs>
          <w:tab w:val="left" w:pos="1125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256A69FB" w14:textId="0A4448B8" w:rsidR="006E3EE8" w:rsidRPr="006E3EE8" w:rsidRDefault="006E3EE8" w:rsidP="006E3EE8">
      <w:pPr>
        <w:tabs>
          <w:tab w:val="left" w:pos="1125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E3EE8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6E3EE8">
        <w:rPr>
          <w:rFonts w:ascii="Verdana" w:hAnsi="Verdana"/>
          <w:sz w:val="20"/>
          <w:szCs w:val="20"/>
        </w:rPr>
        <w:t>Os habitantes dos sambaquis sepultavam os seus mortos, colocando os corpos em urnas funerárias e os enterravam sob suas cabanas.</w:t>
      </w:r>
    </w:p>
    <w:p w14:paraId="660B541A" w14:textId="22CC3E02" w:rsidR="006E3EE8" w:rsidRPr="006E3EE8" w:rsidRDefault="006E3EE8" w:rsidP="006E3EE8">
      <w:pPr>
        <w:tabs>
          <w:tab w:val="left" w:pos="1125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E3EE8">
        <w:rPr>
          <w:rFonts w:ascii="Verdana" w:hAnsi="Verdana"/>
          <w:sz w:val="20"/>
          <w:szCs w:val="20"/>
        </w:rPr>
        <w:t>b)Denomina-se arte rupestre o conjunto de pinturas corporais, em cerâmica e em artefatos de madeira, produzidos na pré-história brasileira.</w:t>
      </w:r>
    </w:p>
    <w:p w14:paraId="45A2713E" w14:textId="252C2CBE" w:rsidR="006E3EE8" w:rsidRPr="006E3EE8" w:rsidRDefault="006E3EE8" w:rsidP="006E3EE8">
      <w:pPr>
        <w:tabs>
          <w:tab w:val="left" w:pos="1125"/>
        </w:tabs>
        <w:spacing w:after="0"/>
        <w:ind w:left="-567" w:right="426"/>
        <w:jc w:val="both"/>
        <w:rPr>
          <w:rFonts w:ascii="Verdana" w:hAnsi="Verdana"/>
          <w:b/>
          <w:bCs/>
          <w:sz w:val="20"/>
          <w:szCs w:val="20"/>
        </w:rPr>
      </w:pPr>
      <w:r w:rsidRPr="006E3EE8">
        <w:rPr>
          <w:rFonts w:ascii="Verdana" w:hAnsi="Verdana"/>
          <w:b/>
          <w:bCs/>
          <w:sz w:val="20"/>
          <w:szCs w:val="20"/>
        </w:rPr>
        <w:t>c)</w:t>
      </w:r>
      <w:r w:rsidRPr="006E3EE8">
        <w:rPr>
          <w:rFonts w:ascii="Verdana" w:hAnsi="Verdana"/>
          <w:b/>
          <w:bCs/>
          <w:sz w:val="20"/>
          <w:szCs w:val="20"/>
        </w:rPr>
        <w:t xml:space="preserve"> </w:t>
      </w:r>
      <w:r w:rsidRPr="006E3EE8">
        <w:rPr>
          <w:rFonts w:ascii="Verdana" w:hAnsi="Verdana"/>
          <w:b/>
          <w:bCs/>
          <w:sz w:val="20"/>
          <w:szCs w:val="20"/>
        </w:rPr>
        <w:t>O estudo da cultura material, incluindo a arte rupestre, pode gerar conhecimento sobre aspectos da vida material e espiritual dos povos que a produziram.</w:t>
      </w:r>
    </w:p>
    <w:p w14:paraId="657EDB3F" w14:textId="3E184580" w:rsidR="006E3EE8" w:rsidRPr="006E3EE8" w:rsidRDefault="006E3EE8" w:rsidP="006E3EE8">
      <w:pPr>
        <w:tabs>
          <w:tab w:val="left" w:pos="1125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E3EE8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6E3EE8">
        <w:rPr>
          <w:rFonts w:ascii="Verdana" w:hAnsi="Verdana"/>
          <w:sz w:val="20"/>
          <w:szCs w:val="20"/>
        </w:rPr>
        <w:t>As recentes pesquisas arqueológicas realizadas no Nordeste brasileiro comprovam a tese defendida na década de sessenta: o homem mais antigo do Brasil teria existido por volta de doze mil anos atrás.</w:t>
      </w:r>
    </w:p>
    <w:p w14:paraId="54A519FD" w14:textId="30368CAC" w:rsidR="006E3EE8" w:rsidRPr="006E3EE8" w:rsidRDefault="006E3EE8" w:rsidP="006E3EE8">
      <w:pPr>
        <w:tabs>
          <w:tab w:val="left" w:pos="1125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E3EE8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</w:t>
      </w:r>
      <w:r w:rsidRPr="006E3EE8">
        <w:rPr>
          <w:rFonts w:ascii="Verdana" w:hAnsi="Verdana"/>
          <w:sz w:val="20"/>
          <w:szCs w:val="20"/>
        </w:rPr>
        <w:t>Através de escavações realizadas nos Estados de Goiás e Mato Grosso, foi comprovada a tese de que, nestas regiões, habitavam povos descendentes de incas bolivianos.</w:t>
      </w: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0204C" w14:textId="77777777" w:rsidR="00906F04" w:rsidRDefault="00906F04" w:rsidP="009851F2">
      <w:pPr>
        <w:spacing w:after="0" w:line="240" w:lineRule="auto"/>
      </w:pPr>
      <w:r>
        <w:separator/>
      </w:r>
    </w:p>
  </w:endnote>
  <w:endnote w:type="continuationSeparator" w:id="0">
    <w:p w14:paraId="01618A4C" w14:textId="77777777" w:rsidR="00906F04" w:rsidRDefault="00906F0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5BB1B" w14:textId="77777777" w:rsidR="00906F04" w:rsidRDefault="00906F04" w:rsidP="009851F2">
      <w:pPr>
        <w:spacing w:after="0" w:line="240" w:lineRule="auto"/>
      </w:pPr>
      <w:r>
        <w:separator/>
      </w:r>
    </w:p>
  </w:footnote>
  <w:footnote w:type="continuationSeparator" w:id="0">
    <w:p w14:paraId="3AECD60D" w14:textId="77777777" w:rsidR="00906F04" w:rsidRDefault="00906F0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8C9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E3EE8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06F04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520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2022-03-06T22:40:00Z</dcterms:created>
  <dcterms:modified xsi:type="dcterms:W3CDTF">2022-03-06T22:40:00Z</dcterms:modified>
</cp:coreProperties>
</file>