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p w14:paraId="40AAC169" w14:textId="77777777" w:rsidR="009D73D4" w:rsidRDefault="009D73D4" w:rsidP="009D73D4">
      <w:pPr>
        <w:tabs>
          <w:tab w:val="left" w:pos="1125"/>
        </w:tabs>
        <w:jc w:val="center"/>
        <w:rPr>
          <w:rFonts w:ascii="Arial" w:hAnsi="Arial" w:cs="Arial"/>
          <w:sz w:val="20"/>
          <w:szCs w:val="20"/>
        </w:rPr>
      </w:pPr>
    </w:p>
    <w:p w14:paraId="16BD2585" w14:textId="4B4A696A" w:rsidR="00D62933" w:rsidRPr="00515158" w:rsidRDefault="009D73D4" w:rsidP="009D73D4">
      <w:pPr>
        <w:tabs>
          <w:tab w:val="left" w:pos="112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QUESTÕES DE QUÍMICA 2 – PROF BRUNNO LABURU (3ª SÉRIE)</w:t>
      </w:r>
    </w:p>
    <w:p w14:paraId="10AD1E72" w14:textId="77777777" w:rsidR="006D2AA0" w:rsidRPr="007F2788" w:rsidRDefault="006D2AA0" w:rsidP="001A50C9">
      <w:pPr>
        <w:shd w:val="clear" w:color="auto" w:fill="FFFFFF"/>
        <w:spacing w:before="150"/>
        <w:rPr>
          <w:rFonts w:ascii="Verdana" w:hAnsi="Verdana" w:cs="Arial"/>
          <w:b/>
          <w:sz w:val="20"/>
          <w:szCs w:val="20"/>
          <w:lang w:eastAsia="zh-CN"/>
        </w:rPr>
      </w:pPr>
    </w:p>
    <w:p w14:paraId="3C221202" w14:textId="7AD6DCCD" w:rsidR="001A50C9" w:rsidRDefault="00214F0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Dentre as substâncias cujas fórmulas são fornecidas a seguir</w:t>
      </w:r>
    </w:p>
    <w:p w14:paraId="1FE1904C" w14:textId="77777777" w:rsidR="007F2788" w:rsidRPr="007F2788" w:rsidRDefault="007F2788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BF6DA9D" w14:textId="632B0E43" w:rsidR="001A50C9" w:rsidRDefault="001A50C9" w:rsidP="007F278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NaHCO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gram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CH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COOH</w:t>
      </w:r>
    </w:p>
    <w:p w14:paraId="233C80EF" w14:textId="77777777" w:rsidR="007F2788" w:rsidRPr="007F2788" w:rsidRDefault="007F2788" w:rsidP="007F278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260BDFD" w14:textId="07B6BECF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pode(m) ser empregada(s) para combater excesso de acidez estomacal</w:t>
      </w:r>
    </w:p>
    <w:p w14:paraId="14656808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a) NaHCO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apenas.</w:t>
      </w:r>
    </w:p>
    <w:p w14:paraId="1154BB93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b) </w:t>
      </w:r>
      <w:proofErr w:type="gram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apenas.</w:t>
      </w:r>
    </w:p>
    <w:p w14:paraId="7AACA082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CH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COOH, apenas.</w:t>
      </w:r>
    </w:p>
    <w:p w14:paraId="4B969E93" w14:textId="77777777" w:rsidR="001A50C9" w:rsidRPr="00A93395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d) NaHCO</w:t>
      </w:r>
      <w:r w:rsidRPr="00A93395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3</w:t>
      </w: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e </w:t>
      </w:r>
      <w:proofErr w:type="gramStart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Mg(</w:t>
      </w:r>
      <w:proofErr w:type="gramEnd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OH)</w:t>
      </w:r>
      <w:r w:rsidRPr="00A93395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, apenas.</w:t>
      </w:r>
    </w:p>
    <w:p w14:paraId="3D4F150F" w14:textId="57A82AFF" w:rsidR="00453582" w:rsidRPr="007F2788" w:rsidRDefault="001A50C9" w:rsidP="007F2788">
      <w:pPr>
        <w:shd w:val="clear" w:color="auto" w:fill="FFFFFF"/>
        <w:spacing w:after="0" w:line="240" w:lineRule="auto"/>
        <w:rPr>
          <w:rFonts w:ascii="Verdana" w:hAnsi="Verdana" w:cs="Arial"/>
          <w:sz w:val="20"/>
          <w:szCs w:val="20"/>
          <w:lang w:eastAsia="zh-CN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e) NaHCO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gram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CH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COOH.</w:t>
      </w:r>
    </w:p>
    <w:p w14:paraId="5021FE9A" w14:textId="6497503E" w:rsidR="00D247E3" w:rsidRPr="007F2788" w:rsidRDefault="00D247E3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457E64F" w14:textId="77777777" w:rsidR="001A50C9" w:rsidRPr="007F2788" w:rsidRDefault="00D247E3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Em um laboratório químico, um estudante encontrou quatro frascos (1, 2, 3 e 4) contendo soluções aquosas incolores de sacarose, </w:t>
      </w:r>
      <w:proofErr w:type="spellStart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</w:t>
      </w:r>
      <w:proofErr w:type="spellStart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, não necessariamente nessa ordem. Para identificar essas soluções, fez alguns experimentos simples, cujos resultados são apresentados na tabela a seguir:</w:t>
      </w:r>
    </w:p>
    <w:p w14:paraId="3B2B0CB6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2"/>
      </w:tblGrid>
      <w:tr w:rsidR="001A50C9" w:rsidRPr="007F2788" w14:paraId="607A65FA" w14:textId="77777777" w:rsidTr="001A50C9">
        <w:tc>
          <w:tcPr>
            <w:tcW w:w="2121" w:type="dxa"/>
          </w:tcPr>
          <w:p w14:paraId="7D937BCE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Frasco</w:t>
            </w:r>
          </w:p>
        </w:tc>
        <w:tc>
          <w:tcPr>
            <w:tcW w:w="2121" w:type="dxa"/>
          </w:tcPr>
          <w:p w14:paraId="1E0177F0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Cor da solução após a adição de fenolftaleína</w:t>
            </w:r>
          </w:p>
        </w:tc>
        <w:tc>
          <w:tcPr>
            <w:tcW w:w="2121" w:type="dxa"/>
          </w:tcPr>
          <w:p w14:paraId="3962ED75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Condutibilidade elétrica</w:t>
            </w:r>
          </w:p>
        </w:tc>
        <w:tc>
          <w:tcPr>
            <w:tcW w:w="2122" w:type="dxa"/>
          </w:tcPr>
          <w:p w14:paraId="233C6EFB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 xml:space="preserve">Reação com </w:t>
            </w:r>
            <w:proofErr w:type="gramStart"/>
            <w:r w:rsidRPr="007F2788">
              <w:rPr>
                <w:rFonts w:ascii="Verdana" w:hAnsi="Verdana" w:cs="Arial"/>
                <w:sz w:val="20"/>
                <w:szCs w:val="20"/>
              </w:rPr>
              <w:t>Mg(</w:t>
            </w:r>
            <w:proofErr w:type="gramEnd"/>
            <w:r w:rsidRPr="007F2788">
              <w:rPr>
                <w:rFonts w:ascii="Verdana" w:hAnsi="Verdana" w:cs="Arial"/>
                <w:sz w:val="20"/>
                <w:szCs w:val="20"/>
              </w:rPr>
              <w:t>OH)</w:t>
            </w:r>
            <w:r w:rsidRPr="007F2788">
              <w:rPr>
                <w:rFonts w:ascii="Verdana" w:hAnsi="Verdana" w:cs="Arial"/>
                <w:sz w:val="20"/>
                <w:szCs w:val="20"/>
                <w:vertAlign w:val="subscript"/>
              </w:rPr>
              <w:t>2</w:t>
            </w:r>
          </w:p>
        </w:tc>
      </w:tr>
      <w:tr w:rsidR="001A50C9" w:rsidRPr="007F2788" w14:paraId="21507A19" w14:textId="77777777" w:rsidTr="001A50C9">
        <w:tc>
          <w:tcPr>
            <w:tcW w:w="2121" w:type="dxa"/>
          </w:tcPr>
          <w:p w14:paraId="52A71D02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2121" w:type="dxa"/>
          </w:tcPr>
          <w:p w14:paraId="7010B2DC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incolor</w:t>
            </w:r>
          </w:p>
        </w:tc>
        <w:tc>
          <w:tcPr>
            <w:tcW w:w="2121" w:type="dxa"/>
          </w:tcPr>
          <w:p w14:paraId="4BAA99A8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conduz</w:t>
            </w:r>
          </w:p>
        </w:tc>
        <w:tc>
          <w:tcPr>
            <w:tcW w:w="2122" w:type="dxa"/>
          </w:tcPr>
          <w:p w14:paraId="6AD5A60F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</w:tr>
      <w:tr w:rsidR="001A50C9" w:rsidRPr="007F2788" w14:paraId="487A14B6" w14:textId="77777777" w:rsidTr="001A50C9">
        <w:tc>
          <w:tcPr>
            <w:tcW w:w="2121" w:type="dxa"/>
          </w:tcPr>
          <w:p w14:paraId="2768D33F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2121" w:type="dxa"/>
          </w:tcPr>
          <w:p w14:paraId="7B7CDA45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rosa</w:t>
            </w:r>
          </w:p>
        </w:tc>
        <w:tc>
          <w:tcPr>
            <w:tcW w:w="2121" w:type="dxa"/>
          </w:tcPr>
          <w:p w14:paraId="7FCE86B8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 xml:space="preserve">conduz </w:t>
            </w:r>
          </w:p>
        </w:tc>
        <w:tc>
          <w:tcPr>
            <w:tcW w:w="2122" w:type="dxa"/>
          </w:tcPr>
          <w:p w14:paraId="31133236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</w:tr>
      <w:tr w:rsidR="001A50C9" w:rsidRPr="007F2788" w14:paraId="0D23C6BF" w14:textId="77777777" w:rsidTr="001A50C9">
        <w:tc>
          <w:tcPr>
            <w:tcW w:w="2121" w:type="dxa"/>
          </w:tcPr>
          <w:p w14:paraId="0E7974D2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2121" w:type="dxa"/>
          </w:tcPr>
          <w:p w14:paraId="64834293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incolor</w:t>
            </w:r>
          </w:p>
        </w:tc>
        <w:tc>
          <w:tcPr>
            <w:tcW w:w="2121" w:type="dxa"/>
          </w:tcPr>
          <w:p w14:paraId="1A9DFAA4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conduz</w:t>
            </w:r>
          </w:p>
        </w:tc>
        <w:tc>
          <w:tcPr>
            <w:tcW w:w="2122" w:type="dxa"/>
          </w:tcPr>
          <w:p w14:paraId="39A51502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</w:tr>
      <w:tr w:rsidR="001A50C9" w:rsidRPr="007F2788" w14:paraId="27335246" w14:textId="77777777" w:rsidTr="001A50C9">
        <w:trPr>
          <w:trHeight w:val="460"/>
        </w:trPr>
        <w:tc>
          <w:tcPr>
            <w:tcW w:w="2121" w:type="dxa"/>
          </w:tcPr>
          <w:p w14:paraId="308C38C5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2121" w:type="dxa"/>
          </w:tcPr>
          <w:p w14:paraId="0E6ABDED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incolor</w:t>
            </w:r>
          </w:p>
        </w:tc>
        <w:tc>
          <w:tcPr>
            <w:tcW w:w="2121" w:type="dxa"/>
          </w:tcPr>
          <w:p w14:paraId="3004F734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 conduz</w:t>
            </w:r>
          </w:p>
        </w:tc>
        <w:tc>
          <w:tcPr>
            <w:tcW w:w="2122" w:type="dxa"/>
          </w:tcPr>
          <w:p w14:paraId="498C5204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</w:tr>
    </w:tbl>
    <w:p w14:paraId="76E813B4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658BEEA" w14:textId="08C2AE1F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As soluções aquosas contidas nos frascos 1, 2, 3 e 4 são, respectivamente, de</w:t>
      </w:r>
    </w:p>
    <w:p w14:paraId="55A0F51E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sacarose.</w:t>
      </w:r>
    </w:p>
    <w:p w14:paraId="1AE85F23" w14:textId="77777777" w:rsidR="001A50C9" w:rsidRPr="00A93395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b) </w:t>
      </w:r>
      <w:proofErr w:type="spellStart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KCl</w:t>
      </w:r>
      <w:proofErr w:type="spellEnd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, </w:t>
      </w:r>
      <w:proofErr w:type="spellStart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NaOH</w:t>
      </w:r>
      <w:proofErr w:type="spellEnd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, </w:t>
      </w:r>
      <w:proofErr w:type="spellStart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HCl</w:t>
      </w:r>
      <w:proofErr w:type="spellEnd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e sacarose.</w:t>
      </w:r>
    </w:p>
    <w:p w14:paraId="5F967005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sacarose,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7B32184" w14:textId="7A6E7511" w:rsidR="006D2AA0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sacarose,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7A8E0AE7" w14:textId="77777777" w:rsidR="006D2AA0" w:rsidRPr="007F2788" w:rsidRDefault="006D2AA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924B639" w14:textId="71929993" w:rsidR="00925106" w:rsidRPr="007F2788" w:rsidRDefault="001A50C9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e)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sacarose 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201A92DE" w14:textId="77777777" w:rsidR="001A50C9" w:rsidRPr="007F2788" w:rsidRDefault="001A50C9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39C25D03" w14:textId="5E53F331" w:rsidR="00405BBA" w:rsidRPr="007F2788" w:rsidRDefault="00453582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</w:pPr>
      <w:r w:rsidRPr="007F2788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Os nomes dos ácidos oxigenados abaixo são, respectivamente: HNO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HClO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PO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4(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</w:p>
    <w:p w14:paraId="707706A4" w14:textId="77777777" w:rsidR="00405BBA" w:rsidRPr="00A93395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a) nitroso, clórico, sulfuroso, fosfórico.</w:t>
      </w:r>
    </w:p>
    <w:p w14:paraId="2146B784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b) nítrico, clorídrico, sulfúrico, fosfórico.</w:t>
      </w:r>
    </w:p>
    <w:p w14:paraId="30FB1932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nítrico, hipocloroso, sulfuroso, fosforoso.</w:t>
      </w:r>
    </w:p>
    <w:p w14:paraId="188EC476" w14:textId="2970CF94" w:rsidR="006D2AA0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d) nitroso, perclórico, sulfúrico, fosfórico.</w:t>
      </w:r>
    </w:p>
    <w:p w14:paraId="7C546700" w14:textId="40A59CF1" w:rsidR="00925106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e) nítrico, cloroso, sulfídrico,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hipofosforoso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cr/>
      </w:r>
    </w:p>
    <w:p w14:paraId="2C82AF74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7891494" w14:textId="2A7B7C15" w:rsidR="00405BBA" w:rsidRPr="007F2788" w:rsidRDefault="00214F0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4.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Alguns moluscos, para defender-se dos predadores, liberam um diácido, cuja fórmula é:</w:t>
      </w:r>
    </w:p>
    <w:p w14:paraId="00E72A0A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3F4484EB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b) K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O.</w:t>
      </w:r>
    </w:p>
    <w:p w14:paraId="42AC098F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Li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5CF77E40" w14:textId="77777777" w:rsidR="00405BBA" w:rsidRPr="00A93395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d) H</w:t>
      </w:r>
      <w:r w:rsidRPr="00A93395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SO</w:t>
      </w:r>
      <w:r w:rsidRPr="00A93395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4</w:t>
      </w: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</w:p>
    <w:p w14:paraId="1DB34C25" w14:textId="2CD964CD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e)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="00A93395">
        <w:rPr>
          <w:rFonts w:ascii="Verdana" w:eastAsia="Times New Roman" w:hAnsi="Verdana" w:cs="Arial"/>
          <w:sz w:val="20"/>
          <w:szCs w:val="20"/>
          <w:lang w:eastAsia="pt-BR"/>
        </w:rPr>
        <w:t>Cl</w:t>
      </w:r>
      <w:proofErr w:type="spellEnd"/>
      <w:r w:rsidR="00A93395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3C7FCBEA" w14:textId="027CFAB1" w:rsidR="00214F00" w:rsidRPr="007F2788" w:rsidRDefault="00214F00" w:rsidP="007F2788">
      <w:pPr>
        <w:pStyle w:val="SemEspaamento"/>
        <w:jc w:val="both"/>
        <w:rPr>
          <w:rFonts w:ascii="Verdana" w:hAnsi="Verdana" w:cs="Arial"/>
          <w:bCs/>
          <w:sz w:val="20"/>
          <w:szCs w:val="20"/>
        </w:rPr>
      </w:pPr>
    </w:p>
    <w:p w14:paraId="28B0A160" w14:textId="713572A1" w:rsidR="00405BBA" w:rsidRPr="007F2788" w:rsidRDefault="00214F0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O hidróxido de magnésio, </w:t>
      </w:r>
      <w:proofErr w:type="gramStart"/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que é um componente do “leite de magnésia”, é:</w:t>
      </w:r>
    </w:p>
    <w:p w14:paraId="1B2BB871" w14:textId="4C1588FF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a) um ácido de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Arrhen</w:t>
      </w:r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i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us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774F9559" w14:textId="77777777" w:rsidR="00405BBA" w:rsidRPr="00A93395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b) uma base de </w:t>
      </w:r>
      <w:proofErr w:type="spellStart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Arrhenius</w:t>
      </w:r>
      <w:proofErr w:type="spellEnd"/>
      <w:r w:rsidRPr="00A9339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</w:p>
    <w:p w14:paraId="4321706B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um sal.</w:t>
      </w:r>
    </w:p>
    <w:p w14:paraId="74E280B9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d) um óxido.</w:t>
      </w:r>
    </w:p>
    <w:p w14:paraId="307140D4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e) um hidreto.</w:t>
      </w:r>
    </w:p>
    <w:p w14:paraId="6C68D01F" w14:textId="03D0D62B" w:rsidR="00214F00" w:rsidRPr="007F2788" w:rsidRDefault="00214F00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54F0501" w14:textId="123E9D74" w:rsidR="00405BBA" w:rsidRPr="007F2788" w:rsidRDefault="00214F00" w:rsidP="009D73D4">
      <w:pPr>
        <w:shd w:val="clear" w:color="auto" w:fill="FFFFFF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7F2788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405BBA" w:rsidRPr="007F2788">
        <w:rPr>
          <w:rFonts w:ascii="Verdana" w:hAnsi="Verdana" w:cs="Arial"/>
          <w:bCs/>
          <w:color w:val="000000" w:themeColor="text1"/>
          <w:sz w:val="20"/>
          <w:szCs w:val="20"/>
        </w:rPr>
        <w:t xml:space="preserve">Observa-se que uma solução aquosa saturada de </w:t>
      </w:r>
      <w:proofErr w:type="spellStart"/>
      <w:r w:rsidR="00405BBA" w:rsidRPr="007F2788">
        <w:rPr>
          <w:rFonts w:ascii="Verdana" w:hAnsi="Verdana" w:cs="Arial"/>
          <w:bCs/>
          <w:color w:val="000000" w:themeColor="text1"/>
          <w:sz w:val="20"/>
          <w:szCs w:val="20"/>
        </w:rPr>
        <w:t>HCl</w:t>
      </w:r>
      <w:proofErr w:type="spellEnd"/>
      <w:r w:rsidR="00405BBA" w:rsidRPr="007F2788">
        <w:rPr>
          <w:rFonts w:ascii="Verdana" w:hAnsi="Verdana" w:cs="Arial"/>
          <w:bCs/>
          <w:color w:val="000000" w:themeColor="text1"/>
          <w:sz w:val="20"/>
          <w:szCs w:val="20"/>
        </w:rPr>
        <w:t xml:space="preserve"> libera uma substância gasosa. Uma estudante de química procurou representar, por meio de uma figura, os tipos de partículas que predominam nas fases aquosa e gasosa desse sistema – sem representar as partículas de água. A figura com a representação mais adequada seria</w:t>
      </w:r>
    </w:p>
    <w:p w14:paraId="637FB10E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4B8610B" w14:textId="77777777" w:rsidR="00405BBA" w:rsidRPr="00A93395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93395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656CA711" wp14:editId="145217B0">
            <wp:extent cx="1019175" cy="866478"/>
            <wp:effectExtent l="0" t="0" r="0" b="0"/>
            <wp:docPr id="650" name="Picture 650" descr="https://rachacuca.com.br/media/vestibular/anexo/47-solucao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https://rachacuca.com.br/media/vestibular/anexo/47-solucao-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33" cy="8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BF9C" w14:textId="77777777" w:rsidR="00405BBA" w:rsidRPr="00A93395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A168AA0" w14:textId="77777777" w:rsidR="00405BBA" w:rsidRPr="00A93395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93395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2C636C9E" wp14:editId="7D4AAD48">
            <wp:extent cx="1000125" cy="828226"/>
            <wp:effectExtent l="0" t="0" r="0" b="0"/>
            <wp:docPr id="651" name="Picture 651" descr="https://rachacuca.com.br/media/vestibular/anexo/47-solucao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https://rachacuca.com.br/media/vestibular/anexo/47-solucao-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64" cy="83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1CDA" w14:textId="77777777" w:rsidR="00405BBA" w:rsidRPr="00A93395" w:rsidRDefault="00405BBA" w:rsidP="007F2788">
      <w:pPr>
        <w:pStyle w:val="PargrafodaLista"/>
        <w:spacing w:after="0" w:line="240" w:lineRule="auto"/>
        <w:ind w:left="36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A4CB36E" w14:textId="77777777" w:rsidR="00405BBA" w:rsidRPr="00A93395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93395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34E692BA" wp14:editId="0C97AEE2">
            <wp:extent cx="1000125" cy="828040"/>
            <wp:effectExtent l="0" t="0" r="9525" b="0"/>
            <wp:docPr id="652" name="Picture 652" descr="https://rachacuca.com.br/media/vestibular/anexo/47-solucao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https://rachacuca.com.br/media/vestibular/anexo/47-solucao-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52" cy="8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73CE" w14:textId="77777777" w:rsidR="00405BBA" w:rsidRPr="00A93395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6436E70" w14:textId="77777777" w:rsidR="00405BBA" w:rsidRPr="00A93395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93395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321CC841" wp14:editId="153B2947">
            <wp:extent cx="963243" cy="847090"/>
            <wp:effectExtent l="0" t="0" r="8890" b="0"/>
            <wp:docPr id="653" name="Picture 653" descr="https://rachacuca.com.br/media/vestibular/anexo/47-solucao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https://rachacuca.com.br/media/vestibular/anexo/47-solucao-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48" cy="8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BF44" w14:textId="77777777" w:rsidR="00405BBA" w:rsidRPr="00A93395" w:rsidRDefault="00405BBA" w:rsidP="007F2788">
      <w:pPr>
        <w:pStyle w:val="PargrafodaLista"/>
        <w:spacing w:after="0" w:line="240" w:lineRule="auto"/>
        <w:ind w:left="36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5E661DB" w14:textId="52C77A32" w:rsidR="00405BBA" w:rsidRPr="00A93395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93395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19AB3D18" wp14:editId="59539350">
            <wp:extent cx="990600" cy="790262"/>
            <wp:effectExtent l="0" t="0" r="0" b="0"/>
            <wp:docPr id="654" name="Picture 654" descr="https://rachacuca.com.br/media/vestibular/anexo/47-solucao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https://rachacuca.com.br/media/vestibular/anexo/47-solucao-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26" cy="79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B684" w14:textId="67BFAAA9" w:rsidR="00405BBA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F5E3EEF" w14:textId="77777777" w:rsidR="00A93395" w:rsidRDefault="00A93395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F030B42" w14:textId="58B7D474" w:rsidR="00A93395" w:rsidRPr="00A93395" w:rsidRDefault="00A93395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93395">
        <w:rPr>
          <w:rFonts w:ascii="Verdana" w:hAnsi="Verdana" w:cs="Arial"/>
          <w:b/>
          <w:color w:val="000000" w:themeColor="text1"/>
          <w:sz w:val="20"/>
          <w:szCs w:val="20"/>
        </w:rPr>
        <w:t>R = C</w:t>
      </w:r>
    </w:p>
    <w:p w14:paraId="35776921" w14:textId="77777777" w:rsidR="00405BBA" w:rsidRPr="007F2788" w:rsidRDefault="00405BBA" w:rsidP="007F2788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0FE2" w14:textId="77777777" w:rsidR="0007356C" w:rsidRDefault="0007356C" w:rsidP="009851F2">
      <w:pPr>
        <w:spacing w:after="0" w:line="240" w:lineRule="auto"/>
      </w:pPr>
      <w:r>
        <w:separator/>
      </w:r>
    </w:p>
  </w:endnote>
  <w:endnote w:type="continuationSeparator" w:id="0">
    <w:p w14:paraId="4023E26C" w14:textId="77777777" w:rsidR="0007356C" w:rsidRDefault="0007356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2F3E" w14:textId="77777777" w:rsidR="0007356C" w:rsidRDefault="0007356C" w:rsidP="009851F2">
      <w:pPr>
        <w:spacing w:after="0" w:line="240" w:lineRule="auto"/>
      </w:pPr>
      <w:r>
        <w:separator/>
      </w:r>
    </w:p>
  </w:footnote>
  <w:footnote w:type="continuationSeparator" w:id="0">
    <w:p w14:paraId="6448EC1B" w14:textId="77777777" w:rsidR="0007356C" w:rsidRDefault="0007356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CF"/>
    <w:multiLevelType w:val="hybridMultilevel"/>
    <w:tmpl w:val="98D6C6F2"/>
    <w:lvl w:ilvl="0" w:tplc="DA7E90C2">
      <w:start w:val="1"/>
      <w:numFmt w:val="lowerLetter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533A"/>
    <w:multiLevelType w:val="hybridMultilevel"/>
    <w:tmpl w:val="407AE13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623FD"/>
    <w:multiLevelType w:val="hybridMultilevel"/>
    <w:tmpl w:val="1F0C866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A2BA9"/>
    <w:multiLevelType w:val="hybridMultilevel"/>
    <w:tmpl w:val="2DA6C66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B07F3A"/>
    <w:multiLevelType w:val="hybridMultilevel"/>
    <w:tmpl w:val="4FC24DE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4501670">
    <w:abstractNumId w:val="4"/>
  </w:num>
  <w:num w:numId="2" w16cid:durableId="1204101207">
    <w:abstractNumId w:val="2"/>
  </w:num>
  <w:num w:numId="3" w16cid:durableId="1867014166">
    <w:abstractNumId w:val="1"/>
  </w:num>
  <w:num w:numId="4" w16cid:durableId="1021005905">
    <w:abstractNumId w:val="0"/>
  </w:num>
  <w:num w:numId="5" w16cid:durableId="11771130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C7D"/>
    <w:rsid w:val="00052B81"/>
    <w:rsid w:val="0007356C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50C9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05BBA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D654F"/>
    <w:rsid w:val="005E5BEA"/>
    <w:rsid w:val="005F6252"/>
    <w:rsid w:val="00624538"/>
    <w:rsid w:val="006451D4"/>
    <w:rsid w:val="006835F4"/>
    <w:rsid w:val="006A1E35"/>
    <w:rsid w:val="006C72CA"/>
    <w:rsid w:val="006D2AA0"/>
    <w:rsid w:val="006E1771"/>
    <w:rsid w:val="006E26DF"/>
    <w:rsid w:val="006F20AA"/>
    <w:rsid w:val="006F5A84"/>
    <w:rsid w:val="0072546B"/>
    <w:rsid w:val="007300A8"/>
    <w:rsid w:val="00735AE3"/>
    <w:rsid w:val="0073776A"/>
    <w:rsid w:val="00755526"/>
    <w:rsid w:val="007571C0"/>
    <w:rsid w:val="007D07B0"/>
    <w:rsid w:val="007E3B2B"/>
    <w:rsid w:val="007F2788"/>
    <w:rsid w:val="007F6974"/>
    <w:rsid w:val="008005D5"/>
    <w:rsid w:val="00824D86"/>
    <w:rsid w:val="00831ABC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5106"/>
    <w:rsid w:val="009521D6"/>
    <w:rsid w:val="00965A01"/>
    <w:rsid w:val="0098193B"/>
    <w:rsid w:val="009851F2"/>
    <w:rsid w:val="009A26A2"/>
    <w:rsid w:val="009A7F64"/>
    <w:rsid w:val="009C3431"/>
    <w:rsid w:val="009D122B"/>
    <w:rsid w:val="009D73D4"/>
    <w:rsid w:val="00A13C93"/>
    <w:rsid w:val="00A60A0D"/>
    <w:rsid w:val="00A76795"/>
    <w:rsid w:val="00A84FD5"/>
    <w:rsid w:val="00A9339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15</cp:revision>
  <cp:lastPrinted>2018-08-06T13:00:00Z</cp:lastPrinted>
  <dcterms:created xsi:type="dcterms:W3CDTF">2021-02-25T16:08:00Z</dcterms:created>
  <dcterms:modified xsi:type="dcterms:W3CDTF">2022-08-11T18:13:00Z</dcterms:modified>
</cp:coreProperties>
</file>