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01 – (UERJ)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ANO INTERNACIONAL DA TABELA PERIÓDICA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Há 150 anos, a primeira versão da tabela periódica foi elaborada pelo cientista Dimitri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Mendeleiev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 Trata-se de uma das conquistas de maior influência na ciência moderna, que reflete a essência não apenas da química, mas também da física, da biologia e de outras áreas das ciências puras. Como reconhecimento de sua importância, a UNESCO/ONU proclamou 2019 o Ano Internacional da Tabela Periódica.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Na tabela proposta por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Mendeleiev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em 1869, constavam os 64 elementos químicos conhecidos até então, além de espaços vazios para outros que ainda poderiam ser descobertos. Para esses possíveis novos elementos, ele empregou o prefixo “eca”, que significa “posição imediatamente posterior”. Por exemplo, o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ecassilício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seria o elemento químico a ocupar a primeira posição em sequência ao silício no seu grupo da tabela periódica.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homenagem ao trabalho desenvolvido pelo grande cientista, o elemento químico artificial de número atômico 101 foi denominado mendelévio.</w:t>
      </w:r>
    </w:p>
    <w:p w:rsid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Atualmente, o símbolo do elemento correspondente ao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ecassilício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é: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a)     Al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b)     C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val="es-ES" w:eastAsia="pt-BR"/>
        </w:rPr>
        <w:t>c)     Ge</w:t>
      </w:r>
    </w:p>
    <w:p w:rsid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d)     P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e)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 xml:space="preserve"> 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    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Na</w:t>
      </w:r>
      <w:proofErr w:type="spellEnd"/>
    </w:p>
    <w:p w:rsidR="00C63EE9" w:rsidRDefault="00C63EE9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02 – (UNIRG TO)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2019 foi escolhido para ser o Ano Internacional da Tabela Periódica, em razão dos 150 anos da sua publicação por Ivanovich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Mendellev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 Ao longo desses anos, ela passou por algumas alterações, sendo a mais importante delas, em relação à disposição dos elementos químicos, a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a)     inclusão do número de nêutrons na tabela em decorrência da descoberta dessas partículas por James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Chadwik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em 1932.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configuração da série dos actinídeos, em que está o Urânio, resultado das pesquisas de Marie Curie com materiais radioativos.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adequação dos dados da tabela à Constante de Avogadro, que permite o cálculo do número de Mol para cada elemento químico.</w:t>
      </w:r>
    </w:p>
    <w:p w:rsid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d)     mudança na ordenação dos elementos químicos para a ordem crescente de números atômicos, proposta por Henry </w:t>
      </w:r>
      <w:proofErr w:type="spellStart"/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Moseley</w:t>
      </w:r>
      <w:proofErr w:type="spellEnd"/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:rsidR="00563C05" w:rsidRPr="00FC3E48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bookmarkStart w:id="0" w:name="_GoBack"/>
      <w:bookmarkEnd w:id="0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mudança para divisão entre metais e ametais foi o principal critério escolhido por Henry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Moseley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FC3E48" w:rsidRDefault="00FC3E48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03 – (UNIRG TO)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Uma pesquisa realizada na Universidade Federal de Goiás encontrou um novo composto químico que aumenta de 20% para 75,4% a eficiência de telas de equipamentos eletrônicos. Esse composto pode substituir o irídio, metal raro cuja distribuição eletrônica tem como subnível mais energético o 5d</w:t>
      </w:r>
      <w:r w:rsidRPr="00FC3E48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7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e é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integrante da série dos lantanídeos.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representante da família dos metais alcalinos.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elemento químico de transição externa.</w:t>
      </w:r>
    </w:p>
    <w:p w:rsid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componente da vulcanização da borracha.</w:t>
      </w:r>
    </w:p>
    <w:p w:rsidR="00563C05" w:rsidRPr="00FC3E48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 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elemento químico da família dos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calcogênios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FC3E48" w:rsidRDefault="00FC3E48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04 – (FCM PB)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Tabela Periódica mais completa foi elaborada pelo químico russo Dmitri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Mendeleiev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(1834-1907), no ano de 1869. A Tabela Periódica como a conhecemos atualmente foi organizada por Henry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Moseley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, em 1913. Em dezembro de 2017 a Organização das Nações Unidas declarou o ano de 2019 como o Ano Internacional da Tabela Periódica, em 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reconhecimento da importância da crescente constatação global de como a química promove o desenvolvimento sustentável, e fornece soluções para os desafios globais nos campos da energia, educação, agricultura e saúde. Dada sua importância perguntasse, o grupo da Tabela Periódica que se caracteriza por apresentar predominância de elementos artificiais é o dos: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metais de transição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gases nobres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c)      </w:t>
      </w:r>
      <w:proofErr w:type="spellStart"/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actinídios</w:t>
      </w:r>
      <w:proofErr w:type="spellEnd"/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d)     metais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alcalinoterrosos</w:t>
      </w:r>
      <w:proofErr w:type="spellEnd"/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lantanídios</w:t>
      </w:r>
    </w:p>
    <w:p w:rsidR="00FC3E48" w:rsidRDefault="00FC3E48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05 – (MACKENZIE)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Uma das contribuições mais relevantes para a organização dos elementos químicos foi realizada pelo russo Dmitri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em 1869. Ele foi o primeiro a reconhecer que a relação dos elementos químicos, conhecidos até então, estava incompleta e que novos elementos seriam descobertos futuramente. Assim,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deixou lacunas na sua tabela, que seriam preenchidas posteriormente, mas o mais surpreendente foi que ele previu com precisão as propriedades dos elementos que faltavam. Posteriormente, o modelo da tabela periódica de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foi aprimorado pelo britânico Henry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Moseley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Neste ano, celebram-se 150 anos da organização da tabela periódica, realizada por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e, de acordo com os seus conhecimentos a respeito da 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pt-BR"/>
        </w:rPr>
        <w:t>tabela periódica atual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pode-se afirmar que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os elementos químicos estão organizados em ordem crescente de massa atômica.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as colunas da tabela são denominadas períodos e as linhas, grupos ou famílias.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os elementos químicos mais eletronegativos estão localizados na parte inferior esquerda da tabela.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os elementos químicos de um mesmo grupo possuem o mesmo número de elétrons na camada de valência.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os elementos químicos pertencentes a um mesmo período possuem propriedades químicas semelhantes.</w:t>
      </w:r>
    </w:p>
    <w:p w:rsidR="00FC3E48" w:rsidRDefault="00FC3E48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06 – (UECE)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15ª edição da Escola de Verão de Química da UECE (16-20/09/2019) teve como tema central “150 anos da Tabela Periódica dos Elementos Químicos”. O modelo atual é uma contribuição de vários pesquisadores, entre os quais se destaca Dmitri Ivanovich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(1834-1907). Sobre o trabalho brilhante de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assinale a afirmação verdadeira.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Deixou lacunas na tabela que seriam preenchidas posteriormente pelos gases nobres.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Descobriu vários elementos novos, entre eles, o germânio, o frâncio e o escândio.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Estabeleceu a primeira lei periódica conhecida como lei das oitavas baseada na escala musical.</w:t>
      </w:r>
    </w:p>
    <w:p w:rsid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Priorizou, no alinhamento dos elementos, as propriedades químicas em detrimento da ordem de massas atômicas.</w:t>
      </w:r>
    </w:p>
    <w:p w:rsidR="00563C05" w:rsidRPr="00FC3E48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Dividiu os átomos entre metais e ametais.</w:t>
      </w:r>
    </w:p>
    <w:p w:rsidR="00FC3E48" w:rsidRDefault="00FC3E48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07 – (Faculdade de Direito de São Bernardo do Campo – SP)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Leia o trecho a seguir: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"O mercúrio também apareceu nas minhas aulas de ciência. Quando fui apresentado à confusão da tabela periódica, eu procurei por ele, mas não consegui encontrá-lo. Ele está lá – entre o ouro, que também é denso e mole, e o tálio, que também é venenoso."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right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Fonte: Sam </w:t>
      </w:r>
      <w:proofErr w:type="spellStart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Kean</w:t>
      </w:r>
      <w:proofErr w:type="spellEnd"/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 A colher que desaparece: E outras histórias reais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br/>
        <w:t>de loucura, amor e morte a partir de elementos químicos.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br/>
        <w:t>Rio de Janeiro: Zahar, 2011.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O trecho acima menciona três elementos químicos. Sobre esses elementos podemos afirmar que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possuem número de camadas diferentes.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possuem o elétron mais energético no mesmo subnível.</w:t>
      </w:r>
    </w:p>
    <w:p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são elementos de transição.</w:t>
      </w:r>
    </w:p>
    <w:p w:rsid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d)     o </w:t>
      </w:r>
      <w:proofErr w:type="spellStart"/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Tl</w:t>
      </w:r>
      <w:proofErr w:type="spellEnd"/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 é um elemento representativo.</w:t>
      </w:r>
    </w:p>
    <w:p w:rsidR="00563C05" w:rsidRPr="00FC3E48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 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símbolo do elemento mercúrio é Me.</w:t>
      </w:r>
    </w:p>
    <w:p w:rsidR="00FC3E48" w:rsidRDefault="00FC3E48" w:rsidP="000503ED">
      <w:pPr>
        <w:shd w:val="clear" w:color="auto" w:fill="FFFFFF" w:themeFill="background1"/>
        <w:spacing w:after="0" w:line="240" w:lineRule="auto"/>
      </w:pPr>
    </w:p>
    <w:p w:rsidR="00FC3E48" w:rsidRDefault="00FC3E48" w:rsidP="000503ED">
      <w:pPr>
        <w:shd w:val="clear" w:color="auto" w:fill="FFFFFF" w:themeFill="background1"/>
        <w:spacing w:after="0" w:line="240" w:lineRule="auto"/>
      </w:pPr>
      <w:r>
        <w:t>08 – (</w:t>
      </w:r>
      <w:r w:rsidR="000503ED">
        <w:t>IFMT</w:t>
      </w:r>
      <w:r>
        <w:t>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Os filmes de super-heróis dos quadrinhos se tornaram um fenômeno do cinema nos últimos anos. Um exemplo é o Homem de Ferro, personagem fictício dos quadrinhos publicados pela Marvel Comics. Sua identidade verdadeira é a do empresário e bilionário Tony Stark, que usa armaduras de alta tecnologia no combate ao crime.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Seu traje é feito de titânio (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Ti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48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), reforçado com fibra de carbono e revestimento cerâmico (usado em coletes à prova de balas e blindagem de carros). Já o capacete é hermeticamente selado, não permitindo, por isso, contaminação por fumaça ou venenos. A viseira é retrátil e um processador ligado à cabeça capta os sinais do cérebro, interpreta as ordens e as repassa para o traje. Instalado no peito do herói, um reator realiza a fusão fria do elemento paládio (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Pd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106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para gerar a energia que alimenta as partes-chaves do traje. Além disso, ele também é capaz de disparar raios de energia.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43827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right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(Fonte: https://www.pinterest.pt/jucianim/desenho/?lp=true Acesso em jan. 2018.)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relação aos elementos químicos constituintes do traje do Homem de Ferro,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 titânio é considerado um metal de transição da classe dos actinídeos.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 distribuição eletrônica dos elétrons do elemento titânio é feita fundamentalmente em três camadas eletrônicas.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o elemento paládio é um não metal da família 15, ou seja, da família do nitrogênio.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no núcleo dos átomos do elemento paládio, encontram-se 46 prótons.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o número atômico do elemento titânio é 48.</w:t>
      </w:r>
    </w:p>
    <w:p w:rsidR="000503ED" w:rsidRDefault="000503ED" w:rsidP="000503ED">
      <w:pPr>
        <w:shd w:val="clear" w:color="auto" w:fill="FFFFFF" w:themeFill="background1"/>
        <w:spacing w:after="0" w:line="240" w:lineRule="auto"/>
      </w:pPr>
    </w:p>
    <w:p w:rsidR="000503ED" w:rsidRDefault="000503ED" w:rsidP="000503ED">
      <w:pPr>
        <w:shd w:val="clear" w:color="auto" w:fill="FFFFFF" w:themeFill="background1"/>
        <w:spacing w:after="0" w:line="240" w:lineRule="auto"/>
      </w:pPr>
      <w:r>
        <w:t>09 – (UECE)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Atente para o seguinte enunciado: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“[…] há no átomo uma quantidade fundamental que aumenta em passos regulares conforme passamos de um elemento ao seguinte. Essa quantidade só pode ser a carga do núcleo central positivo, de cuja existência já temos a prova definitiva”.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Essa descoberta, que permitiu definir o número atômico criando uma nova lei de recorrência para a tabela periódica, é atribuída a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a)     Ernest Rutherford.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b)     Niels Bohr.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c)      Henry </w:t>
      </w:r>
      <w:proofErr w:type="spellStart"/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Moseley</w:t>
      </w:r>
      <w:proofErr w:type="spellEnd"/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:rsid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d)     Dmitri </w:t>
      </w:r>
      <w:proofErr w:type="spellStart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Mendeleiev</w:t>
      </w:r>
      <w:proofErr w:type="spellEnd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563C05" w:rsidRPr="000503ED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Antoine Lavoisier.</w:t>
      </w:r>
    </w:p>
    <w:p w:rsidR="000503ED" w:rsidRDefault="000503ED" w:rsidP="000503ED">
      <w:pPr>
        <w:shd w:val="clear" w:color="auto" w:fill="FFFFFF" w:themeFill="background1"/>
        <w:spacing w:after="0" w:line="240" w:lineRule="auto"/>
      </w:pPr>
    </w:p>
    <w:p w:rsidR="000503ED" w:rsidRDefault="000503ED" w:rsidP="000503ED">
      <w:pPr>
        <w:shd w:val="clear" w:color="auto" w:fill="FFFFFF" w:themeFill="background1"/>
        <w:spacing w:after="0" w:line="240" w:lineRule="auto"/>
      </w:pPr>
      <w:r>
        <w:t>10 – (UNCISAL)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 xml:space="preserve">Dmitry </w:t>
      </w:r>
      <w:proofErr w:type="spellStart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nascido na Rússia, formulou uma lei que ele denominou, em 1871, como periódica: quando dispostos de acordo com o valor de seus pesos atômicos, os elementos apresentam uma clara periodicidade de propriedades.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tabela elaborada por </w:t>
      </w:r>
      <w:proofErr w:type="spellStart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Mendeleev</w:t>
      </w:r>
      <w:proofErr w:type="spellEnd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em consonância com a lei periódica por ele formulada, organizava os elementos em função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dos raios atômicos.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dos pesos atômicos.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da eletronegatividade.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da distribuição eletrônica.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da distribuição dos prótons no núcleo.</w:t>
      </w:r>
    </w:p>
    <w:p w:rsidR="000503ED" w:rsidRDefault="000503ED" w:rsidP="000503ED">
      <w:pPr>
        <w:shd w:val="clear" w:color="auto" w:fill="FFFFFF" w:themeFill="background1"/>
        <w:spacing w:after="0" w:line="240" w:lineRule="auto"/>
      </w:pPr>
    </w:p>
    <w:p w:rsidR="000503ED" w:rsidRDefault="000503ED" w:rsidP="000503ED">
      <w:pPr>
        <w:shd w:val="clear" w:color="auto" w:fill="FFFFFF" w:themeFill="background1"/>
        <w:spacing w:after="0" w:line="240" w:lineRule="auto"/>
      </w:pPr>
      <w:r>
        <w:t>11 – (UNIRG TO)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Com base no esboço da Tabela Periódica a seguir, em que as letras do alfabeto, A, B, C, D, E, F, G e H representam elementos químicos, mas não correspondem a seus símbolos, assinale a única alternativa correta: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704975" cy="714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a)     B e </w:t>
      </w:r>
      <w:proofErr w:type="spellStart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proofErr w:type="spellEnd"/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apresentam o mesmo número de elétrons na camada de valência;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A, F, G, H apresentam apenas duas camadas eletrônicas;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C é o elemento de menor densidade apresentado na tabela;</w:t>
      </w:r>
    </w:p>
    <w:p w:rsid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O elétron de diferenciação de G está em 2p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563C05" w:rsidRPr="000503ED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 é um halogênio.</w:t>
      </w:r>
    </w:p>
    <w:p w:rsidR="000503ED" w:rsidRDefault="000503ED" w:rsidP="000503ED">
      <w:pPr>
        <w:shd w:val="clear" w:color="auto" w:fill="FFFFFF" w:themeFill="background1"/>
        <w:spacing w:after="0" w:line="240" w:lineRule="auto"/>
      </w:pPr>
    </w:p>
    <w:p w:rsidR="000503ED" w:rsidRDefault="000503ED" w:rsidP="000503ED">
      <w:pPr>
        <w:shd w:val="clear" w:color="auto" w:fill="FFFFFF" w:themeFill="background1"/>
        <w:spacing w:after="0" w:line="240" w:lineRule="auto"/>
      </w:pPr>
      <w:r>
        <w:t>12 – (UNIRV GO)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 acordo com as informações da classificação periódica dos elementos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ssinale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alternativa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correta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 cloro é um ametal com baixa energia de ionização.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O potássio é um metal com alta eletronegatividade.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A distribuição eletrônica do elemento enxofre é 1s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2s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2p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3s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3p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4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:rsid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O argônio é um gás nobre de configuração eletrônica: 1s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2p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3s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3p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4s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0503ED" w:rsidRDefault="00563C05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O </w:t>
      </w:r>
      <w:r w:rsid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Berílio é um gás nobre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1s</w:t>
      </w:r>
      <w:r w:rsidR="000503ED"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2s</w:t>
      </w:r>
      <w:r w:rsidR="000503ED"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0503ED" w:rsidRDefault="000503ED" w:rsidP="000503ED">
      <w:pPr>
        <w:shd w:val="clear" w:color="auto" w:fill="FFFFFF" w:themeFill="background1"/>
        <w:spacing w:after="0" w:line="240" w:lineRule="auto"/>
      </w:pPr>
    </w:p>
    <w:p w:rsidR="000503ED" w:rsidRDefault="000503ED" w:rsidP="000503ED">
      <w:pPr>
        <w:shd w:val="clear" w:color="auto" w:fill="FFFFFF" w:themeFill="background1"/>
        <w:spacing w:after="0" w:line="240" w:lineRule="auto"/>
      </w:pPr>
      <w:r>
        <w:t>13 – (FGV SP)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 aluno de química analisou o rótulo de um produto empregado na agricultura para estimular a produção de frutos e descreveu seus constituintes com base na classificação periódica, conforme apresentado a seguir: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elemento do grupo 15, pertencente ao 3º período;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elemento do quarto período que apresenta o menor valor de energia de ionização;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   elemento do segundo período que apresenta 3 elétrons na camada de valência.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Os nomes dos elementos descritos em I, II e III são, correta e respectivamente: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nitrogênio, cloro e boro.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nitrogênio, cloro e alumínio.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nitrogênio, potássio e alumínio.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fósforo, potássio e alumínio.</w:t>
      </w:r>
    </w:p>
    <w:p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fósforo, potássio e boro.</w:t>
      </w:r>
    </w:p>
    <w:p w:rsidR="000503ED" w:rsidRDefault="000503ED" w:rsidP="000503ED">
      <w:pPr>
        <w:shd w:val="clear" w:color="auto" w:fill="FFFFFF" w:themeFill="background1"/>
        <w:spacing w:after="0" w:line="240" w:lineRule="auto"/>
      </w:pPr>
    </w:p>
    <w:sectPr w:rsidR="00050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8"/>
    <w:rsid w:val="000503ED"/>
    <w:rsid w:val="00563C05"/>
    <w:rsid w:val="00C63EE9"/>
    <w:rsid w:val="00F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E03A"/>
  <w15:chartTrackingRefBased/>
  <w15:docId w15:val="{23A4D2B7-AE0F-4E45-988E-65464E14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1652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2021-04-12T17:58:00Z</dcterms:created>
  <dcterms:modified xsi:type="dcterms:W3CDTF">2021-04-12T18:26:00Z</dcterms:modified>
</cp:coreProperties>
</file>