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7C40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C16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672375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AC16B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MAT.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F175C" w:rsidRDefault="00D62933" w:rsidP="00DF175C">
      <w:pPr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03F1891E" w14:textId="1B16EF85" w:rsidR="004271D0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1.</w:t>
      </w:r>
      <w:r w:rsidR="004271D0" w:rsidRPr="00DF175C">
        <w:rPr>
          <w:rFonts w:ascii="Verdana" w:hAnsi="Verdana"/>
          <w:sz w:val="24"/>
          <w:szCs w:val="24"/>
        </w:rPr>
        <w:t xml:space="preserve"> (IFES 2013)</w:t>
      </w:r>
      <w:r w:rsidRPr="00DF175C">
        <w:rPr>
          <w:rFonts w:ascii="Verdana" w:hAnsi="Verdana"/>
          <w:sz w:val="24"/>
          <w:szCs w:val="24"/>
        </w:rPr>
        <w:t xml:space="preserve"> </w:t>
      </w:r>
      <w:r w:rsidRPr="00DF175C">
        <w:rPr>
          <w:rFonts w:ascii="Verdana" w:hAnsi="Verdana"/>
          <w:sz w:val="24"/>
          <w:szCs w:val="24"/>
        </w:rPr>
        <w:t xml:space="preserve">A propósito da estética da arte Afro-brasileira e de suas relações com os elementos religiosos da África e do Brasil, assinale a opção INCORRETA. </w:t>
      </w:r>
    </w:p>
    <w:p w14:paraId="59EF7158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1FE3574C" w14:textId="548C406D" w:rsidR="004271D0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a</w:t>
      </w:r>
      <w:r w:rsidR="004271D0" w:rsidRPr="00DF175C">
        <w:rPr>
          <w:rFonts w:ascii="Verdana" w:hAnsi="Verdana"/>
          <w:sz w:val="24"/>
          <w:szCs w:val="24"/>
        </w:rPr>
        <w:t>.</w:t>
      </w:r>
      <w:r w:rsidRPr="00DF175C">
        <w:rPr>
          <w:rFonts w:ascii="Verdana" w:hAnsi="Verdana"/>
          <w:sz w:val="24"/>
          <w:szCs w:val="24"/>
        </w:rPr>
        <w:t xml:space="preserve"> As formas, os elementos e os modos de significação das peças artísticas são variados, complexos, correspondendo à rica mitologia dessas religiões. </w:t>
      </w:r>
    </w:p>
    <w:p w14:paraId="7F13DBC7" w14:textId="79B36EF7" w:rsidR="004271D0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b</w:t>
      </w:r>
      <w:r w:rsidR="004271D0" w:rsidRPr="00DF175C">
        <w:rPr>
          <w:rFonts w:ascii="Verdana" w:hAnsi="Verdana"/>
          <w:sz w:val="24"/>
          <w:szCs w:val="24"/>
        </w:rPr>
        <w:t>.</w:t>
      </w:r>
      <w:r w:rsidRPr="00DF175C">
        <w:rPr>
          <w:rFonts w:ascii="Verdana" w:hAnsi="Verdana"/>
          <w:sz w:val="24"/>
          <w:szCs w:val="24"/>
        </w:rPr>
        <w:t xml:space="preserve"> Na representação dos orixás, </w:t>
      </w:r>
      <w:proofErr w:type="spellStart"/>
      <w:r w:rsidRPr="00DF175C">
        <w:rPr>
          <w:rFonts w:ascii="Verdana" w:hAnsi="Verdana"/>
          <w:sz w:val="24"/>
          <w:szCs w:val="24"/>
        </w:rPr>
        <w:t>voduns</w:t>
      </w:r>
      <w:proofErr w:type="spellEnd"/>
      <w:r w:rsidRPr="00DF175C">
        <w:rPr>
          <w:rFonts w:ascii="Verdana" w:hAnsi="Verdana"/>
          <w:sz w:val="24"/>
          <w:szCs w:val="24"/>
        </w:rPr>
        <w:t xml:space="preserve">, </w:t>
      </w:r>
      <w:proofErr w:type="spellStart"/>
      <w:r w:rsidRPr="00DF175C">
        <w:rPr>
          <w:rFonts w:ascii="Verdana" w:hAnsi="Verdana"/>
          <w:sz w:val="24"/>
          <w:szCs w:val="24"/>
        </w:rPr>
        <w:t>enquices</w:t>
      </w:r>
      <w:proofErr w:type="spellEnd"/>
      <w:r w:rsidRPr="00DF175C">
        <w:rPr>
          <w:rFonts w:ascii="Verdana" w:hAnsi="Verdana"/>
          <w:sz w:val="24"/>
          <w:szCs w:val="24"/>
        </w:rPr>
        <w:t xml:space="preserve"> e encantados, os artistas se valem de signos tanto naturalistas quanto simbólicos. </w:t>
      </w:r>
    </w:p>
    <w:p w14:paraId="285C9FAE" w14:textId="7F6C886F" w:rsidR="004271D0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c</w:t>
      </w:r>
      <w:r w:rsidR="004271D0" w:rsidRPr="00DF175C">
        <w:rPr>
          <w:rFonts w:ascii="Verdana" w:hAnsi="Verdana"/>
          <w:sz w:val="24"/>
          <w:szCs w:val="24"/>
        </w:rPr>
        <w:t>.</w:t>
      </w:r>
      <w:r w:rsidRPr="00DF175C">
        <w:rPr>
          <w:rFonts w:ascii="Verdana" w:hAnsi="Verdana"/>
          <w:sz w:val="24"/>
          <w:szCs w:val="24"/>
        </w:rPr>
        <w:t xml:space="preserve"> Na conexão da afro-brasilidade com a arte cristã, um dos primeiros elementos significativos que surgiram foi a representação de figuras religiosas com traços negroides. </w:t>
      </w:r>
    </w:p>
    <w:p w14:paraId="6F77772E" w14:textId="7FEBAAA6" w:rsidR="004271D0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d</w:t>
      </w:r>
      <w:r w:rsidR="004271D0" w:rsidRPr="00DF175C">
        <w:rPr>
          <w:rFonts w:ascii="Verdana" w:hAnsi="Verdana"/>
          <w:sz w:val="24"/>
          <w:szCs w:val="24"/>
        </w:rPr>
        <w:t>.</w:t>
      </w:r>
      <w:r w:rsidRPr="00DF175C">
        <w:rPr>
          <w:rFonts w:ascii="Verdana" w:hAnsi="Verdana"/>
          <w:sz w:val="24"/>
          <w:szCs w:val="24"/>
        </w:rPr>
        <w:t xml:space="preserve"> Durante a vigência da escravidão, as práticas religiosas foram cerceadas pelo catolicismo, o que restringiu a difusão de seu imaginário e sua produção artística. </w:t>
      </w:r>
    </w:p>
    <w:p w14:paraId="16BD2585" w14:textId="58236FB1" w:rsidR="00D62933" w:rsidRPr="00DF175C" w:rsidRDefault="00AC16B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>e</w:t>
      </w:r>
      <w:r w:rsidR="004271D0" w:rsidRPr="00DF175C">
        <w:rPr>
          <w:rFonts w:ascii="Verdana" w:hAnsi="Verdana"/>
          <w:b/>
          <w:bCs/>
          <w:sz w:val="24"/>
          <w:szCs w:val="24"/>
        </w:rPr>
        <w:t>.</w:t>
      </w:r>
      <w:r w:rsidRPr="00DF175C">
        <w:rPr>
          <w:rFonts w:ascii="Verdana" w:hAnsi="Verdana"/>
          <w:b/>
          <w:bCs/>
          <w:sz w:val="24"/>
          <w:szCs w:val="24"/>
        </w:rPr>
        <w:t xml:space="preserve"> O sincretismo religioso - o culto a divindades africanas personificadas com nomes e imagens católicos - foi motivado pela necessidade de expansão e popularização das religiões afro-brasileiras.</w:t>
      </w:r>
    </w:p>
    <w:p w14:paraId="6A510C91" w14:textId="425BF935" w:rsidR="004271D0" w:rsidRPr="00DF175C" w:rsidRDefault="004271D0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b/>
          <w:bCs/>
          <w:sz w:val="24"/>
          <w:szCs w:val="24"/>
        </w:rPr>
      </w:pPr>
    </w:p>
    <w:p w14:paraId="5D743A9F" w14:textId="64690193" w:rsidR="004271D0" w:rsidRPr="00DF175C" w:rsidRDefault="004271D0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2.</w:t>
      </w:r>
      <w:r w:rsidR="0056532E" w:rsidRPr="00DF175C">
        <w:rPr>
          <w:rFonts w:ascii="Verdana" w:hAnsi="Verdana"/>
          <w:sz w:val="24"/>
          <w:szCs w:val="24"/>
        </w:rPr>
        <w:t xml:space="preserve"> O continente africano é extenso e composto por vários países. Muitos conflitos geraram diversos povos escravizados, porém os escravos que vieram ao Brasil são oriundos de:</w:t>
      </w:r>
    </w:p>
    <w:p w14:paraId="57B56177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5AAD8E2C" w14:textId="5FC1A669" w:rsidR="00AC16BC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a. Egito, África do Sul e Marrocos.</w:t>
      </w:r>
    </w:p>
    <w:p w14:paraId="6F0DE88B" w14:textId="3D3CA553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b. Moçambique, Egito e Angola.</w:t>
      </w:r>
    </w:p>
    <w:p w14:paraId="71551E7A" w14:textId="18475E1A" w:rsidR="00D62933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>c. Moçambique, Angola e Congo.</w:t>
      </w:r>
    </w:p>
    <w:p w14:paraId="1F9832EF" w14:textId="1A0E1BF7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d. Gana, Nigéria e Senegal.</w:t>
      </w:r>
    </w:p>
    <w:p w14:paraId="697F333E" w14:textId="23DD25EE" w:rsidR="00D62933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e. Angola, Senegal e Gana.</w:t>
      </w:r>
    </w:p>
    <w:p w14:paraId="34CAF919" w14:textId="66A88E03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lastRenderedPageBreak/>
        <w:t>3</w:t>
      </w:r>
      <w:r w:rsidRPr="00DF175C">
        <w:rPr>
          <w:rFonts w:ascii="Verdana" w:hAnsi="Verdana"/>
          <w:sz w:val="24"/>
          <w:szCs w:val="24"/>
        </w:rPr>
        <w:t xml:space="preserve">. </w:t>
      </w:r>
      <w:r w:rsidRPr="00DF175C">
        <w:rPr>
          <w:rFonts w:ascii="Verdana" w:hAnsi="Verdana"/>
          <w:sz w:val="24"/>
          <w:szCs w:val="24"/>
        </w:rPr>
        <w:t>É possível reconhecer o sincretismo religioso em qual religião afro-brasileira?</w:t>
      </w:r>
    </w:p>
    <w:p w14:paraId="69C2FF88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78D2013C" w14:textId="3C0D1086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a. </w:t>
      </w:r>
      <w:r w:rsidRPr="00DF175C">
        <w:rPr>
          <w:rFonts w:ascii="Verdana" w:hAnsi="Verdana"/>
          <w:sz w:val="24"/>
          <w:szCs w:val="24"/>
        </w:rPr>
        <w:t>Hinduísmo.</w:t>
      </w:r>
    </w:p>
    <w:p w14:paraId="2B864C2A" w14:textId="763B7F39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 xml:space="preserve">b. </w:t>
      </w:r>
      <w:r w:rsidRPr="00DF175C">
        <w:rPr>
          <w:rFonts w:ascii="Verdana" w:hAnsi="Verdana"/>
          <w:b/>
          <w:bCs/>
          <w:sz w:val="24"/>
          <w:szCs w:val="24"/>
        </w:rPr>
        <w:t>Umbanda.</w:t>
      </w:r>
    </w:p>
    <w:p w14:paraId="5A24BA5A" w14:textId="7EA98E08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c. </w:t>
      </w:r>
      <w:r w:rsidRPr="00DF175C">
        <w:rPr>
          <w:rFonts w:ascii="Verdana" w:hAnsi="Verdana"/>
          <w:sz w:val="24"/>
          <w:szCs w:val="24"/>
        </w:rPr>
        <w:t>Messiânica.</w:t>
      </w:r>
    </w:p>
    <w:p w14:paraId="4E0DF965" w14:textId="38ED08B1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d. </w:t>
      </w:r>
      <w:r w:rsidRPr="00DF175C">
        <w:rPr>
          <w:rFonts w:ascii="Verdana" w:hAnsi="Verdana"/>
          <w:sz w:val="24"/>
          <w:szCs w:val="24"/>
        </w:rPr>
        <w:t>Zoroastrismo.</w:t>
      </w:r>
    </w:p>
    <w:p w14:paraId="09256459" w14:textId="0586FEC0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e. </w:t>
      </w:r>
      <w:r w:rsidRPr="00DF175C">
        <w:rPr>
          <w:rFonts w:ascii="Verdana" w:hAnsi="Verdana"/>
          <w:sz w:val="24"/>
          <w:szCs w:val="24"/>
        </w:rPr>
        <w:t xml:space="preserve">Anglicana. </w:t>
      </w:r>
    </w:p>
    <w:p w14:paraId="26E7CA18" w14:textId="2540B2FE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</w:p>
    <w:p w14:paraId="07329900" w14:textId="58CE67E9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4</w:t>
      </w:r>
      <w:r w:rsidRPr="00DF175C">
        <w:rPr>
          <w:rFonts w:ascii="Verdana" w:hAnsi="Verdana"/>
          <w:sz w:val="24"/>
          <w:szCs w:val="24"/>
        </w:rPr>
        <w:t>. (MACK)</w:t>
      </w:r>
      <w:r w:rsidRPr="00DF175C">
        <w:rPr>
          <w:rFonts w:ascii="Verdana" w:hAnsi="Verdana"/>
          <w:sz w:val="24"/>
          <w:szCs w:val="24"/>
        </w:rPr>
        <w:t xml:space="preserve"> </w:t>
      </w:r>
      <w:r w:rsidRPr="00DF175C">
        <w:rPr>
          <w:rFonts w:ascii="Verdana" w:hAnsi="Verdana"/>
          <w:sz w:val="24"/>
          <w:szCs w:val="24"/>
        </w:rPr>
        <w:t>"Enquanto os portugueses escutavam a missa com muito “prazer e devoção”, a praia encheu-se de nativos. Eles sentavam-se lá surpresos com a complexidade do rial que observavam de longe. Quando D. Henrique acabou a pregação, os indígenas se ergueram e começaram a soprar conchas e buzinas, saltando e dançando (...)"</w:t>
      </w:r>
    </w:p>
    <w:p w14:paraId="7756E083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0"/>
          <w:szCs w:val="20"/>
        </w:rPr>
      </w:pPr>
      <w:r w:rsidRPr="00DF175C">
        <w:rPr>
          <w:rFonts w:ascii="Verdana" w:hAnsi="Verdana"/>
          <w:sz w:val="20"/>
          <w:szCs w:val="20"/>
        </w:rPr>
        <w:t>(Eduardo Bueno)</w:t>
      </w:r>
    </w:p>
    <w:p w14:paraId="5AEFE877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5920B522" w14:textId="40B60635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Este contato amistoso entre brancos e índios preservado:</w:t>
      </w:r>
    </w:p>
    <w:p w14:paraId="56D1BF8D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47AE7B22" w14:textId="1D8DAFC8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a. </w:t>
      </w:r>
      <w:r w:rsidR="00063763" w:rsidRPr="00DF175C">
        <w:rPr>
          <w:rFonts w:ascii="Verdana" w:hAnsi="Verdana"/>
          <w:sz w:val="24"/>
          <w:szCs w:val="24"/>
        </w:rPr>
        <w:t>Pela igreja, que sempre respeitou a cultura indígena no decurso da catequese.</w:t>
      </w:r>
    </w:p>
    <w:p w14:paraId="0BB6AB4F" w14:textId="67A9603D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b.</w:t>
      </w:r>
      <w:r w:rsidR="00063763" w:rsidRPr="00DF175C">
        <w:rPr>
          <w:rFonts w:ascii="Verdana" w:hAnsi="Verdana"/>
          <w:sz w:val="24"/>
          <w:szCs w:val="24"/>
        </w:rPr>
        <w:t xml:space="preserve"> </w:t>
      </w:r>
      <w:r w:rsidR="00063763" w:rsidRPr="00DF175C">
        <w:rPr>
          <w:rFonts w:ascii="Verdana" w:hAnsi="Verdana"/>
          <w:sz w:val="24"/>
          <w:szCs w:val="24"/>
        </w:rPr>
        <w:t>Pelos colonos que escravizam somente o africano na atividade produtiva de exportação.</w:t>
      </w:r>
      <w:r w:rsidRPr="00DF175C">
        <w:rPr>
          <w:rFonts w:ascii="Verdana" w:hAnsi="Verdana"/>
          <w:sz w:val="24"/>
          <w:szCs w:val="24"/>
        </w:rPr>
        <w:t xml:space="preserve"> </w:t>
      </w:r>
    </w:p>
    <w:p w14:paraId="79D6B503" w14:textId="196CF9F1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c. </w:t>
      </w:r>
      <w:r w:rsidR="00063763" w:rsidRPr="00DF175C">
        <w:rPr>
          <w:rFonts w:ascii="Verdana" w:hAnsi="Verdana"/>
          <w:sz w:val="24"/>
          <w:szCs w:val="24"/>
        </w:rPr>
        <w:t xml:space="preserve">Em todos os períodos da </w:t>
      </w:r>
      <w:r w:rsidR="00063763" w:rsidRPr="00DF175C">
        <w:rPr>
          <w:rFonts w:ascii="Verdana" w:hAnsi="Verdana"/>
          <w:sz w:val="24"/>
          <w:szCs w:val="24"/>
        </w:rPr>
        <w:t>História</w:t>
      </w:r>
      <w:r w:rsidR="00063763" w:rsidRPr="00DF175C">
        <w:rPr>
          <w:rFonts w:ascii="Verdana" w:hAnsi="Verdana"/>
          <w:sz w:val="24"/>
          <w:szCs w:val="24"/>
        </w:rPr>
        <w:t xml:space="preserve"> Colonial Brasileira, passando a figura do índio para o imaginário social como o “bom selvagem e forte colaborador da colonização.</w:t>
      </w:r>
    </w:p>
    <w:p w14:paraId="3CEB2096" w14:textId="105DD5B8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 xml:space="preserve">d. </w:t>
      </w:r>
      <w:r w:rsidR="00063763" w:rsidRPr="00DF175C">
        <w:rPr>
          <w:rFonts w:ascii="Verdana" w:hAnsi="Verdana"/>
          <w:b/>
          <w:bCs/>
          <w:sz w:val="24"/>
          <w:szCs w:val="24"/>
        </w:rPr>
        <w:t xml:space="preserve">Até o </w:t>
      </w:r>
      <w:r w:rsidR="00063763" w:rsidRPr="00DF175C">
        <w:rPr>
          <w:rFonts w:ascii="Verdana" w:hAnsi="Verdana"/>
          <w:b/>
          <w:bCs/>
          <w:sz w:val="24"/>
          <w:szCs w:val="24"/>
        </w:rPr>
        <w:t>início</w:t>
      </w:r>
      <w:r w:rsidR="00063763" w:rsidRPr="00DF175C">
        <w:rPr>
          <w:rFonts w:ascii="Verdana" w:hAnsi="Verdana"/>
          <w:b/>
          <w:bCs/>
          <w:sz w:val="24"/>
          <w:szCs w:val="24"/>
        </w:rPr>
        <w:t xml:space="preserve"> da colonização quando o índio, vitimado por doenças, escravidão e extermínio, passou a ser descrito como sendo selvagem, indolente e canibal.</w:t>
      </w:r>
    </w:p>
    <w:p w14:paraId="234DF4EF" w14:textId="667C0A7A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e. </w:t>
      </w:r>
      <w:r w:rsidR="00063763" w:rsidRPr="00DF175C">
        <w:rPr>
          <w:rFonts w:ascii="Verdana" w:hAnsi="Verdana"/>
          <w:sz w:val="24"/>
          <w:szCs w:val="24"/>
        </w:rPr>
        <w:t>Sobretudo pelo governo colonial, que tomou várias medidas para impedir o genocídio e escravidão</w:t>
      </w:r>
      <w:r w:rsidR="00063763" w:rsidRPr="00DF175C">
        <w:rPr>
          <w:rFonts w:ascii="Verdana" w:hAnsi="Verdana"/>
          <w:sz w:val="24"/>
          <w:szCs w:val="24"/>
        </w:rPr>
        <w:t>.</w:t>
      </w:r>
    </w:p>
    <w:p w14:paraId="02B5BE01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</w:p>
    <w:p w14:paraId="00BA3185" w14:textId="792731B2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5</w:t>
      </w:r>
      <w:r w:rsidRPr="00DF175C">
        <w:rPr>
          <w:rFonts w:ascii="Verdana" w:hAnsi="Verdana"/>
          <w:sz w:val="24"/>
          <w:szCs w:val="24"/>
        </w:rPr>
        <w:t>.</w:t>
      </w:r>
      <w:r w:rsidR="00063763" w:rsidRPr="00DF175C">
        <w:rPr>
          <w:rFonts w:ascii="Verdana" w:hAnsi="Verdana"/>
          <w:sz w:val="24"/>
          <w:szCs w:val="24"/>
        </w:rPr>
        <w:t xml:space="preserve"> (IBADE)</w:t>
      </w:r>
      <w:r w:rsidRPr="00DF175C">
        <w:rPr>
          <w:rFonts w:ascii="Verdana" w:hAnsi="Verdana"/>
          <w:sz w:val="24"/>
          <w:szCs w:val="24"/>
        </w:rPr>
        <w:t xml:space="preserve"> 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No universo indígena brasileiro, a fabricação de artefatos, grafismos e pinturas está relacionada simbolicamente à(a):</w:t>
      </w:r>
    </w:p>
    <w:p w14:paraId="020A73BE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19A3886C" w14:textId="0B307554" w:rsidR="00063763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  <w:shd w:val="clear" w:color="auto" w:fill="F8F9FB"/>
        </w:rPr>
      </w:pPr>
      <w:r w:rsidRPr="00DF175C">
        <w:rPr>
          <w:rFonts w:ascii="Verdana" w:hAnsi="Verdana"/>
          <w:sz w:val="24"/>
          <w:szCs w:val="24"/>
        </w:rPr>
        <w:t xml:space="preserve">a. 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V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isão do indígena sobre o homem branco.</w:t>
      </w:r>
    </w:p>
    <w:p w14:paraId="326DC18B" w14:textId="11122804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b. 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F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estas e rituais.</w:t>
      </w:r>
    </w:p>
    <w:p w14:paraId="37A6D022" w14:textId="0DDA4E5D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c. </w:t>
      </w:r>
      <w:r w:rsidR="00063763" w:rsidRPr="00DF175C">
        <w:rPr>
          <w:rFonts w:ascii="Verdana" w:hAnsi="Verdana"/>
          <w:sz w:val="24"/>
          <w:szCs w:val="24"/>
        </w:rPr>
        <w:t>S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ubsistência dos diferentes povos da floresta.</w:t>
      </w:r>
    </w:p>
    <w:p w14:paraId="158B6BA4" w14:textId="28548EFC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 xml:space="preserve">d. </w:t>
      </w:r>
      <w:r w:rsidR="00DF175C" w:rsidRPr="00DF175C">
        <w:rPr>
          <w:rFonts w:ascii="Verdana" w:hAnsi="Verdana"/>
          <w:b/>
          <w:bCs/>
          <w:sz w:val="24"/>
          <w:szCs w:val="24"/>
          <w:shd w:val="clear" w:color="auto" w:fill="F8F9FB"/>
        </w:rPr>
        <w:t>Ornamentação</w:t>
      </w:r>
      <w:r w:rsidR="00063763" w:rsidRPr="00DF175C">
        <w:rPr>
          <w:rFonts w:ascii="Verdana" w:hAnsi="Verdana"/>
          <w:b/>
          <w:bCs/>
          <w:sz w:val="24"/>
          <w:szCs w:val="24"/>
          <w:shd w:val="clear" w:color="auto" w:fill="F8F9FB"/>
        </w:rPr>
        <w:t xml:space="preserve"> de corpos e pessoas.</w:t>
      </w:r>
    </w:p>
    <w:p w14:paraId="20AD2A67" w14:textId="1B7C9BDA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e. 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P</w:t>
      </w:r>
      <w:r w:rsidR="00063763" w:rsidRPr="00DF175C">
        <w:rPr>
          <w:rFonts w:ascii="Verdana" w:hAnsi="Verdana"/>
          <w:sz w:val="24"/>
          <w:szCs w:val="24"/>
          <w:shd w:val="clear" w:color="auto" w:fill="F8F9FB"/>
        </w:rPr>
        <w:t>rocessos locais e artísticos.</w:t>
      </w:r>
    </w:p>
    <w:p w14:paraId="165B18CA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</w:p>
    <w:p w14:paraId="4D9C3703" w14:textId="04FB6D0F" w:rsidR="00DF175C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6</w:t>
      </w:r>
      <w:r w:rsidRPr="00DF175C">
        <w:rPr>
          <w:rFonts w:ascii="Verdana" w:hAnsi="Verdana"/>
          <w:sz w:val="24"/>
          <w:szCs w:val="24"/>
        </w:rPr>
        <w:t xml:space="preserve">. </w:t>
      </w:r>
      <w:r w:rsidR="00DF175C" w:rsidRPr="00DF175C">
        <w:rPr>
          <w:rFonts w:ascii="Verdana" w:hAnsi="Verdana"/>
          <w:sz w:val="24"/>
          <w:szCs w:val="24"/>
        </w:rPr>
        <w:t>(ENEM 2013)</w:t>
      </w:r>
      <w:r w:rsidR="00DF175C" w:rsidRPr="00DF175C">
        <w:rPr>
          <w:rFonts w:ascii="Verdana" w:hAnsi="Verdana"/>
          <w:sz w:val="24"/>
          <w:szCs w:val="24"/>
        </w:rPr>
        <w:t xml:space="preserve"> </w:t>
      </w:r>
      <w:r w:rsidR="00DF175C" w:rsidRPr="00DF175C">
        <w:rPr>
          <w:rFonts w:ascii="Verdana" w:hAnsi="Verdana"/>
          <w:sz w:val="24"/>
          <w:szCs w:val="24"/>
        </w:rPr>
        <w:t>“A recuperação da herança cultural africana deve levar em conta o que é próprio do processo cultural: seu movimento, pluralidade e complexidade. Não se trata, portanto, do resgate ingênuo do passado nem do seu cultivo nostálgico, mas de procurar perceber o próprio rosto cultural brasileiro. O que se quer é captar seu movimento para melhor compreendê-lo historicamente.”</w:t>
      </w:r>
    </w:p>
    <w:p w14:paraId="7CF73CC3" w14:textId="77777777" w:rsidR="00DF175C" w:rsidRPr="00DF175C" w:rsidRDefault="00DF175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33E2FA67" w14:textId="77777777" w:rsidR="00DF175C" w:rsidRPr="00DF175C" w:rsidRDefault="00DF175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0"/>
          <w:szCs w:val="20"/>
        </w:rPr>
      </w:pPr>
      <w:r w:rsidRPr="00DF175C">
        <w:rPr>
          <w:rFonts w:ascii="Verdana" w:hAnsi="Verdana"/>
          <w:sz w:val="20"/>
          <w:szCs w:val="20"/>
        </w:rPr>
        <w:t>MINAS GERAIS: Cadernos do Arquivo 1: Escravidão em</w:t>
      </w:r>
    </w:p>
    <w:p w14:paraId="25AD1B1C" w14:textId="77777777" w:rsidR="00DF175C" w:rsidRPr="00DF175C" w:rsidRDefault="00DF175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0"/>
          <w:szCs w:val="20"/>
        </w:rPr>
      </w:pPr>
      <w:r w:rsidRPr="00DF175C">
        <w:rPr>
          <w:rFonts w:ascii="Verdana" w:hAnsi="Verdana"/>
          <w:sz w:val="20"/>
          <w:szCs w:val="20"/>
        </w:rPr>
        <w:t>Minas Gerais. Belo Horizonte: Arquivo Público Mineiro, 1988.</w:t>
      </w:r>
    </w:p>
    <w:p w14:paraId="7CF5C4E7" w14:textId="77777777" w:rsidR="00DF175C" w:rsidRPr="00DF175C" w:rsidRDefault="00DF175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2E407142" w14:textId="7D4A3299" w:rsidR="0056532E" w:rsidRPr="00DF175C" w:rsidRDefault="00DF175C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Com base no texto, a análise de manifestações culturais de origem africana, como a capoeira ou o candomblé, deve considerar que elas</w:t>
      </w:r>
      <w:r w:rsidRPr="00DF175C">
        <w:rPr>
          <w:rFonts w:ascii="Verdana" w:hAnsi="Verdana"/>
          <w:sz w:val="24"/>
          <w:szCs w:val="24"/>
        </w:rPr>
        <w:t>:</w:t>
      </w:r>
    </w:p>
    <w:p w14:paraId="7945C185" w14:textId="77777777" w:rsidR="0056532E" w:rsidRPr="00DF175C" w:rsidRDefault="0056532E" w:rsidP="00DF175C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p w14:paraId="041E15A3" w14:textId="1699A5EE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>a.</w:t>
      </w:r>
      <w:r w:rsidR="00DF175C" w:rsidRPr="00DF175C">
        <w:rPr>
          <w:rFonts w:ascii="Verdana" w:hAnsi="Verdana"/>
          <w:sz w:val="24"/>
          <w:szCs w:val="24"/>
        </w:rPr>
        <w:t xml:space="preserve"> P</w:t>
      </w:r>
      <w:r w:rsidR="00DF175C" w:rsidRPr="00DF175C">
        <w:rPr>
          <w:rFonts w:ascii="Verdana" w:hAnsi="Verdana"/>
          <w:sz w:val="24"/>
          <w:szCs w:val="24"/>
        </w:rPr>
        <w:t>ermanecem como reprodução dos valores e costumes africanos.</w:t>
      </w:r>
      <w:r w:rsidRPr="00DF175C">
        <w:rPr>
          <w:rFonts w:ascii="Verdana" w:hAnsi="Verdana"/>
          <w:sz w:val="24"/>
          <w:szCs w:val="24"/>
        </w:rPr>
        <w:t xml:space="preserve"> </w:t>
      </w:r>
    </w:p>
    <w:p w14:paraId="1130CDAF" w14:textId="42BC5C1D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b. </w:t>
      </w:r>
      <w:r w:rsidR="00DF175C" w:rsidRPr="00DF175C">
        <w:rPr>
          <w:rFonts w:ascii="Verdana" w:hAnsi="Verdana"/>
          <w:sz w:val="24"/>
          <w:szCs w:val="24"/>
        </w:rPr>
        <w:t>P</w:t>
      </w:r>
      <w:r w:rsidR="00DF175C" w:rsidRPr="00DF175C">
        <w:rPr>
          <w:rFonts w:ascii="Verdana" w:hAnsi="Verdana"/>
          <w:sz w:val="24"/>
          <w:szCs w:val="24"/>
        </w:rPr>
        <w:t>erderam a relação com o seu passado histórico.</w:t>
      </w:r>
    </w:p>
    <w:p w14:paraId="184F6049" w14:textId="748DC1A1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b/>
          <w:bCs/>
          <w:sz w:val="24"/>
          <w:szCs w:val="24"/>
        </w:rPr>
      </w:pPr>
      <w:r w:rsidRPr="00DF175C">
        <w:rPr>
          <w:rFonts w:ascii="Verdana" w:hAnsi="Verdana"/>
          <w:b/>
          <w:bCs/>
          <w:sz w:val="24"/>
          <w:szCs w:val="24"/>
        </w:rPr>
        <w:t>c.</w:t>
      </w:r>
      <w:r w:rsidR="00DF175C" w:rsidRPr="00DF175C">
        <w:rPr>
          <w:rFonts w:ascii="Verdana" w:hAnsi="Verdana"/>
          <w:b/>
          <w:bCs/>
          <w:sz w:val="24"/>
          <w:szCs w:val="24"/>
        </w:rPr>
        <w:t xml:space="preserve"> D</w:t>
      </w:r>
      <w:r w:rsidR="00DF175C" w:rsidRPr="00DF175C">
        <w:rPr>
          <w:rFonts w:ascii="Verdana" w:hAnsi="Verdana"/>
          <w:b/>
          <w:bCs/>
          <w:sz w:val="24"/>
          <w:szCs w:val="24"/>
        </w:rPr>
        <w:t>erivam da interação entre valores africanos e a experiência histórica brasileira.</w:t>
      </w:r>
    </w:p>
    <w:p w14:paraId="382D7C5A" w14:textId="31183C2C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d. </w:t>
      </w:r>
      <w:r w:rsidR="00DF175C" w:rsidRPr="00DF175C">
        <w:rPr>
          <w:rFonts w:ascii="Verdana" w:hAnsi="Verdana"/>
          <w:sz w:val="24"/>
          <w:szCs w:val="24"/>
        </w:rPr>
        <w:t>C</w:t>
      </w:r>
      <w:r w:rsidR="00DF175C" w:rsidRPr="00DF175C">
        <w:rPr>
          <w:rFonts w:ascii="Verdana" w:hAnsi="Verdana"/>
          <w:sz w:val="24"/>
          <w:szCs w:val="24"/>
        </w:rPr>
        <w:t>ontribuem para o distanciamento cultural entre negros e brancos no Brasil atual.</w:t>
      </w:r>
    </w:p>
    <w:p w14:paraId="44086C80" w14:textId="3908FFE7" w:rsidR="0056532E" w:rsidRPr="00DF175C" w:rsidRDefault="0056532E" w:rsidP="00DF175C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  <w:r w:rsidRPr="00DF175C">
        <w:rPr>
          <w:rFonts w:ascii="Verdana" w:hAnsi="Verdana"/>
          <w:sz w:val="24"/>
          <w:szCs w:val="24"/>
        </w:rPr>
        <w:t xml:space="preserve">e. </w:t>
      </w:r>
      <w:r w:rsidR="00DF175C" w:rsidRPr="00DF175C">
        <w:rPr>
          <w:rFonts w:ascii="Verdana" w:hAnsi="Verdana"/>
          <w:sz w:val="24"/>
          <w:szCs w:val="24"/>
        </w:rPr>
        <w:t>D</w:t>
      </w:r>
      <w:r w:rsidR="00DF175C" w:rsidRPr="00DF175C">
        <w:rPr>
          <w:rFonts w:ascii="Verdana" w:hAnsi="Verdana"/>
          <w:sz w:val="24"/>
          <w:szCs w:val="24"/>
        </w:rPr>
        <w:t>emonstram a maior complexidade cultural dos africanos em relação aos europeus.</w:t>
      </w:r>
    </w:p>
    <w:p w14:paraId="3E1F7D8F" w14:textId="77777777" w:rsidR="0056532E" w:rsidRPr="0056532E" w:rsidRDefault="0056532E" w:rsidP="0056532E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</w:p>
    <w:p w14:paraId="7604E4D0" w14:textId="77777777" w:rsidR="0056532E" w:rsidRPr="0056532E" w:rsidRDefault="0056532E" w:rsidP="0056532E">
      <w:pPr>
        <w:tabs>
          <w:tab w:val="left" w:pos="1125"/>
          <w:tab w:val="left" w:pos="8505"/>
        </w:tabs>
        <w:spacing w:after="0"/>
        <w:jc w:val="both"/>
        <w:rPr>
          <w:rFonts w:ascii="Verdana" w:hAnsi="Verdana"/>
          <w:sz w:val="24"/>
          <w:szCs w:val="24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89494" w14:textId="77777777" w:rsidR="0065063D" w:rsidRDefault="0065063D" w:rsidP="009851F2">
      <w:pPr>
        <w:spacing w:after="0" w:line="240" w:lineRule="auto"/>
      </w:pPr>
      <w:r>
        <w:separator/>
      </w:r>
    </w:p>
  </w:endnote>
  <w:endnote w:type="continuationSeparator" w:id="0">
    <w:p w14:paraId="5FAFB226" w14:textId="77777777" w:rsidR="0065063D" w:rsidRDefault="006506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825A" w14:textId="77777777" w:rsidR="0065063D" w:rsidRDefault="0065063D" w:rsidP="009851F2">
      <w:pPr>
        <w:spacing w:after="0" w:line="240" w:lineRule="auto"/>
      </w:pPr>
      <w:r>
        <w:separator/>
      </w:r>
    </w:p>
  </w:footnote>
  <w:footnote w:type="continuationSeparator" w:id="0">
    <w:p w14:paraId="668A5357" w14:textId="77777777" w:rsidR="0065063D" w:rsidRDefault="006506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3763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271D0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532E"/>
    <w:rsid w:val="005C3014"/>
    <w:rsid w:val="005E5BEA"/>
    <w:rsid w:val="005F6252"/>
    <w:rsid w:val="00624538"/>
    <w:rsid w:val="006451D4"/>
    <w:rsid w:val="0065063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16BC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175C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2021-03-15T15:52:00Z</dcterms:created>
  <dcterms:modified xsi:type="dcterms:W3CDTF">2021-03-15T15:52:00Z</dcterms:modified>
</cp:coreProperties>
</file>