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9412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54D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8E99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253ED1A" w:rsidR="00093F84" w:rsidRPr="0086497B" w:rsidRDefault="00F34D9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2BCBF65" w:rsidR="00D62933" w:rsidRDefault="00654D0E" w:rsidP="00D62933">
      <w:pPr>
        <w:rPr>
          <w:rFonts w:ascii="Verdana" w:hAnsi="Verdan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F62371" wp14:editId="1396D3DA">
            <wp:simplePos x="0" y="0"/>
            <wp:positionH relativeFrom="column">
              <wp:posOffset>-683895</wp:posOffset>
            </wp:positionH>
            <wp:positionV relativeFrom="paragraph">
              <wp:posOffset>2747010</wp:posOffset>
            </wp:positionV>
            <wp:extent cx="3810000" cy="2948940"/>
            <wp:effectExtent l="0" t="0" r="0" b="3810"/>
            <wp:wrapSquare wrapText="bothSides"/>
            <wp:docPr id="1" name="Imagem 1" descr="Doutrina do destino manifest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trina do destino manifest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42CF3" w14:textId="194AA6AC" w:rsidR="00D62933" w:rsidRDefault="00654D0E" w:rsidP="00F34D99">
      <w:pPr>
        <w:spacing w:after="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01-</w:t>
      </w:r>
      <w:r w:rsidRPr="00654D0E">
        <w:rPr>
          <w:rFonts w:ascii="Verdana" w:hAnsi="Verdana"/>
          <w:sz w:val="20"/>
          <w:szCs w:val="20"/>
        </w:rPr>
        <w:t>Entende-se como a </w:t>
      </w:r>
      <w:r w:rsidRPr="00654D0E">
        <w:rPr>
          <w:rFonts w:ascii="Verdana" w:hAnsi="Verdana"/>
          <w:b/>
          <w:bCs/>
          <w:sz w:val="20"/>
          <w:szCs w:val="20"/>
        </w:rPr>
        <w:t>expansão territorial dos EUA</w:t>
      </w:r>
      <w:r w:rsidRPr="00654D0E">
        <w:rPr>
          <w:rFonts w:ascii="Verdana" w:hAnsi="Verdana"/>
          <w:sz w:val="20"/>
          <w:szCs w:val="20"/>
        </w:rPr>
        <w:t> aquele período que se estende praticamente durante todo o século XIX, onde o país aumenta de modo extraordinário as suas fronteiras, chegando ao fim do mesmo período com praticamente as dimensões continentais que hoje possui.</w:t>
      </w:r>
      <w:r>
        <w:rPr>
          <w:rFonts w:ascii="Verdana" w:hAnsi="Verdana"/>
          <w:sz w:val="20"/>
          <w:szCs w:val="20"/>
        </w:rPr>
        <w:t xml:space="preserve"> Quais dispositivos foram utilizados por essa nação para ampliar geograficamente seu espaço? </w:t>
      </w:r>
      <w:r w:rsidR="005009D0">
        <w:rPr>
          <w:rFonts w:ascii="Verdana" w:hAnsi="Verdana"/>
          <w:sz w:val="20"/>
          <w:szCs w:val="20"/>
        </w:rPr>
        <w:t xml:space="preserve">  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654D0E" w14:paraId="6EAFDD71" w14:textId="77777777" w:rsidTr="00654D0E">
        <w:tc>
          <w:tcPr>
            <w:tcW w:w="10773" w:type="dxa"/>
          </w:tcPr>
          <w:p w14:paraId="5E2FE6A3" w14:textId="77777777" w:rsidR="00654D0E" w:rsidRPr="00654D0E" w:rsidRDefault="00654D0E" w:rsidP="00654D0E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654D0E" w14:paraId="086E7EC6" w14:textId="77777777" w:rsidTr="00654D0E">
        <w:tc>
          <w:tcPr>
            <w:tcW w:w="10773" w:type="dxa"/>
          </w:tcPr>
          <w:p w14:paraId="6BCF3D45" w14:textId="77777777" w:rsidR="00654D0E" w:rsidRPr="00654D0E" w:rsidRDefault="00654D0E" w:rsidP="00654D0E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654D0E" w14:paraId="7847CE1B" w14:textId="77777777" w:rsidTr="00654D0E">
        <w:tc>
          <w:tcPr>
            <w:tcW w:w="10773" w:type="dxa"/>
          </w:tcPr>
          <w:p w14:paraId="12022B67" w14:textId="77777777" w:rsidR="00654D0E" w:rsidRPr="00654D0E" w:rsidRDefault="00654D0E" w:rsidP="00654D0E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1BC8A090" w14:textId="6FE352CA" w:rsidR="00654D0E" w:rsidRDefault="005009D0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02- Analisando a gravura acima, que faz alusão a Marcha para o Oeste, período marcado pelo expansionismo dos Estados Unidos, quais interpretações podemos identificar:  A- na mulher ao céu com a Constituição em seu braço; B- no deslocamento dos indígenas para o interior do território; C- No avanço dos colonos, dos trens e das linhas de telégrafos?  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5009D0" w:rsidRPr="00654D0E" w14:paraId="4FC2A443" w14:textId="77777777" w:rsidTr="00A862D2">
        <w:tc>
          <w:tcPr>
            <w:tcW w:w="10773" w:type="dxa"/>
          </w:tcPr>
          <w:p w14:paraId="380C6D1C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06F83054" w14:textId="77777777" w:rsidTr="00A862D2">
        <w:tc>
          <w:tcPr>
            <w:tcW w:w="10773" w:type="dxa"/>
          </w:tcPr>
          <w:p w14:paraId="7924770D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363BB154" w14:textId="77777777" w:rsidTr="00A862D2">
        <w:tc>
          <w:tcPr>
            <w:tcW w:w="10773" w:type="dxa"/>
          </w:tcPr>
          <w:p w14:paraId="7A62AAB4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6EF923EF" w14:textId="77777777" w:rsidTr="00A862D2">
        <w:tc>
          <w:tcPr>
            <w:tcW w:w="10773" w:type="dxa"/>
          </w:tcPr>
          <w:p w14:paraId="2B0EB9C2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6917FCB8" w14:textId="77777777" w:rsidTr="00A862D2">
        <w:tc>
          <w:tcPr>
            <w:tcW w:w="10773" w:type="dxa"/>
          </w:tcPr>
          <w:p w14:paraId="66E48D92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3703F4A2" w14:textId="77777777" w:rsidTr="00A862D2">
        <w:tc>
          <w:tcPr>
            <w:tcW w:w="10773" w:type="dxa"/>
          </w:tcPr>
          <w:p w14:paraId="58470126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4A97AE74" w14:textId="6BC58BB0" w:rsidR="005009D0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03- Marque “V” para as alternativas verdadeiras e “F” para as falsas:</w:t>
      </w:r>
      <w:r w:rsidR="00BC72EB">
        <w:rPr>
          <w:rFonts w:ascii="Verdana" w:hAnsi="Verdana"/>
          <w:sz w:val="20"/>
          <w:szCs w:val="20"/>
        </w:rPr>
        <w:t xml:space="preserve">  0.5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"/>
        <w:gridCol w:w="567"/>
        <w:gridCol w:w="9639"/>
      </w:tblGrid>
      <w:tr w:rsidR="008A567A" w14:paraId="6AD7F728" w14:textId="77777777" w:rsidTr="008A567A">
        <w:tc>
          <w:tcPr>
            <w:tcW w:w="567" w:type="dxa"/>
          </w:tcPr>
          <w:p w14:paraId="6E328244" w14:textId="24B46C40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22BC4F69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D3F276B" w14:textId="2BF0AFC5" w:rsidR="008A567A" w:rsidRPr="00A02A6A" w:rsidRDefault="004A3352" w:rsidP="00F34D99">
            <w:pPr>
              <w:rPr>
                <w:rFonts w:ascii="Verdana" w:hAnsi="Verdana"/>
                <w:sz w:val="20"/>
                <w:szCs w:val="20"/>
              </w:rPr>
            </w:pPr>
            <w:r w:rsidRPr="00A02A6A">
              <w:rPr>
                <w:rFonts w:ascii="Verdana" w:hAnsi="Verdana"/>
                <w:sz w:val="20"/>
                <w:szCs w:val="20"/>
              </w:rPr>
              <w:t>A Revolução Praieira ou Insurreição Praieira de Pernambuco, representou um levante armado de caráter liberal e monarquista, pois, defendiam a manutenção de D. Pedro II no poder, diante das ameaças das ideias Iluministas que tinham invadido a Europa.</w:t>
            </w:r>
          </w:p>
        </w:tc>
      </w:tr>
      <w:tr w:rsidR="008A567A" w14:paraId="0D27C9FB" w14:textId="77777777" w:rsidTr="008A567A">
        <w:tc>
          <w:tcPr>
            <w:tcW w:w="567" w:type="dxa"/>
          </w:tcPr>
          <w:p w14:paraId="7A3197B7" w14:textId="38A9A213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5B962DC2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B664312" w14:textId="11A8F8CC" w:rsidR="008A567A" w:rsidRPr="00A02A6A" w:rsidRDefault="00A02A6A" w:rsidP="00F34D99">
            <w:pPr>
              <w:rPr>
                <w:rFonts w:ascii="Verdana" w:hAnsi="Verdana"/>
                <w:sz w:val="20"/>
                <w:szCs w:val="20"/>
              </w:rPr>
            </w:pPr>
            <w:r w:rsidRPr="00A02A6A">
              <w:rPr>
                <w:rFonts w:ascii="Verdana" w:hAnsi="Verdana"/>
                <w:sz w:val="20"/>
                <w:szCs w:val="20"/>
              </w:rPr>
              <w:t>A </w:t>
            </w:r>
            <w:hyperlink r:id="rId10" w:history="1">
              <w:r w:rsidRPr="00A02A6A">
                <w:rPr>
                  <w:rStyle w:val="Hyperlink"/>
                  <w:rFonts w:ascii="Verdana" w:hAnsi="Verdana"/>
                  <w:color w:val="auto"/>
                  <w:sz w:val="20"/>
                  <w:szCs w:val="20"/>
                </w:rPr>
                <w:t>República no Brasil foi proclamada</w:t>
              </w:r>
            </w:hyperlink>
            <w:r w:rsidRPr="00A02A6A">
              <w:rPr>
                <w:rFonts w:ascii="Verdana" w:hAnsi="Verdana"/>
                <w:sz w:val="20"/>
                <w:szCs w:val="20"/>
              </w:rPr>
              <w:t> em 15 de novembro de 1889. Tropas do Exército lideradas pelo Marechal Deodoro da Fonseca depuseram Dom Pedro II, e a família imperial foi exilada na Europa.</w:t>
            </w:r>
          </w:p>
        </w:tc>
      </w:tr>
      <w:tr w:rsidR="008A567A" w14:paraId="5803C5CC" w14:textId="77777777" w:rsidTr="008A567A">
        <w:tc>
          <w:tcPr>
            <w:tcW w:w="567" w:type="dxa"/>
          </w:tcPr>
          <w:p w14:paraId="4A7C5DC0" w14:textId="5EBB9009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2025781A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587D3FC1" w14:textId="7AA184BB" w:rsidR="008A567A" w:rsidRDefault="00A02A6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final do Segundo Reinado, a</w:t>
            </w:r>
            <w:r w:rsidRPr="00A02A6A">
              <w:rPr>
                <w:rFonts w:ascii="Verdana" w:hAnsi="Verdana"/>
                <w:sz w:val="20"/>
                <w:szCs w:val="20"/>
              </w:rPr>
              <w:t>o chegar aqui, o colono estrangeiro trabalhava até saldar suas dívidas e participava nos lucros obtidos na plantação.</w:t>
            </w:r>
          </w:p>
        </w:tc>
      </w:tr>
      <w:tr w:rsidR="008A567A" w14:paraId="64AF4EF6" w14:textId="77777777" w:rsidTr="008A567A">
        <w:tc>
          <w:tcPr>
            <w:tcW w:w="567" w:type="dxa"/>
          </w:tcPr>
          <w:p w14:paraId="23C81886" w14:textId="5C91A101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4E61985B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111EC66F" w14:textId="7F70A9B5" w:rsidR="008A567A" w:rsidRDefault="004B6FE3" w:rsidP="00F34D99">
            <w:pPr>
              <w:rPr>
                <w:rFonts w:ascii="Verdana" w:hAnsi="Verdana"/>
                <w:sz w:val="20"/>
                <w:szCs w:val="20"/>
              </w:rPr>
            </w:pPr>
            <w:r w:rsidRPr="004B6FE3">
              <w:rPr>
                <w:rFonts w:ascii="Verdana" w:hAnsi="Verdana"/>
                <w:sz w:val="20"/>
                <w:szCs w:val="20"/>
              </w:rPr>
              <w:t xml:space="preserve">A partir do século XIX, difundiu-se na Europa o hábito de tomar café. Esse produto foi introduzido no </w:t>
            </w:r>
            <w:r>
              <w:rPr>
                <w:rFonts w:ascii="Verdana" w:hAnsi="Verdana"/>
                <w:sz w:val="20"/>
                <w:szCs w:val="20"/>
              </w:rPr>
              <w:t>vale do Paraíba alcançando pouquíssimo lucro</w:t>
            </w:r>
            <w:r w:rsidRPr="004B6FE3">
              <w:rPr>
                <w:rFonts w:ascii="Verdana" w:hAnsi="Verdana"/>
                <w:sz w:val="20"/>
                <w:szCs w:val="20"/>
              </w:rPr>
              <w:t xml:space="preserve">. Contudo, </w:t>
            </w:r>
            <w:r>
              <w:rPr>
                <w:rFonts w:ascii="Verdana" w:hAnsi="Verdana"/>
                <w:sz w:val="20"/>
                <w:szCs w:val="20"/>
              </w:rPr>
              <w:t xml:space="preserve">esse </w:t>
            </w:r>
            <w:r w:rsidRPr="004B6FE3">
              <w:rPr>
                <w:rFonts w:ascii="Verdana" w:hAnsi="Verdana"/>
                <w:sz w:val="20"/>
                <w:szCs w:val="20"/>
              </w:rPr>
              <w:t xml:space="preserve">cultivo só começou a se destacar a partir </w:t>
            </w:r>
            <w:r>
              <w:rPr>
                <w:rFonts w:ascii="Verdana" w:hAnsi="Verdana"/>
                <w:sz w:val="20"/>
                <w:szCs w:val="20"/>
              </w:rPr>
              <w:t>das grandes lavouras do nordeste que substituía a cana-de-açúcar pelo café.</w:t>
            </w:r>
          </w:p>
        </w:tc>
      </w:tr>
      <w:tr w:rsidR="008A567A" w14:paraId="4B6F7E0B" w14:textId="77777777" w:rsidTr="008A567A">
        <w:tc>
          <w:tcPr>
            <w:tcW w:w="567" w:type="dxa"/>
          </w:tcPr>
          <w:p w14:paraId="34752DE0" w14:textId="59DA873E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0E6DC38B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3F364D1" w14:textId="033AE246" w:rsidR="008A567A" w:rsidRDefault="00BC72EB" w:rsidP="00F34D99">
            <w:pPr>
              <w:rPr>
                <w:rFonts w:ascii="Verdana" w:hAnsi="Verdana"/>
                <w:sz w:val="20"/>
                <w:szCs w:val="20"/>
              </w:rPr>
            </w:pPr>
            <w:r w:rsidRPr="00BC72EB">
              <w:rPr>
                <w:rFonts w:ascii="Verdana" w:hAnsi="Verdana"/>
                <w:sz w:val="20"/>
                <w:szCs w:val="20"/>
              </w:rPr>
              <w:t xml:space="preserve">A Lei Áurea significou o fim da escravidão, mas não previu a colocação e adequação destes </w:t>
            </w:r>
            <w:proofErr w:type="spellStart"/>
            <w:r w:rsidRPr="00BC72EB">
              <w:rPr>
                <w:rFonts w:ascii="Verdana" w:hAnsi="Verdana"/>
                <w:sz w:val="20"/>
                <w:szCs w:val="20"/>
              </w:rPr>
              <w:t>ex-escravos</w:t>
            </w:r>
            <w:proofErr w:type="spellEnd"/>
            <w:r w:rsidRPr="00BC72EB">
              <w:rPr>
                <w:rFonts w:ascii="Verdana" w:hAnsi="Verdana"/>
                <w:sz w:val="20"/>
                <w:szCs w:val="20"/>
              </w:rPr>
              <w:t xml:space="preserve"> nas novas relações de trabalho, nem na sociedade que se transformava.</w:t>
            </w:r>
          </w:p>
        </w:tc>
      </w:tr>
    </w:tbl>
    <w:p w14:paraId="78DF0137" w14:textId="2FEDE23E" w:rsid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66CF5E2C" w14:textId="400B7905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04- </w:t>
      </w:r>
      <w:r w:rsidRPr="008A567A">
        <w:rPr>
          <w:rFonts w:ascii="Verdana" w:hAnsi="Verdana"/>
          <w:sz w:val="20"/>
          <w:szCs w:val="20"/>
        </w:rPr>
        <w:t>(</w:t>
      </w:r>
      <w:proofErr w:type="spellStart"/>
      <w:r w:rsidRPr="008A567A">
        <w:rPr>
          <w:rFonts w:ascii="Verdana" w:hAnsi="Verdana"/>
          <w:sz w:val="20"/>
          <w:szCs w:val="20"/>
        </w:rPr>
        <w:t>Consesp</w:t>
      </w:r>
      <w:proofErr w:type="spellEnd"/>
      <w:r w:rsidRPr="008A567A">
        <w:rPr>
          <w:rFonts w:ascii="Verdana" w:hAnsi="Verdana"/>
          <w:sz w:val="20"/>
          <w:szCs w:val="20"/>
        </w:rPr>
        <w:t>) Assinale a alternativa que apresenta o fato que marcou o início do Segundo Reinado no Brasil.</w:t>
      </w:r>
      <w:r w:rsidR="00BC72EB">
        <w:rPr>
          <w:rFonts w:ascii="Verdana" w:hAnsi="Verdana"/>
          <w:sz w:val="20"/>
          <w:szCs w:val="20"/>
        </w:rPr>
        <w:t xml:space="preserve">  0,5</w:t>
      </w:r>
    </w:p>
    <w:p w14:paraId="3C5CA742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a) Noite das Garrafadas</w:t>
      </w:r>
    </w:p>
    <w:p w14:paraId="498970AF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b) Abdicação de Dom Pedro I</w:t>
      </w:r>
    </w:p>
    <w:p w14:paraId="38B4BE05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c) Golpe da Maioridade</w:t>
      </w:r>
    </w:p>
    <w:p w14:paraId="08EA947F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d) Confederação do Equador</w:t>
      </w:r>
    </w:p>
    <w:p w14:paraId="2A4F74F9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e) Ato Adicional de 1834</w:t>
      </w:r>
    </w:p>
    <w:p w14:paraId="4A860185" w14:textId="37129BFF" w:rsidR="00D513BF" w:rsidRPr="00D513BF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05- </w:t>
      </w:r>
      <w:r w:rsidR="00D513BF" w:rsidRPr="00D513BF">
        <w:rPr>
          <w:rFonts w:ascii="Verdana" w:hAnsi="Verdana"/>
          <w:sz w:val="20"/>
          <w:szCs w:val="20"/>
        </w:rPr>
        <w:t>Lei que aboliu o tráfico negreiro no ano de 1850: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p w14:paraId="11F51580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a) Lei do Ventre Livre.</w:t>
      </w:r>
    </w:p>
    <w:p w14:paraId="02467C3C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b) Lei Saraiva.</w:t>
      </w:r>
    </w:p>
    <w:p w14:paraId="6518CE21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c) Lei dos Sexagenários.</w:t>
      </w:r>
    </w:p>
    <w:p w14:paraId="03A8BB02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d) Lei Eusébio de Queirós.</w:t>
      </w:r>
    </w:p>
    <w:p w14:paraId="7B1AFF3C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e) Lei Áurea.</w:t>
      </w:r>
    </w:p>
    <w:p w14:paraId="06E6BD56" w14:textId="11EC7A94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06- </w:t>
      </w:r>
      <w:r w:rsidRPr="00D513BF">
        <w:rPr>
          <w:rFonts w:ascii="Verdana" w:hAnsi="Verdana"/>
          <w:sz w:val="20"/>
          <w:szCs w:val="20"/>
        </w:rPr>
        <w:t>(Fatec) Em 4 de setembro de 1850, foi sancionada no Brasil a Lei Eusébio de Queirós (ministro da Justiça), que abolia o tráfico negreiro em nosso país. Em decorrência dessa lei, o governo imperial brasileiro aprovou outra, "a Lei de Terras". Entre as alternativas a seguir, assinale a correta.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5CFA3022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a) A Lei de Terras facilitava a ocupação de propriedades pelos imigrantes que passaram a chegar ao Brasil.</w:t>
      </w:r>
    </w:p>
    <w:p w14:paraId="0515626B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b) A Lei de Terras dificultou a posse das terras pelos imigrantes, mas facilitou aos negros libertos o acesso a elas.</w:t>
      </w:r>
    </w:p>
    <w:p w14:paraId="206D6316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c) O governo imperial, temendo o controle das terras pelos coronéis, inspirou-se no "</w:t>
      </w:r>
      <w:proofErr w:type="spellStart"/>
      <w:r w:rsidRPr="00D513BF">
        <w:rPr>
          <w:rFonts w:ascii="Verdana" w:hAnsi="Verdana"/>
          <w:sz w:val="20"/>
          <w:szCs w:val="20"/>
        </w:rPr>
        <w:t>Act</w:t>
      </w:r>
      <w:proofErr w:type="spellEnd"/>
      <w:r w:rsidRPr="00D513BF">
        <w:rPr>
          <w:rFonts w:ascii="Verdana" w:hAnsi="Verdana"/>
          <w:sz w:val="20"/>
          <w:szCs w:val="20"/>
        </w:rPr>
        <w:t xml:space="preserve"> </w:t>
      </w:r>
      <w:proofErr w:type="spellStart"/>
      <w:r w:rsidRPr="00D513BF">
        <w:rPr>
          <w:rFonts w:ascii="Verdana" w:hAnsi="Verdana"/>
          <w:sz w:val="20"/>
          <w:szCs w:val="20"/>
        </w:rPr>
        <w:t>Homesteade</w:t>
      </w:r>
      <w:proofErr w:type="spellEnd"/>
      <w:r w:rsidRPr="00D513BF">
        <w:rPr>
          <w:rFonts w:ascii="Verdana" w:hAnsi="Verdana"/>
          <w:sz w:val="20"/>
          <w:szCs w:val="20"/>
        </w:rPr>
        <w:t>" americano para realizar uma distribuição de terras aos camponeses mais pobres.</w:t>
      </w:r>
    </w:p>
    <w:p w14:paraId="1F7F1005" w14:textId="02720A4A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d) A Lei de Terras visava a aumentar o valor das terras</w:t>
      </w:r>
      <w:r>
        <w:rPr>
          <w:rFonts w:ascii="Verdana" w:hAnsi="Verdana"/>
          <w:sz w:val="20"/>
          <w:szCs w:val="20"/>
        </w:rPr>
        <w:t xml:space="preserve">, dificultando sua aquisição entre os imigrantes, </w:t>
      </w:r>
      <w:proofErr w:type="spellStart"/>
      <w:r>
        <w:rPr>
          <w:rFonts w:ascii="Verdana" w:hAnsi="Verdana"/>
          <w:sz w:val="20"/>
          <w:szCs w:val="20"/>
        </w:rPr>
        <w:t>ex</w:t>
      </w:r>
      <w:proofErr w:type="spellEnd"/>
      <w:r>
        <w:rPr>
          <w:rFonts w:ascii="Verdana" w:hAnsi="Verdana"/>
          <w:sz w:val="20"/>
          <w:szCs w:val="20"/>
        </w:rPr>
        <w:t xml:space="preserve"> escravos e pessoas de baixa renda.</w:t>
      </w:r>
    </w:p>
    <w:p w14:paraId="68965F2A" w14:textId="6C0160D1" w:rsid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e) O objetivo do governo imperial, com essa lei, era proteger e regularizar a situação das dezenas de quilombos que existiam no Brasil.</w:t>
      </w:r>
    </w:p>
    <w:p w14:paraId="62714956" w14:textId="489878E9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07- </w:t>
      </w:r>
      <w:r w:rsidRPr="00D513BF">
        <w:rPr>
          <w:rFonts w:ascii="Verdana" w:hAnsi="Verdana"/>
          <w:b/>
          <w:bCs/>
          <w:sz w:val="20"/>
          <w:szCs w:val="20"/>
        </w:rPr>
        <w:t>(FGV)</w:t>
      </w:r>
      <w:r w:rsidRPr="00D513BF">
        <w:rPr>
          <w:rFonts w:ascii="Verdana" w:hAnsi="Verdana"/>
          <w:sz w:val="20"/>
          <w:szCs w:val="20"/>
        </w:rPr>
        <w:t> A Questão Christie teve como efeito: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p w14:paraId="2F17532B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a) o exercício de represálias navais inglesas contra o Brasil;</w:t>
      </w:r>
      <w:r w:rsidRPr="00D513BF">
        <w:rPr>
          <w:rFonts w:ascii="Verdana" w:hAnsi="Verdana"/>
          <w:sz w:val="20"/>
          <w:szCs w:val="20"/>
        </w:rPr>
        <w:br/>
        <w:t>b) o rompimento de relações diplomáticas entre o Brasil e a Inglaterra;</w:t>
      </w:r>
      <w:r w:rsidRPr="00D513BF">
        <w:rPr>
          <w:rFonts w:ascii="Verdana" w:hAnsi="Verdana"/>
          <w:sz w:val="20"/>
          <w:szCs w:val="20"/>
        </w:rPr>
        <w:br/>
        <w:t>c) a vitória brasileira no arbitramento do rei dos belgas, Leopoldo I;</w:t>
      </w:r>
      <w:r w:rsidRPr="00D513BF">
        <w:rPr>
          <w:rFonts w:ascii="Verdana" w:hAnsi="Verdana"/>
          <w:sz w:val="20"/>
          <w:szCs w:val="20"/>
        </w:rPr>
        <w:br/>
        <w:t>d) o reatamento das relações entre os dois países em 1865;</w:t>
      </w:r>
      <w:r w:rsidRPr="00D513BF">
        <w:rPr>
          <w:rFonts w:ascii="Verdana" w:hAnsi="Verdana"/>
          <w:sz w:val="20"/>
          <w:szCs w:val="20"/>
        </w:rPr>
        <w:br/>
        <w:t>e) todas as respostas combinadas.</w:t>
      </w:r>
    </w:p>
    <w:p w14:paraId="224B3021" w14:textId="77777777" w:rsidR="00465F9E" w:rsidRDefault="00465F9E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0BEC2B04" w14:textId="5166348A" w:rsid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08- </w:t>
      </w:r>
      <w:r w:rsidR="00465F9E">
        <w:rPr>
          <w:rFonts w:ascii="Verdana" w:hAnsi="Verdana"/>
          <w:sz w:val="20"/>
          <w:szCs w:val="20"/>
        </w:rPr>
        <w:t>Associe:</w:t>
      </w:r>
      <w:r w:rsidR="00BC72EB">
        <w:rPr>
          <w:rFonts w:ascii="Verdana" w:hAnsi="Verdana"/>
          <w:sz w:val="20"/>
          <w:szCs w:val="20"/>
        </w:rPr>
        <w:t xml:space="preserve">   1,0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"/>
        <w:gridCol w:w="2410"/>
        <w:gridCol w:w="567"/>
        <w:gridCol w:w="7229"/>
      </w:tblGrid>
      <w:tr w:rsidR="00465F9E" w14:paraId="764E7DA1" w14:textId="77777777" w:rsidTr="00465F9E">
        <w:tc>
          <w:tcPr>
            <w:tcW w:w="567" w:type="dxa"/>
          </w:tcPr>
          <w:p w14:paraId="39AA04E5" w14:textId="4A5713B1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2410" w:type="dxa"/>
          </w:tcPr>
          <w:p w14:paraId="4A8A9BA9" w14:textId="55EED162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Lei do Sexagenário</w:t>
            </w:r>
          </w:p>
        </w:tc>
        <w:tc>
          <w:tcPr>
            <w:tcW w:w="567" w:type="dxa"/>
          </w:tcPr>
          <w:p w14:paraId="42826D66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0ABB514" w14:textId="00AB10A8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7119F9">
              <w:rPr>
                <w:rFonts w:ascii="Verdana" w:hAnsi="Verdana"/>
                <w:sz w:val="20"/>
                <w:szCs w:val="20"/>
              </w:rPr>
              <w:t>oi decretada em 13 de maio de 1888, depois ter sido aprovada no Senado e assinada pela </w:t>
            </w:r>
            <w:hyperlink r:id="rId11" w:history="1">
              <w:r w:rsidRPr="007119F9">
                <w:rPr>
                  <w:rStyle w:val="Hyperlink"/>
                  <w:rFonts w:ascii="Verdana" w:hAnsi="Verdana"/>
                  <w:sz w:val="20"/>
                  <w:szCs w:val="20"/>
                </w:rPr>
                <w:t>princesa Isabel</w:t>
              </w:r>
            </w:hyperlink>
            <w:r w:rsidRPr="007119F9">
              <w:rPr>
                <w:rFonts w:ascii="Verdana" w:hAnsi="Verdana"/>
                <w:sz w:val="20"/>
                <w:szCs w:val="20"/>
              </w:rPr>
              <w:t>. Essa lei decretou a abolição definitiva e imediata da escravatura no Brasil e foi resultado da forte pressão popular sobre o Império.</w:t>
            </w:r>
          </w:p>
        </w:tc>
      </w:tr>
      <w:tr w:rsidR="00465F9E" w14:paraId="4573C409" w14:textId="77777777" w:rsidTr="00465F9E">
        <w:tc>
          <w:tcPr>
            <w:tcW w:w="567" w:type="dxa"/>
          </w:tcPr>
          <w:p w14:paraId="3C3680A0" w14:textId="099B4F9C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2410" w:type="dxa"/>
          </w:tcPr>
          <w:p w14:paraId="11F14CC6" w14:textId="6F818D3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Lei Áurea</w:t>
            </w:r>
          </w:p>
        </w:tc>
        <w:tc>
          <w:tcPr>
            <w:tcW w:w="567" w:type="dxa"/>
          </w:tcPr>
          <w:p w14:paraId="711B08D1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52E1F4E" w14:textId="3B114EFB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7119F9">
              <w:rPr>
                <w:rFonts w:ascii="Verdana" w:hAnsi="Verdana"/>
                <w:sz w:val="20"/>
                <w:szCs w:val="20"/>
              </w:rPr>
              <w:t>stabeleceu medidas para a repressão do tráfico de africanos no Império. Sua promulgação é relacionada, sobretudo, às pressões britânicas sobre o governo brasileiro para a extinção da escravidão no país.</w:t>
            </w:r>
          </w:p>
        </w:tc>
      </w:tr>
      <w:tr w:rsidR="00465F9E" w14:paraId="15181115" w14:textId="77777777" w:rsidTr="00465F9E">
        <w:tc>
          <w:tcPr>
            <w:tcW w:w="567" w:type="dxa"/>
          </w:tcPr>
          <w:p w14:paraId="053458CD" w14:textId="2649D323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2410" w:type="dxa"/>
          </w:tcPr>
          <w:p w14:paraId="443F678C" w14:textId="789DA01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Lei Eusébio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de Queiros</w:t>
            </w:r>
            <w:proofErr w:type="gramEnd"/>
          </w:p>
        </w:tc>
        <w:tc>
          <w:tcPr>
            <w:tcW w:w="567" w:type="dxa"/>
          </w:tcPr>
          <w:p w14:paraId="4F742CBE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6E5486B" w14:textId="2C82A325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</w:t>
            </w:r>
            <w:r w:rsidRPr="007119F9">
              <w:rPr>
                <w:rFonts w:ascii="Verdana" w:hAnsi="Verdana"/>
                <w:sz w:val="20"/>
                <w:szCs w:val="20"/>
              </w:rPr>
              <w:t xml:space="preserve">egalizou o penoso processo de concentração de terras que marcou a história brasileira. Ainda hoje, alguns movimentos populares </w:t>
            </w:r>
            <w:r w:rsidRPr="007119F9">
              <w:rPr>
                <w:rFonts w:ascii="Verdana" w:hAnsi="Verdana"/>
                <w:sz w:val="20"/>
                <w:szCs w:val="20"/>
              </w:rPr>
              <w:lastRenderedPageBreak/>
              <w:t>tentam superar esse arcaico traço de nossa história ao defender uma reforma agrária</w:t>
            </w:r>
          </w:p>
        </w:tc>
      </w:tr>
      <w:tr w:rsidR="00465F9E" w14:paraId="1423BE8C" w14:textId="77777777" w:rsidTr="00465F9E">
        <w:tc>
          <w:tcPr>
            <w:tcW w:w="567" w:type="dxa"/>
          </w:tcPr>
          <w:p w14:paraId="57540ECC" w14:textId="7935B9C8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D</w:t>
            </w:r>
          </w:p>
        </w:tc>
        <w:tc>
          <w:tcPr>
            <w:tcW w:w="2410" w:type="dxa"/>
          </w:tcPr>
          <w:p w14:paraId="4EC87C7A" w14:textId="2EF27A66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Lei do Ventre Livre</w:t>
            </w:r>
          </w:p>
        </w:tc>
        <w:tc>
          <w:tcPr>
            <w:tcW w:w="567" w:type="dxa"/>
          </w:tcPr>
          <w:p w14:paraId="7C5C4263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A6BC9A5" w14:textId="549B44C3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 w:rsidRPr="007119F9">
              <w:rPr>
                <w:rFonts w:ascii="Verdana" w:hAnsi="Verdana"/>
                <w:sz w:val="20"/>
                <w:szCs w:val="20"/>
              </w:rPr>
              <w:t>Essa lei concedia a alforria para os escravos que tivessem mais de 60 anos, mas possuía condições rígidas. Os escravos beneficiados com a libertação deveriam</w:t>
            </w:r>
            <w:r w:rsidRPr="007119F9">
              <w:rPr>
                <w:rFonts w:ascii="Verdana" w:hAnsi="Verdana"/>
                <w:b/>
                <w:bCs/>
                <w:sz w:val="20"/>
                <w:szCs w:val="20"/>
              </w:rPr>
              <w:t> trabalhar por três anos para seus senhores</w:t>
            </w:r>
            <w:r w:rsidRPr="007119F9">
              <w:rPr>
                <w:rFonts w:ascii="Verdana" w:hAnsi="Verdana"/>
                <w:sz w:val="20"/>
                <w:szCs w:val="20"/>
              </w:rPr>
              <w:t> como forma de indenização.</w:t>
            </w:r>
          </w:p>
        </w:tc>
      </w:tr>
      <w:tr w:rsidR="00465F9E" w14:paraId="566AB63F" w14:textId="77777777" w:rsidTr="00465F9E">
        <w:tc>
          <w:tcPr>
            <w:tcW w:w="567" w:type="dxa"/>
          </w:tcPr>
          <w:p w14:paraId="3A51C139" w14:textId="1D252638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410" w:type="dxa"/>
          </w:tcPr>
          <w:p w14:paraId="6D6E82AB" w14:textId="6E366BCC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Lei de Terras</w:t>
            </w:r>
          </w:p>
        </w:tc>
        <w:tc>
          <w:tcPr>
            <w:tcW w:w="567" w:type="dxa"/>
          </w:tcPr>
          <w:p w14:paraId="4397C797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0D0D43B" w14:textId="7B35CBD2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 w:rsidRPr="007119F9">
              <w:rPr>
                <w:rFonts w:ascii="Verdana" w:hAnsi="Verdana"/>
                <w:sz w:val="20"/>
                <w:szCs w:val="20"/>
              </w:rPr>
              <w:t>Estabeleceu medidas para a repressão do tráfico de africanos no Império. Sua promulgação é relacionada, sobretudo, às pressões britânicas sobre o governo brasileiro para a extinção da escravidão no país.</w:t>
            </w:r>
          </w:p>
        </w:tc>
      </w:tr>
    </w:tbl>
    <w:p w14:paraId="3D1F95C0" w14:textId="77777777" w:rsidR="00465F9E" w:rsidRPr="00D513BF" w:rsidRDefault="00465F9E" w:rsidP="00F34D9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870CC02" w14:textId="3B9C009A" w:rsidR="004A3352" w:rsidRPr="004A3352" w:rsidRDefault="007119F9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09- </w:t>
      </w:r>
      <w:r w:rsidR="004A3352" w:rsidRPr="004A3352">
        <w:rPr>
          <w:rFonts w:ascii="Verdana" w:hAnsi="Verdana"/>
          <w:sz w:val="20"/>
          <w:szCs w:val="20"/>
        </w:rPr>
        <w:t>(UFES) A Guerra do Paraguai, considerada o maior conflito armado da história da América do Sul, além de provocar a morte de inúmeros paraguaios, brasileiros, argentinos e uruguaios, foi a causa do desequilíbrio econômico e do aumento substancial das dívidas externas dos países envolvidos no conflito. Apesar disso, a guerra foi um "bom negócio" para:</w:t>
      </w:r>
      <w:r w:rsidR="00BC72EB">
        <w:rPr>
          <w:rFonts w:ascii="Verdana" w:hAnsi="Verdana"/>
          <w:sz w:val="20"/>
          <w:szCs w:val="20"/>
        </w:rPr>
        <w:t xml:space="preserve">   0,25</w:t>
      </w:r>
    </w:p>
    <w:p w14:paraId="5A4F4869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a) os paraguaios, que conquistaram territórios estratégicos para seu desenvolvimento na Bacia do Prata;</w:t>
      </w:r>
    </w:p>
    <w:p w14:paraId="2E99BC43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b) os argentinos, que conquistaram vastas porções do território paraguaio e anexaram áreas do Rio Grande do Sul;</w:t>
      </w:r>
    </w:p>
    <w:p w14:paraId="5AD82131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c) os norte-americanos, que aumentaram a sua exportação de açúcar e trigo para o Uruguai e para o Brasil;</w:t>
      </w:r>
    </w:p>
    <w:p w14:paraId="307E4040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d) os brasileiros, que não tiveram grandes prejuízos com a guerra e conquistaram parte do território argentino e paraguaio;</w:t>
      </w:r>
    </w:p>
    <w:p w14:paraId="76739CDB" w14:textId="32CABBA2" w:rsid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e) os ingleses, que emprestaram milhões de libras para os países da Tríplice Aliança, com juros altos, através de seus bancos.</w:t>
      </w:r>
    </w:p>
    <w:p w14:paraId="3F45623F" w14:textId="5314EAB8" w:rsidR="004F106A" w:rsidRDefault="00F34D99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303502" wp14:editId="64D415D2">
            <wp:simplePos x="0" y="0"/>
            <wp:positionH relativeFrom="column">
              <wp:posOffset>-683895</wp:posOffset>
            </wp:positionH>
            <wp:positionV relativeFrom="paragraph">
              <wp:posOffset>301625</wp:posOffset>
            </wp:positionV>
            <wp:extent cx="3957955" cy="3657600"/>
            <wp:effectExtent l="0" t="0" r="4445" b="0"/>
            <wp:wrapSquare wrapText="bothSides"/>
            <wp:docPr id="4" name="Imagem 4" descr="Qual a história dos Estados Unidos? - da colonização à independê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l a história dos Estados Unidos? - da colonização à independênc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06A" w:rsidRPr="004F106A">
        <w:rPr>
          <w:rFonts w:ascii="Verdana" w:hAnsi="Verdana"/>
          <w:sz w:val="20"/>
          <w:szCs w:val="20"/>
        </w:rPr>
        <w:t xml:space="preserve">11- Observe o quadro a seguir que representa a chegada de um grupo de colonizadores aos Estados Unidos. </w:t>
      </w:r>
      <w:r w:rsidR="00BC72EB">
        <w:rPr>
          <w:rFonts w:ascii="Verdana" w:hAnsi="Verdana"/>
          <w:sz w:val="20"/>
          <w:szCs w:val="20"/>
        </w:rPr>
        <w:t xml:space="preserve">   0,25</w:t>
      </w:r>
    </w:p>
    <w:p w14:paraId="61B9835F" w14:textId="01D7E911" w:rsidR="004F106A" w:rsidRPr="00F34D99" w:rsidRDefault="004F106A" w:rsidP="00F34D99">
      <w:pPr>
        <w:spacing w:after="0" w:line="240" w:lineRule="auto"/>
        <w:ind w:left="-1077"/>
        <w:rPr>
          <w:rFonts w:ascii="Verdana" w:hAnsi="Verdana"/>
          <w:b/>
          <w:bCs/>
          <w:sz w:val="20"/>
          <w:szCs w:val="20"/>
        </w:rPr>
      </w:pPr>
      <w:r w:rsidRPr="00F34D99">
        <w:rPr>
          <w:rFonts w:ascii="Verdana" w:hAnsi="Verdana"/>
          <w:b/>
          <w:bCs/>
          <w:sz w:val="20"/>
          <w:szCs w:val="20"/>
        </w:rPr>
        <w:t xml:space="preserve">A chegada dos peregrinos a Massachusetts, óleo sobre tela de </w:t>
      </w:r>
      <w:proofErr w:type="spellStart"/>
      <w:r w:rsidRPr="00F34D99">
        <w:rPr>
          <w:rFonts w:ascii="Verdana" w:hAnsi="Verdana"/>
          <w:b/>
          <w:bCs/>
          <w:sz w:val="20"/>
          <w:szCs w:val="20"/>
        </w:rPr>
        <w:t>Antonio</w:t>
      </w:r>
      <w:proofErr w:type="spellEnd"/>
      <w:r w:rsidRPr="00F34D99">
        <w:rPr>
          <w:rFonts w:ascii="Verdana" w:hAnsi="Verdana"/>
          <w:b/>
          <w:bCs/>
          <w:sz w:val="20"/>
          <w:szCs w:val="20"/>
        </w:rPr>
        <w:t xml:space="preserve"> Gisbert, 1864. Com base na análise do quadro e em nossos estudos sobre a ocupação das colônias do norte, da “Nova Inglaterra”, podemos concluir que a referida ocupação foi feita pelos peregrinos que </w:t>
      </w:r>
    </w:p>
    <w:p w14:paraId="0AF1D477" w14:textId="77777777" w:rsidR="004F106A" w:rsidRDefault="004F106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F106A">
        <w:rPr>
          <w:rFonts w:ascii="Verdana" w:hAnsi="Verdana"/>
          <w:sz w:val="20"/>
          <w:szCs w:val="20"/>
        </w:rPr>
        <w:t>(A) buscavam exclusivamente bens materiais como ouro, outros metais preciosos e terras cultiváveis.</w:t>
      </w:r>
    </w:p>
    <w:p w14:paraId="0263C9C6" w14:textId="1270C2E7" w:rsidR="004F106A" w:rsidRDefault="004F106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F106A">
        <w:rPr>
          <w:rFonts w:ascii="Verdana" w:hAnsi="Verdana"/>
          <w:sz w:val="20"/>
          <w:szCs w:val="20"/>
        </w:rPr>
        <w:t xml:space="preserve"> (B) fugiam da perseguição religiosa na Inglaterra e foram para a América com a intenção de povoar. </w:t>
      </w:r>
    </w:p>
    <w:p w14:paraId="45366884" w14:textId="77777777" w:rsidR="004F106A" w:rsidRDefault="004F106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F106A">
        <w:rPr>
          <w:rFonts w:ascii="Verdana" w:hAnsi="Verdana"/>
          <w:sz w:val="20"/>
          <w:szCs w:val="20"/>
        </w:rPr>
        <w:t xml:space="preserve">(C) eram na maioria homens viajando sozinhos em busca de riqueza e glória em batalha. </w:t>
      </w:r>
    </w:p>
    <w:p w14:paraId="268D0341" w14:textId="652D5569" w:rsidR="004F106A" w:rsidRDefault="004F106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F106A">
        <w:rPr>
          <w:rFonts w:ascii="Verdana" w:hAnsi="Verdana"/>
          <w:sz w:val="20"/>
          <w:szCs w:val="20"/>
        </w:rPr>
        <w:t>(D) partiam para as colônias, enviados pelo papa, para catequizar os índios no catolicismo.</w:t>
      </w:r>
    </w:p>
    <w:p w14:paraId="17328D77" w14:textId="4B1B7C88" w:rsidR="004F106A" w:rsidRDefault="004F106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(E) Pertenciam a classe burguesa da Inglaterra e tinham a intenção de investir no Novo Mundo, comercializando com os indígenas locais.</w:t>
      </w:r>
    </w:p>
    <w:p w14:paraId="3AD41BEF" w14:textId="77777777" w:rsidR="004F106A" w:rsidRPr="004A3352" w:rsidRDefault="004F106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16BD2585" w14:textId="3DEC7EBD" w:rsidR="00D62933" w:rsidRPr="00655212" w:rsidRDefault="0065521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2C33D8" wp14:editId="65D1DFF0">
            <wp:simplePos x="0" y="0"/>
            <wp:positionH relativeFrom="column">
              <wp:posOffset>-683895</wp:posOffset>
            </wp:positionH>
            <wp:positionV relativeFrom="paragraph">
              <wp:posOffset>2540</wp:posOffset>
            </wp:positionV>
            <wp:extent cx="2592070" cy="2819400"/>
            <wp:effectExtent l="0" t="0" r="0" b="0"/>
            <wp:wrapSquare wrapText="bothSides"/>
            <wp:docPr id="3" name="Imagem 3" descr="Exercícios de História - ENEM 2014 - Na charge, ide... - Stoo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s de História - ENEM 2014 - Na charge, ide... - Stood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212">
        <w:rPr>
          <w:rFonts w:ascii="Verdana" w:hAnsi="Verdana"/>
          <w:sz w:val="20"/>
          <w:szCs w:val="20"/>
        </w:rPr>
        <w:t>1</w:t>
      </w:r>
      <w:r w:rsidR="004F106A">
        <w:rPr>
          <w:rFonts w:ascii="Verdana" w:hAnsi="Verdana"/>
          <w:sz w:val="20"/>
          <w:szCs w:val="20"/>
        </w:rPr>
        <w:t>2</w:t>
      </w:r>
      <w:r w:rsidRPr="00655212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Analisando </w:t>
      </w:r>
      <w:r w:rsidR="00D02C0B">
        <w:rPr>
          <w:rFonts w:ascii="Verdana" w:hAnsi="Verdana"/>
          <w:sz w:val="20"/>
          <w:szCs w:val="20"/>
        </w:rPr>
        <w:t>a figura ao lado de um escravo que incorporou o exército brasileiro, a melhor interpretação seria:</w:t>
      </w:r>
      <w:r w:rsidR="00D62933" w:rsidRPr="00655212">
        <w:rPr>
          <w:rFonts w:ascii="Verdana" w:hAnsi="Verdana"/>
          <w:sz w:val="20"/>
          <w:szCs w:val="20"/>
        </w:rPr>
        <w:tab/>
      </w:r>
      <w:r w:rsidR="00BC72EB">
        <w:rPr>
          <w:rFonts w:ascii="Verdana" w:hAnsi="Verdana"/>
          <w:sz w:val="20"/>
          <w:szCs w:val="20"/>
        </w:rPr>
        <w:t xml:space="preserve"> 0,5</w:t>
      </w:r>
    </w:p>
    <w:p w14:paraId="71551E7A" w14:textId="0CBE0ED5" w:rsidR="00D62933" w:rsidRDefault="00D02C0B" w:rsidP="00F34D99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escravos africanos sobreviventes da Guerra do Paraguai, apesar de serem reconhecidos como heróis e serem bem recompensados financeiramente, tiveram que por muito tempo, viverem a realidade da escravidão´</w:t>
      </w:r>
    </w:p>
    <w:p w14:paraId="724BB42D" w14:textId="026F936D" w:rsidR="00D02C0B" w:rsidRDefault="00E63209" w:rsidP="00F34D99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gravura ao lado não corresponde </w:t>
      </w:r>
      <w:proofErr w:type="spellStart"/>
      <w:r>
        <w:rPr>
          <w:rFonts w:ascii="Verdana" w:hAnsi="Verdana"/>
          <w:sz w:val="20"/>
          <w:szCs w:val="20"/>
        </w:rPr>
        <w:t>a</w:t>
      </w:r>
      <w:proofErr w:type="spellEnd"/>
      <w:r>
        <w:rPr>
          <w:rFonts w:ascii="Verdana" w:hAnsi="Verdana"/>
          <w:sz w:val="20"/>
          <w:szCs w:val="20"/>
        </w:rPr>
        <w:t xml:space="preserve"> verdade histórica, pois, os afrodescendentes dessa época já haviam sido beneficiados pela Lei Áurea.</w:t>
      </w:r>
    </w:p>
    <w:p w14:paraId="0D775BFF" w14:textId="68ADF04A" w:rsidR="00E63209" w:rsidRDefault="00E63209" w:rsidP="00F34D99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manutenção da escravatura no Brasil depois da Guerra do Paraguai até 1888, fez parte de um dos eventos responsáveis pela crise da monarquia.</w:t>
      </w:r>
    </w:p>
    <w:p w14:paraId="73E82C08" w14:textId="01265103" w:rsidR="00E63209" w:rsidRPr="00D02C0B" w:rsidRDefault="00E63209" w:rsidP="00F34D99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“tronco horrível de realidade” corresponde ao fracasso do exército brasileiro que, embora tivesse saído vencedor diante dos paraguaios, perdera 80% de seus homens, incluindo escravos armados.</w:t>
      </w:r>
    </w:p>
    <w:p w14:paraId="4B7ED7C6" w14:textId="77777777" w:rsidR="00F34D99" w:rsidRDefault="00F34D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BC98CF8" w14:textId="77777777" w:rsidR="00F34D99" w:rsidRDefault="00F34D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4DCA561" w14:textId="77777777" w:rsidR="00F34D99" w:rsidRDefault="00F34D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CA218F9" w14:textId="1E31BAEC" w:rsidR="00E663E9" w:rsidRPr="00E663E9" w:rsidRDefault="004F106A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F106A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3</w:t>
      </w:r>
      <w:r w:rsidRPr="004F106A">
        <w:rPr>
          <w:rFonts w:ascii="Verdana" w:hAnsi="Verdana"/>
          <w:sz w:val="20"/>
          <w:szCs w:val="20"/>
        </w:rPr>
        <w:t xml:space="preserve">- </w:t>
      </w:r>
      <w:r w:rsidR="00E663E9" w:rsidRPr="00E663E9">
        <w:rPr>
          <w:rFonts w:ascii="Verdana" w:hAnsi="Verdana"/>
          <w:sz w:val="20"/>
          <w:szCs w:val="20"/>
        </w:rPr>
        <w:t>Considerando aspectos da história norte-americana,</w:t>
      </w:r>
      <w:r w:rsidR="00E663E9" w:rsidRPr="00E663E9">
        <w:rPr>
          <w:rFonts w:ascii="Verdana" w:hAnsi="Verdana"/>
          <w:b/>
          <w:bCs/>
          <w:sz w:val="20"/>
          <w:szCs w:val="20"/>
        </w:rPr>
        <w:t> SÓ NÃO É POSSÍVEL AFIRMAR </w:t>
      </w:r>
      <w:r w:rsidR="00E663E9" w:rsidRPr="00E663E9">
        <w:rPr>
          <w:rFonts w:ascii="Verdana" w:hAnsi="Verdana"/>
          <w:sz w:val="20"/>
          <w:szCs w:val="20"/>
        </w:rPr>
        <w:t>que os Estado Unidos 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61A4C7B2" w14:textId="77777777" w:rsidR="00E663E9" w:rsidRP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63E9">
        <w:rPr>
          <w:rFonts w:ascii="Verdana" w:hAnsi="Verdana"/>
          <w:b/>
          <w:bCs/>
          <w:sz w:val="20"/>
          <w:szCs w:val="20"/>
        </w:rPr>
        <w:t>a) </w:t>
      </w:r>
      <w:r w:rsidRPr="00E663E9">
        <w:rPr>
          <w:rFonts w:ascii="Verdana" w:hAnsi="Verdana"/>
          <w:sz w:val="20"/>
          <w:szCs w:val="20"/>
        </w:rPr>
        <w:t>expandiram seu território à custa de compras e guerras. </w:t>
      </w:r>
    </w:p>
    <w:p w14:paraId="098DDD32" w14:textId="77777777" w:rsidR="00E663E9" w:rsidRP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63E9">
        <w:rPr>
          <w:rFonts w:ascii="Verdana" w:hAnsi="Verdana"/>
          <w:b/>
          <w:bCs/>
          <w:sz w:val="20"/>
          <w:szCs w:val="20"/>
        </w:rPr>
        <w:t>b) </w:t>
      </w:r>
      <w:r w:rsidRPr="00E663E9">
        <w:rPr>
          <w:rFonts w:ascii="Verdana" w:hAnsi="Verdana"/>
          <w:sz w:val="20"/>
          <w:szCs w:val="20"/>
        </w:rPr>
        <w:t>exerceram o papel de liderança internacional desde a independência.</w:t>
      </w:r>
      <w:r w:rsidRPr="00E663E9">
        <w:rPr>
          <w:rFonts w:ascii="Verdana" w:hAnsi="Verdana"/>
          <w:b/>
          <w:bCs/>
          <w:sz w:val="20"/>
          <w:szCs w:val="20"/>
        </w:rPr>
        <w:t> </w:t>
      </w:r>
    </w:p>
    <w:p w14:paraId="226B7F5D" w14:textId="77777777" w:rsidR="00E663E9" w:rsidRP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63E9">
        <w:rPr>
          <w:rFonts w:ascii="Verdana" w:hAnsi="Verdana"/>
          <w:b/>
          <w:bCs/>
          <w:sz w:val="20"/>
          <w:szCs w:val="20"/>
        </w:rPr>
        <w:t>c) </w:t>
      </w:r>
      <w:r w:rsidRPr="00E663E9">
        <w:rPr>
          <w:rFonts w:ascii="Verdana" w:hAnsi="Verdana"/>
          <w:sz w:val="20"/>
          <w:szCs w:val="20"/>
        </w:rPr>
        <w:t>foram capazes de integrar milhares de imigrantes à sua vida política. </w:t>
      </w:r>
    </w:p>
    <w:p w14:paraId="1101CF1B" w14:textId="77777777" w:rsidR="00E663E9" w:rsidRP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63E9">
        <w:rPr>
          <w:rFonts w:ascii="Verdana" w:hAnsi="Verdana"/>
          <w:b/>
          <w:bCs/>
          <w:sz w:val="20"/>
          <w:szCs w:val="20"/>
        </w:rPr>
        <w:t>d) </w:t>
      </w:r>
      <w:r w:rsidRPr="00E663E9">
        <w:rPr>
          <w:rFonts w:ascii="Verdana" w:hAnsi="Verdana"/>
          <w:sz w:val="20"/>
          <w:szCs w:val="20"/>
        </w:rPr>
        <w:t>foram palco de intensos conflitos raciais.</w:t>
      </w:r>
    </w:p>
    <w:p w14:paraId="697F333E" w14:textId="5AE894A1" w:rsidR="00D62933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desrespeitaram as culturas indígenas locais.</w:t>
      </w:r>
    </w:p>
    <w:p w14:paraId="279ABB68" w14:textId="1B0B9E4A" w:rsid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14- Analisando as alternativas abaixo</w:t>
      </w:r>
      <w:r w:rsidR="00673FD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complete as lacunas </w:t>
      </w:r>
      <w:r w:rsidR="00673FDA">
        <w:rPr>
          <w:rFonts w:ascii="Verdana" w:hAnsi="Verdana"/>
          <w:sz w:val="20"/>
          <w:szCs w:val="20"/>
        </w:rPr>
        <w:t xml:space="preserve">com </w:t>
      </w:r>
      <w:r w:rsidR="00673FDA" w:rsidRPr="00673FDA">
        <w:rPr>
          <w:rFonts w:ascii="Verdana" w:hAnsi="Verdana"/>
          <w:b/>
          <w:bCs/>
          <w:i/>
          <w:iCs/>
          <w:sz w:val="20"/>
          <w:szCs w:val="20"/>
          <w:u w:val="single"/>
        </w:rPr>
        <w:t>“CN”</w:t>
      </w:r>
      <w:r w:rsidR="00673FDA">
        <w:rPr>
          <w:rFonts w:ascii="Verdana" w:hAnsi="Verdana"/>
          <w:sz w:val="20"/>
          <w:szCs w:val="20"/>
        </w:rPr>
        <w:t xml:space="preserve"> para as alternativas correspondentes </w:t>
      </w:r>
      <w:proofErr w:type="gramStart"/>
      <w:r w:rsidR="00673FDA">
        <w:rPr>
          <w:rFonts w:ascii="Verdana" w:hAnsi="Verdana"/>
          <w:sz w:val="20"/>
          <w:szCs w:val="20"/>
        </w:rPr>
        <w:t>ás</w:t>
      </w:r>
      <w:proofErr w:type="gramEnd"/>
      <w:r w:rsidR="00673FDA">
        <w:rPr>
          <w:rFonts w:ascii="Verdana" w:hAnsi="Verdana"/>
          <w:sz w:val="20"/>
          <w:szCs w:val="20"/>
        </w:rPr>
        <w:t xml:space="preserve"> Colônias do Norte e </w:t>
      </w:r>
      <w:r w:rsidR="00673FDA" w:rsidRPr="00673FDA">
        <w:rPr>
          <w:rFonts w:ascii="Verdana" w:hAnsi="Verdana"/>
          <w:b/>
          <w:bCs/>
          <w:i/>
          <w:iCs/>
          <w:sz w:val="20"/>
          <w:szCs w:val="20"/>
          <w:u w:val="single"/>
        </w:rPr>
        <w:t>“CS”</w:t>
      </w:r>
      <w:r w:rsidR="00673FDA">
        <w:rPr>
          <w:rFonts w:ascii="Verdana" w:hAnsi="Verdana"/>
          <w:sz w:val="20"/>
          <w:szCs w:val="20"/>
        </w:rPr>
        <w:t xml:space="preserve"> para as Colônias do Sul.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418"/>
        <w:gridCol w:w="8930"/>
      </w:tblGrid>
      <w:tr w:rsidR="00673FDA" w14:paraId="1A5E48BA" w14:textId="77777777" w:rsidTr="000E0799">
        <w:tc>
          <w:tcPr>
            <w:tcW w:w="420" w:type="dxa"/>
          </w:tcPr>
          <w:p w14:paraId="153898E6" w14:textId="6E8CFB94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374E71B8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0411B7BD" w14:textId="7E3E22C6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Eram escravagistas</w:t>
            </w:r>
            <w:r w:rsidR="000E0799">
              <w:rPr>
                <w:rFonts w:ascii="Verdana" w:hAnsi="Verdana"/>
                <w:sz w:val="20"/>
                <w:szCs w:val="20"/>
              </w:rPr>
              <w:t xml:space="preserve"> e monocultores, utilizando grandes propriedades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576D623B" w14:textId="24CA6858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51FC524D" w14:textId="77777777" w:rsidTr="000E0799">
        <w:tc>
          <w:tcPr>
            <w:tcW w:w="420" w:type="dxa"/>
          </w:tcPr>
          <w:p w14:paraId="2E18D280" w14:textId="319C45D1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0950448E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5C712973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Desenvolveram um importante parque industrial voltado para pesca.</w:t>
            </w:r>
          </w:p>
          <w:p w14:paraId="6762BD12" w14:textId="36C270E1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7BDAA651" w14:textId="77777777" w:rsidTr="000E0799">
        <w:tc>
          <w:tcPr>
            <w:tcW w:w="420" w:type="dxa"/>
          </w:tcPr>
          <w:p w14:paraId="57EE29FD" w14:textId="532F2FE0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66CDBCD4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25061D49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maioria dos trabalhadores nessas colônias eram assalariados.</w:t>
            </w:r>
          </w:p>
          <w:p w14:paraId="7DD1FCC2" w14:textId="7C500614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4610667C" w14:textId="77777777" w:rsidTr="000E0799">
        <w:tc>
          <w:tcPr>
            <w:tcW w:w="420" w:type="dxa"/>
          </w:tcPr>
          <w:p w14:paraId="0E2B7DC5" w14:textId="544C931E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418" w:type="dxa"/>
          </w:tcPr>
          <w:p w14:paraId="3584AA49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30615F95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Utilizaram o modelo de produção denominado Plantation.</w:t>
            </w:r>
          </w:p>
          <w:p w14:paraId="3D858371" w14:textId="769E4246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00143C2F" w14:textId="77777777" w:rsidTr="000E0799">
        <w:tc>
          <w:tcPr>
            <w:tcW w:w="420" w:type="dxa"/>
          </w:tcPr>
          <w:p w14:paraId="7E38741E" w14:textId="18B4D193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18" w:type="dxa"/>
          </w:tcPr>
          <w:p w14:paraId="56CB9144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6D470DE8" w14:textId="77777777" w:rsidR="00673FDA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Depois de cinco anos de conflito, esses colonos foram os vencedores.</w:t>
            </w:r>
          </w:p>
          <w:p w14:paraId="5A90CCF8" w14:textId="229C9D30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24218E2" w14:textId="30C909E1" w:rsidR="00673FDA" w:rsidRDefault="00673FDA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D68A598" w14:textId="16986B9B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Pr="000E0799">
        <w:rPr>
          <w:rFonts w:ascii="Verdana" w:hAnsi="Verdana"/>
          <w:sz w:val="20"/>
          <w:szCs w:val="20"/>
        </w:rPr>
        <w:t>A entrada de imigrantes europeus no Brasil integrou uma política chamada de </w:t>
      </w:r>
      <w:r w:rsidRPr="000E0799">
        <w:rPr>
          <w:rFonts w:ascii="Verdana" w:hAnsi="Verdana"/>
          <w:b/>
          <w:bCs/>
          <w:sz w:val="20"/>
          <w:szCs w:val="20"/>
        </w:rPr>
        <w:t>engenharia social. </w:t>
      </w:r>
      <w:r w:rsidRPr="000E0799">
        <w:rPr>
          <w:rFonts w:ascii="Verdana" w:hAnsi="Verdana"/>
          <w:sz w:val="20"/>
          <w:szCs w:val="20"/>
        </w:rPr>
        <w:t>Sobre isso é </w:t>
      </w:r>
      <w:r w:rsidRPr="000E0799">
        <w:rPr>
          <w:rFonts w:ascii="Verdana" w:hAnsi="Verdana"/>
          <w:b/>
          <w:bCs/>
          <w:sz w:val="20"/>
          <w:szCs w:val="20"/>
          <w:u w:val="single"/>
        </w:rPr>
        <w:t>correto</w:t>
      </w:r>
      <w:r w:rsidRPr="000E0799">
        <w:rPr>
          <w:rFonts w:ascii="Verdana" w:hAnsi="Verdana"/>
          <w:sz w:val="20"/>
          <w:szCs w:val="20"/>
        </w:rPr>
        <w:t> dizer que: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32A5AB76" w14:textId="77777777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a) Tentando copiar a sociedade europeia, os intelectuais brasileiros visavam ao embranquecimento do povo brasileiro através do processo de imigração.</w:t>
      </w:r>
    </w:p>
    <w:p w14:paraId="18AF8F6F" w14:textId="77777777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b) A engenharia social fez parte da política de aumentar o processo de miscigenação do Brasil, valorizando a identidade afrodescendente da população.</w:t>
      </w:r>
    </w:p>
    <w:p w14:paraId="221E4654" w14:textId="77777777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c) A engenharia social foi uma estratégia de copiar a sociedade africana como o modelo ideal de civilização para a sociedade brasileira.</w:t>
      </w:r>
    </w:p>
    <w:p w14:paraId="7E7CD669" w14:textId="49C16307" w:rsid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d) O objetivo de muitos intelectuais era de romper com o estereótipo</w:t>
      </w:r>
      <w:r>
        <w:rPr>
          <w:rFonts w:ascii="Verdana" w:hAnsi="Verdana"/>
          <w:sz w:val="20"/>
          <w:szCs w:val="20"/>
        </w:rPr>
        <w:t>, pois, no</w:t>
      </w:r>
      <w:r w:rsidRPr="000E0799">
        <w:rPr>
          <w:rFonts w:ascii="Verdana" w:hAnsi="Verdana"/>
          <w:sz w:val="20"/>
          <w:szCs w:val="20"/>
        </w:rPr>
        <w:t xml:space="preserve"> Brasil só havia escravos, índios e mulatos.</w:t>
      </w:r>
    </w:p>
    <w:p w14:paraId="1B00ECF8" w14:textId="7C697104" w:rsid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 engenharia social foi um plano </w:t>
      </w:r>
      <w:proofErr w:type="gramStart"/>
      <w:r>
        <w:rPr>
          <w:rFonts w:ascii="Verdana" w:hAnsi="Verdana"/>
          <w:sz w:val="20"/>
          <w:szCs w:val="20"/>
        </w:rPr>
        <w:t>dos abolicionista</w:t>
      </w:r>
      <w:proofErr w:type="gramEnd"/>
      <w:r>
        <w:rPr>
          <w:rFonts w:ascii="Verdana" w:hAnsi="Verdana"/>
          <w:sz w:val="20"/>
          <w:szCs w:val="20"/>
        </w:rPr>
        <w:t xml:space="preserve"> brasileiros que visava ampliar cotas para negros recém libertos nas Universidades</w:t>
      </w:r>
      <w:r w:rsidR="00B66FEC">
        <w:rPr>
          <w:rFonts w:ascii="Verdana" w:hAnsi="Verdana"/>
          <w:sz w:val="20"/>
          <w:szCs w:val="20"/>
        </w:rPr>
        <w:t>.</w:t>
      </w:r>
    </w:p>
    <w:p w14:paraId="280B15C2" w14:textId="2190D6BF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16- </w:t>
      </w:r>
      <w:r w:rsidRPr="00B66FEC">
        <w:rPr>
          <w:rFonts w:ascii="Verdana" w:hAnsi="Verdana"/>
          <w:b/>
          <w:bCs/>
          <w:sz w:val="20"/>
          <w:szCs w:val="20"/>
        </w:rPr>
        <w:t>FUVEST 2005 - Transferência</w:t>
      </w:r>
      <w:r w:rsidRPr="00B66FEC">
        <w:rPr>
          <w:rFonts w:ascii="Verdana" w:hAnsi="Verdana"/>
          <w:sz w:val="20"/>
          <w:szCs w:val="20"/>
        </w:rPr>
        <w:t xml:space="preserve"> – Nos Estados Unidos da primeira metade do século XIX, ganhou força a noção de que os norte-americanos eram um povo eleito, com uma missão especial a cumprir. A esta </w:t>
      </w:r>
      <w:proofErr w:type="spellStart"/>
      <w:r w:rsidRPr="00B66FEC">
        <w:rPr>
          <w:rFonts w:ascii="Verdana" w:hAnsi="Verdana"/>
          <w:sz w:val="20"/>
          <w:szCs w:val="20"/>
        </w:rPr>
        <w:t>idéia</w:t>
      </w:r>
      <w:proofErr w:type="spellEnd"/>
      <w:r w:rsidRPr="00B66FEC">
        <w:rPr>
          <w:rFonts w:ascii="Verdana" w:hAnsi="Verdana"/>
          <w:sz w:val="20"/>
          <w:szCs w:val="20"/>
        </w:rPr>
        <w:t xml:space="preserve"> deu-se o nome de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4C4E7497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 xml:space="preserve">a) Bill </w:t>
      </w:r>
      <w:proofErr w:type="spellStart"/>
      <w:r w:rsidRPr="00B66FEC">
        <w:rPr>
          <w:rFonts w:ascii="Verdana" w:hAnsi="Verdana"/>
          <w:sz w:val="20"/>
          <w:szCs w:val="20"/>
        </w:rPr>
        <w:t>of</w:t>
      </w:r>
      <w:proofErr w:type="spellEnd"/>
      <w:r w:rsidRPr="00B66FEC">
        <w:rPr>
          <w:rFonts w:ascii="Verdana" w:hAnsi="Verdana"/>
          <w:sz w:val="20"/>
          <w:szCs w:val="20"/>
        </w:rPr>
        <w:t xml:space="preserve"> </w:t>
      </w:r>
      <w:proofErr w:type="spellStart"/>
      <w:r w:rsidRPr="00B66FEC">
        <w:rPr>
          <w:rFonts w:ascii="Verdana" w:hAnsi="Verdana"/>
          <w:sz w:val="20"/>
          <w:szCs w:val="20"/>
        </w:rPr>
        <w:t>Rights</w:t>
      </w:r>
      <w:proofErr w:type="spellEnd"/>
      <w:r w:rsidRPr="00B66FEC">
        <w:rPr>
          <w:rFonts w:ascii="Verdana" w:hAnsi="Verdana"/>
          <w:sz w:val="20"/>
          <w:szCs w:val="20"/>
        </w:rPr>
        <w:t>.</w:t>
      </w:r>
    </w:p>
    <w:p w14:paraId="78DB98C6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b) Destino Manifesto.</w:t>
      </w:r>
    </w:p>
    <w:p w14:paraId="1B80CE8E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c) América para os Americanos.</w:t>
      </w:r>
    </w:p>
    <w:p w14:paraId="3780E358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d) Big Stick.</w:t>
      </w:r>
    </w:p>
    <w:p w14:paraId="669E84ED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e) A Conquista do Oeste.</w:t>
      </w:r>
    </w:p>
    <w:p w14:paraId="19A5BA58" w14:textId="09EB5FCA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17- </w:t>
      </w:r>
      <w:r w:rsidRPr="00B66FEC">
        <w:rPr>
          <w:rFonts w:ascii="Verdana" w:hAnsi="Verdana"/>
          <w:sz w:val="20"/>
          <w:szCs w:val="20"/>
        </w:rPr>
        <w:t>Em relação à condição do negro na sociedade brasileira, é correto afirmar que: 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p w14:paraId="05EA8E1A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lastRenderedPageBreak/>
        <w:t>a)</w:t>
      </w:r>
      <w:r w:rsidRPr="00B66FEC">
        <w:rPr>
          <w:rFonts w:ascii="Verdana" w:hAnsi="Verdana"/>
          <w:sz w:val="20"/>
          <w:szCs w:val="20"/>
        </w:rPr>
        <w:t> a abolição representou uma perda total da mão-de-obra pelos antigos senhores. </w:t>
      </w:r>
    </w:p>
    <w:p w14:paraId="125A1D8A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b)</w:t>
      </w:r>
      <w:r w:rsidRPr="00B66FEC">
        <w:rPr>
          <w:rFonts w:ascii="Verdana" w:hAnsi="Verdana"/>
          <w:sz w:val="20"/>
          <w:szCs w:val="20"/>
        </w:rPr>
        <w:t> o fim da escravidão possibilitou ao negro liberto a integração no mercado de trabalho e o livre acesso à terra. </w:t>
      </w:r>
    </w:p>
    <w:p w14:paraId="262C0369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c)</w:t>
      </w:r>
      <w:r w:rsidRPr="00B66FEC">
        <w:rPr>
          <w:rFonts w:ascii="Verdana" w:hAnsi="Verdana"/>
          <w:sz w:val="20"/>
          <w:szCs w:val="20"/>
        </w:rPr>
        <w:t xml:space="preserve"> D. Pedro e os políticos monarquistas tinham como objetivo principal promover a integração do </w:t>
      </w:r>
      <w:proofErr w:type="spellStart"/>
      <w:r w:rsidRPr="00B66FEC">
        <w:rPr>
          <w:rFonts w:ascii="Verdana" w:hAnsi="Verdana"/>
          <w:sz w:val="20"/>
          <w:szCs w:val="20"/>
        </w:rPr>
        <w:t>ex-escravo</w:t>
      </w:r>
      <w:proofErr w:type="spellEnd"/>
      <w:r w:rsidRPr="00B66FEC">
        <w:rPr>
          <w:rFonts w:ascii="Verdana" w:hAnsi="Verdana"/>
          <w:sz w:val="20"/>
          <w:szCs w:val="20"/>
        </w:rPr>
        <w:t xml:space="preserve"> na sociedade, garantindo-lhe os direitos de cidadania. </w:t>
      </w:r>
    </w:p>
    <w:p w14:paraId="018BA98A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d)</w:t>
      </w:r>
      <w:r w:rsidRPr="00B66FEC">
        <w:rPr>
          <w:rFonts w:ascii="Verdana" w:hAnsi="Verdana"/>
          <w:sz w:val="20"/>
          <w:szCs w:val="20"/>
        </w:rPr>
        <w:t> a diferença entre o processo abolicionista ocorrido nos Estados Unidos da América e o ocorrido no Brasil foi a ausência de preconceito racial em nosso país. </w:t>
      </w:r>
    </w:p>
    <w:p w14:paraId="65F3D72A" w14:textId="7E9FC093" w:rsid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e) o negro livre permaneceu à margem do universo cultural estabelecido por uma sociedade regida pelo branco e continuou sujeito ao preconceito e a novos mecanismos de controle social.</w:t>
      </w:r>
    </w:p>
    <w:p w14:paraId="51ABB552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1B2785A" w14:textId="2D51A069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18- </w:t>
      </w:r>
      <w:r w:rsidRPr="00B66FEC">
        <w:rPr>
          <w:rFonts w:ascii="Verdana" w:hAnsi="Verdana"/>
          <w:sz w:val="20"/>
          <w:szCs w:val="20"/>
        </w:rPr>
        <w:t>Sobre a </w:t>
      </w:r>
      <w:r w:rsidRPr="00B66FEC">
        <w:rPr>
          <w:rFonts w:ascii="Verdana" w:hAnsi="Verdana"/>
          <w:b/>
          <w:bCs/>
          <w:sz w:val="20"/>
          <w:szCs w:val="20"/>
        </w:rPr>
        <w:t>Lei de terras</w:t>
      </w:r>
      <w:r w:rsidRPr="00B66FEC">
        <w:rPr>
          <w:rFonts w:ascii="Verdana" w:hAnsi="Verdana"/>
          <w:sz w:val="20"/>
          <w:szCs w:val="20"/>
        </w:rPr>
        <w:t> criada em 1850 no Brasil é correto afirmar que:</w:t>
      </w:r>
      <w:r w:rsidR="00BC72EB">
        <w:rPr>
          <w:rFonts w:ascii="Verdana" w:hAnsi="Verdana"/>
          <w:sz w:val="20"/>
          <w:szCs w:val="20"/>
        </w:rPr>
        <w:t xml:space="preserve">    0,25</w:t>
      </w:r>
    </w:p>
    <w:p w14:paraId="3A62E422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Foi uma política criada pelo governo de Deodoro da Fonseca com o objetivo de realizar a Reforma Agrária no Brasil.</w:t>
      </w:r>
    </w:p>
    <w:p w14:paraId="11868B94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A lei de terras foi uma estratégia política da elite brasileira, em que a terra passou a ser doada para a população carente brasileira, sobretudo aos imigrantes recém-chegados.</w:t>
      </w:r>
    </w:p>
    <w:p w14:paraId="4C640D95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Dificultava a aquisição de terras pelos imigrantes, pois, passaram a ter valor de compra e de venda, impedindo também que trabalhadores assalariados tivessem acesso a elas.</w:t>
      </w:r>
    </w:p>
    <w:p w14:paraId="388FA3A2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Foi uma política reformista praticada pelo Imperador brasileiro D. Pedro I que decretou que as terras seriam adquiridas através da compra e não da posse ou da prática das sesmarias, como era feito durante o Brasil Colônia.</w:t>
      </w:r>
    </w:p>
    <w:p w14:paraId="0879D5E5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Foi uma lei que declarava extintas as reservas indígenas em todo o Brasil, exigindo ainda que essa população se alfabetizasse e fosse catequizada pelos jesuítas.</w:t>
      </w:r>
    </w:p>
    <w:p w14:paraId="2B8CD1A2" w14:textId="163A6871" w:rsidR="000E0799" w:rsidRPr="004F106A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DDB45A" w14:textId="630D4F60" w:rsidR="00D62933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bCs/>
          <w:i/>
          <w:iCs/>
          <w:sz w:val="20"/>
          <w:szCs w:val="20"/>
          <w:u w:val="single"/>
        </w:rPr>
      </w:pPr>
      <w:r w:rsidRPr="00B66FEC">
        <w:rPr>
          <w:rFonts w:ascii="Verdana" w:hAnsi="Verdana"/>
          <w:sz w:val="20"/>
          <w:szCs w:val="20"/>
        </w:rPr>
        <w:t xml:space="preserve">19- </w:t>
      </w:r>
      <w:r w:rsidR="008E099A" w:rsidRPr="008E099A">
        <w:rPr>
          <w:rFonts w:ascii="Verdana" w:hAnsi="Verdana"/>
          <w:sz w:val="20"/>
          <w:szCs w:val="20"/>
        </w:rPr>
        <w:t>O Segundo Reinado começou a entrar em crise principalmente após a Guerra do Paraguai. Foram vários fatores que levaram à queda de Dom Pedro II em 1889</w:t>
      </w:r>
      <w:r w:rsidR="008E099A">
        <w:rPr>
          <w:rFonts w:ascii="Verdana" w:hAnsi="Verdana"/>
          <w:sz w:val="20"/>
          <w:szCs w:val="20"/>
        </w:rPr>
        <w:t xml:space="preserve">, </w:t>
      </w:r>
      <w:r w:rsidR="008E099A" w:rsidRPr="008E099A">
        <w:rPr>
          <w:rFonts w:ascii="Verdana" w:hAnsi="Verdana"/>
          <w:b/>
          <w:bCs/>
          <w:i/>
          <w:iCs/>
          <w:sz w:val="20"/>
          <w:szCs w:val="20"/>
          <w:u w:val="single"/>
        </w:rPr>
        <w:t>EXCETO</w:t>
      </w:r>
      <w:r w:rsidR="00BC72EB">
        <w:rPr>
          <w:rFonts w:ascii="Verdana" w:hAnsi="Verdana"/>
          <w:b/>
          <w:bCs/>
          <w:i/>
          <w:iCs/>
          <w:sz w:val="20"/>
          <w:szCs w:val="20"/>
          <w:u w:val="single"/>
        </w:rPr>
        <w:t xml:space="preserve">    0,25</w:t>
      </w:r>
    </w:p>
    <w:p w14:paraId="1B83CB9B" w14:textId="4E679C09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do Escravismo.</w:t>
      </w:r>
    </w:p>
    <w:p w14:paraId="72E6928A" w14:textId="77777777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militar.</w:t>
      </w:r>
    </w:p>
    <w:p w14:paraId="04828550" w14:textId="77777777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abolicionista.</w:t>
      </w:r>
    </w:p>
    <w:p w14:paraId="525B4E79" w14:textId="77777777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da Igreja.</w:t>
      </w:r>
    </w:p>
    <w:p w14:paraId="472CAFF5" w14:textId="3BB250EC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dos imigrantes.</w:t>
      </w:r>
    </w:p>
    <w:p w14:paraId="42D73FB5" w14:textId="77777777" w:rsidR="00F34D99" w:rsidRDefault="00F34D99" w:rsidP="00F34D99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5CD3E8FA" w14:textId="193C9196" w:rsidR="00443986" w:rsidRDefault="008E099A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20- </w:t>
      </w:r>
      <w:r w:rsidR="00443986" w:rsidRPr="00443986">
        <w:rPr>
          <w:rFonts w:ascii="Verdana" w:hAnsi="Verdana"/>
          <w:sz w:val="20"/>
          <w:szCs w:val="20"/>
        </w:rPr>
        <w:t xml:space="preserve">Marque as características da economia cafeeira. </w:t>
      </w:r>
      <w:r w:rsidR="00443986">
        <w:rPr>
          <w:rFonts w:ascii="Verdana" w:hAnsi="Verdana"/>
          <w:sz w:val="20"/>
          <w:szCs w:val="20"/>
        </w:rPr>
        <w:t xml:space="preserve"> 0,5</w:t>
      </w:r>
    </w:p>
    <w:p w14:paraId="736DE434" w14:textId="7BE04C90" w:rsidR="00443986" w:rsidRDefault="00443986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A- Plantação </w:t>
      </w:r>
      <w:r w:rsidRPr="00443986">
        <w:rPr>
          <w:rFonts w:ascii="Verdana" w:hAnsi="Verdana"/>
          <w:sz w:val="20"/>
          <w:szCs w:val="20"/>
        </w:rPr>
        <w:t>monocultura</w:t>
      </w:r>
      <w:r>
        <w:rPr>
          <w:rFonts w:ascii="Verdana" w:hAnsi="Verdana"/>
          <w:sz w:val="20"/>
          <w:szCs w:val="20"/>
        </w:rPr>
        <w:t xml:space="preserve"> voltada para a exportação.</w:t>
      </w:r>
      <w:r w:rsidRPr="00443986">
        <w:rPr>
          <w:rFonts w:ascii="Verdana" w:hAnsi="Verdana"/>
          <w:sz w:val="20"/>
          <w:szCs w:val="20"/>
        </w:rPr>
        <w:t xml:space="preserve"> </w:t>
      </w:r>
    </w:p>
    <w:p w14:paraId="1F05A325" w14:textId="33352EBD" w:rsidR="00443986" w:rsidRDefault="00443986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B- </w:t>
      </w:r>
      <w:proofErr w:type="gramStart"/>
      <w:r w:rsidRPr="00443986">
        <w:rPr>
          <w:rFonts w:ascii="Verdana" w:hAnsi="Verdana"/>
          <w:sz w:val="20"/>
          <w:szCs w:val="20"/>
        </w:rPr>
        <w:t>produção</w:t>
      </w:r>
      <w:proofErr w:type="gramEnd"/>
      <w:r w:rsidRPr="00443986">
        <w:rPr>
          <w:rFonts w:ascii="Verdana" w:hAnsi="Verdana"/>
          <w:sz w:val="20"/>
          <w:szCs w:val="20"/>
        </w:rPr>
        <w:t xml:space="preserve"> para consumo local </w:t>
      </w:r>
    </w:p>
    <w:p w14:paraId="051471D2" w14:textId="257E5D9A" w:rsidR="00443986" w:rsidRDefault="00443986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C- </w:t>
      </w:r>
      <w:proofErr w:type="gramStart"/>
      <w:r w:rsidRPr="00443986">
        <w:rPr>
          <w:rFonts w:ascii="Verdana" w:hAnsi="Verdana"/>
          <w:sz w:val="20"/>
          <w:szCs w:val="20"/>
        </w:rPr>
        <w:t>realizadas</w:t>
      </w:r>
      <w:proofErr w:type="gramEnd"/>
      <w:r w:rsidRPr="00443986">
        <w:rPr>
          <w:rFonts w:ascii="Verdana" w:hAnsi="Verdana"/>
          <w:sz w:val="20"/>
          <w:szCs w:val="20"/>
        </w:rPr>
        <w:t xml:space="preserve"> em pequenas propriedades urbanas. </w:t>
      </w:r>
    </w:p>
    <w:p w14:paraId="20FDF4E7" w14:textId="4FCE3602" w:rsidR="008E099A" w:rsidRDefault="00443986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D- </w:t>
      </w:r>
      <w:proofErr w:type="gramStart"/>
      <w:r w:rsidRPr="00443986">
        <w:rPr>
          <w:rFonts w:ascii="Verdana" w:hAnsi="Verdana"/>
          <w:sz w:val="20"/>
          <w:szCs w:val="20"/>
        </w:rPr>
        <w:t>inicialmente</w:t>
      </w:r>
      <w:proofErr w:type="gramEnd"/>
      <w:r w:rsidRPr="0044398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desenvolvida </w:t>
      </w:r>
      <w:r w:rsidRPr="00443986">
        <w:rPr>
          <w:rFonts w:ascii="Verdana" w:hAnsi="Verdana"/>
          <w:sz w:val="20"/>
          <w:szCs w:val="20"/>
        </w:rPr>
        <w:t xml:space="preserve">com mão de obra </w:t>
      </w:r>
      <w:r>
        <w:rPr>
          <w:rFonts w:ascii="Verdana" w:hAnsi="Verdana"/>
          <w:sz w:val="20"/>
          <w:szCs w:val="20"/>
        </w:rPr>
        <w:t>indígena.</w:t>
      </w:r>
    </w:p>
    <w:p w14:paraId="532A7E12" w14:textId="01108BE7" w:rsidR="00443986" w:rsidRPr="00443986" w:rsidRDefault="00443986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Sempre utilizando trabalhadores assalariados.</w:t>
      </w:r>
    </w:p>
    <w:p w14:paraId="5C815D75" w14:textId="77777777" w:rsidR="008E099A" w:rsidRPr="008E099A" w:rsidRDefault="008E099A" w:rsidP="008E099A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D231906" w14:textId="73636528" w:rsidR="008E099A" w:rsidRPr="008E099A" w:rsidRDefault="008E099A" w:rsidP="008E099A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8E099A">
        <w:rPr>
          <w:rFonts w:ascii="Verdana" w:hAnsi="Verdana"/>
          <w:sz w:val="20"/>
          <w:szCs w:val="20"/>
        </w:rPr>
        <w:t xml:space="preserve"> </w:t>
      </w: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E44C" w14:textId="77777777" w:rsidR="005E3094" w:rsidRDefault="005E3094" w:rsidP="009851F2">
      <w:pPr>
        <w:spacing w:after="0" w:line="240" w:lineRule="auto"/>
      </w:pPr>
      <w:r>
        <w:separator/>
      </w:r>
    </w:p>
  </w:endnote>
  <w:endnote w:type="continuationSeparator" w:id="0">
    <w:p w14:paraId="72B65559" w14:textId="77777777" w:rsidR="005E3094" w:rsidRDefault="005E309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7B82" w14:textId="77777777" w:rsidR="005E3094" w:rsidRDefault="005E3094" w:rsidP="009851F2">
      <w:pPr>
        <w:spacing w:after="0" w:line="240" w:lineRule="auto"/>
      </w:pPr>
      <w:r>
        <w:separator/>
      </w:r>
    </w:p>
  </w:footnote>
  <w:footnote w:type="continuationSeparator" w:id="0">
    <w:p w14:paraId="35541C85" w14:textId="77777777" w:rsidR="005E3094" w:rsidRDefault="005E309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B00B24"/>
    <w:multiLevelType w:val="hybridMultilevel"/>
    <w:tmpl w:val="1E864730"/>
    <w:lvl w:ilvl="0" w:tplc="EA3469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5D76"/>
    <w:rsid w:val="00093F84"/>
    <w:rsid w:val="000B39A7"/>
    <w:rsid w:val="000C2CDC"/>
    <w:rsid w:val="000D1D14"/>
    <w:rsid w:val="000E0799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381F"/>
    <w:rsid w:val="0042634C"/>
    <w:rsid w:val="00443986"/>
    <w:rsid w:val="00446779"/>
    <w:rsid w:val="00465F9E"/>
    <w:rsid w:val="00466D7A"/>
    <w:rsid w:val="00473C96"/>
    <w:rsid w:val="004A1876"/>
    <w:rsid w:val="004A3352"/>
    <w:rsid w:val="004B5FAA"/>
    <w:rsid w:val="004B6FE3"/>
    <w:rsid w:val="004F0ABD"/>
    <w:rsid w:val="004F106A"/>
    <w:rsid w:val="004F5938"/>
    <w:rsid w:val="005009D0"/>
    <w:rsid w:val="00510D47"/>
    <w:rsid w:val="0054275C"/>
    <w:rsid w:val="005C3014"/>
    <w:rsid w:val="005E3094"/>
    <w:rsid w:val="005E5BEA"/>
    <w:rsid w:val="005F6252"/>
    <w:rsid w:val="00624538"/>
    <w:rsid w:val="006451D4"/>
    <w:rsid w:val="00654D0E"/>
    <w:rsid w:val="00655212"/>
    <w:rsid w:val="00673FDA"/>
    <w:rsid w:val="006C72CA"/>
    <w:rsid w:val="006E1771"/>
    <w:rsid w:val="006E26DF"/>
    <w:rsid w:val="006F5A84"/>
    <w:rsid w:val="007119F9"/>
    <w:rsid w:val="007300A8"/>
    <w:rsid w:val="00735AE3"/>
    <w:rsid w:val="0073776A"/>
    <w:rsid w:val="00755526"/>
    <w:rsid w:val="007571C0"/>
    <w:rsid w:val="00770DD2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567A"/>
    <w:rsid w:val="008D6898"/>
    <w:rsid w:val="008E099A"/>
    <w:rsid w:val="008E3648"/>
    <w:rsid w:val="0091198D"/>
    <w:rsid w:val="00914A2F"/>
    <w:rsid w:val="009521D6"/>
    <w:rsid w:val="00965A01"/>
    <w:rsid w:val="00970AD8"/>
    <w:rsid w:val="0098193B"/>
    <w:rsid w:val="009851F2"/>
    <w:rsid w:val="009A26A2"/>
    <w:rsid w:val="009A7F64"/>
    <w:rsid w:val="009C3431"/>
    <w:rsid w:val="009D122B"/>
    <w:rsid w:val="00A02A6A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709F"/>
    <w:rsid w:val="00B46F94"/>
    <w:rsid w:val="00B66FEC"/>
    <w:rsid w:val="00B674E8"/>
    <w:rsid w:val="00B71635"/>
    <w:rsid w:val="00B732CA"/>
    <w:rsid w:val="00B94D7B"/>
    <w:rsid w:val="00BA2C10"/>
    <w:rsid w:val="00BB343C"/>
    <w:rsid w:val="00BC692B"/>
    <w:rsid w:val="00BC72E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02C0B"/>
    <w:rsid w:val="00D2144E"/>
    <w:rsid w:val="00D26952"/>
    <w:rsid w:val="00D3757A"/>
    <w:rsid w:val="00D513B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3209"/>
    <w:rsid w:val="00E65448"/>
    <w:rsid w:val="00E663E9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4D99"/>
    <w:rsid w:val="00F44BF8"/>
    <w:rsid w:val="00F5316F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71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ndoeducacao.uol.com.br/historiadobrasil/princesa-isabel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undoeducacao.uol.com.br/historiadobrasil/proclamacao-republica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2083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12</cp:revision>
  <cp:lastPrinted>2018-08-06T13:00:00Z</cp:lastPrinted>
  <dcterms:created xsi:type="dcterms:W3CDTF">2022-03-01T15:11:00Z</dcterms:created>
  <dcterms:modified xsi:type="dcterms:W3CDTF">2022-03-08T00:57:00Z</dcterms:modified>
</cp:coreProperties>
</file>