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 w:rsidP="00D577C0">
      <w:pPr>
        <w:contextualSpacing/>
        <w:mirrorIndents/>
        <w:jc w:val="both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D577C0">
      <w:pPr>
        <w:contextualSpacing/>
        <w:mirrorIndents/>
        <w:jc w:val="both"/>
      </w:pPr>
    </w:p>
    <w:p w14:paraId="006FCFB4" w14:textId="77777777" w:rsidR="00B008E6" w:rsidRDefault="00B008E6" w:rsidP="00D577C0">
      <w:pPr>
        <w:ind w:right="-285"/>
        <w:contextualSpacing/>
        <w:mirrorIndents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D577C0">
            <w:pPr>
              <w:pStyle w:val="Contedodetabela"/>
              <w:snapToGrid w:val="0"/>
              <w:ind w:left="82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D577C0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D577C0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E8B1E47" w:rsidR="00A84FD5" w:rsidRPr="00965A01" w:rsidRDefault="009A2196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D9F642" w:rsidR="00093F84" w:rsidRPr="0086497B" w:rsidRDefault="002165E6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62F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D577C0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D577C0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D577C0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1551E7A" w14:textId="115A9132" w:rsidR="00D62933" w:rsidRDefault="00D62933" w:rsidP="00D577C0">
      <w:pPr>
        <w:tabs>
          <w:tab w:val="left" w:pos="1125"/>
        </w:tabs>
        <w:spacing w:after="160"/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577C0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56A8B354" w14:textId="77777777" w:rsidR="00350261" w:rsidRDefault="00350261" w:rsidP="0035026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5F9358B5" w14:textId="77777777" w:rsidR="00350261" w:rsidRDefault="00350261" w:rsidP="0035026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0C99BA4A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>1</w:t>
      </w:r>
      <w:r w:rsidRPr="001C4A37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(Espcex (Aman) 2021</w:t>
      </w:r>
      <w:proofErr w:type="gram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>Oito</w:t>
      </w:r>
      <w:proofErr w:type="gramEnd"/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alunos, entre eles Gomes e Oliveira, são dispostos na primeira fileira do auditório da </w:t>
      </w:r>
      <w:proofErr w:type="spellStart"/>
      <w:r w:rsidRPr="001C4A37">
        <w:rPr>
          <w:rFonts w:ascii="Arial" w:eastAsia="Times New Roman" w:hAnsi="Arial" w:cs="Arial"/>
          <w:sz w:val="20"/>
          <w:szCs w:val="20"/>
          <w:lang w:eastAsia="pt-BR"/>
        </w:rPr>
        <w:t>EsPCEx</w:t>
      </w:r>
      <w:proofErr w:type="spellEnd"/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, visando assistirem a uma palestra. Sabendo-se que a fileira tem 8 poltronas, de quantas formas distintas é possível distribuir os 8 alunos, de maneira que Gomes e Oliveira não fiquem juntos? </w:t>
      </w:r>
    </w:p>
    <w:p w14:paraId="008C6521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1C4A37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240" w:dyaOrig="255" w14:anchorId="6FFB9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13" type="#_x0000_t75" style="width:12pt;height:12.75pt" o:ole="">
            <v:imagedata r:id="rId9" o:title=""/>
          </v:shape>
          <o:OLEObject Type="Embed" ProgID="Equation.DSMT4" ShapeID="_x0000_i1513" DrawAspect="Content" ObjectID="_1699949305" r:id="rId10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51057F7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1C4A37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465" w:dyaOrig="240" w14:anchorId="21F5D3C9">
          <v:shape id="_x0000_i1514" type="#_x0000_t75" style="width:23.25pt;height:12pt" o:ole="">
            <v:imagedata r:id="rId11" o:title=""/>
          </v:shape>
          <o:OLEObject Type="Embed" ProgID="Equation.DSMT4" ShapeID="_x0000_i1514" DrawAspect="Content" ObjectID="_1699949306" r:id="rId12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F0B6250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1C4A37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240" w:dyaOrig="240" w14:anchorId="6ECA9212">
          <v:shape id="_x0000_i1515" type="#_x0000_t75" style="width:12pt;height:12pt" o:ole="">
            <v:imagedata r:id="rId13" o:title=""/>
          </v:shape>
          <o:OLEObject Type="Embed" ProgID="Equation.DSMT4" ShapeID="_x0000_i1515" DrawAspect="Content" ObjectID="_1699949307" r:id="rId14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2C79C9F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1C4A37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465" w:dyaOrig="240" w14:anchorId="6C52A463">
          <v:shape id="_x0000_i1516" type="#_x0000_t75" style="width:23.25pt;height:12pt" o:ole="">
            <v:imagedata r:id="rId15" o:title=""/>
          </v:shape>
          <o:OLEObject Type="Embed" ProgID="Equation.DSMT4" ShapeID="_x0000_i1516" DrawAspect="Content" ObjectID="_1699949308" r:id="rId16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ED0643D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1C4A37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465" w:dyaOrig="255" w14:anchorId="397960E0">
          <v:shape id="_x0000_i1517" type="#_x0000_t75" style="width:23.25pt;height:12.75pt" o:ole="">
            <v:imagedata r:id="rId17" o:title=""/>
          </v:shape>
          <o:OLEObject Type="Embed" ProgID="Equation.DSMT4" ShapeID="_x0000_i1517" DrawAspect="Content" ObjectID="_1699949309" r:id="rId18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BA26854" w14:textId="77777777" w:rsidR="001C4A37" w:rsidRPr="001C4A37" w:rsidRDefault="001C4A37" w:rsidP="001C4A37">
      <w:pPr>
        <w:rPr>
          <w:rFonts w:ascii="Arial" w:eastAsia="Times New Roman" w:hAnsi="Arial" w:cs="Arial"/>
          <w:lang w:eastAsia="zh-CN"/>
        </w:rPr>
      </w:pPr>
      <w:r w:rsidRPr="001C4A37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30893535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>2</w:t>
      </w:r>
      <w:r w:rsidRPr="001C4A37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(Unicamp 2021</w:t>
      </w:r>
      <w:proofErr w:type="gram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gramEnd"/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número de anagramas da palavra REFLORESTAMENTO que começam com a sequência FLORES é </w:t>
      </w:r>
    </w:p>
    <w:p w14:paraId="1ACB122A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1C4A37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300" w:dyaOrig="255" w14:anchorId="00865569">
          <v:shape id="_x0000_i1518" type="#_x0000_t75" style="width:15pt;height:12.75pt" o:ole="">
            <v:imagedata r:id="rId19" o:title=""/>
          </v:shape>
          <o:OLEObject Type="Embed" ProgID="Equation.DSMT4" ShapeID="_x0000_i1518" DrawAspect="Content" ObjectID="_1699949310" r:id="rId20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B849BE9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1C4A37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540" w:dyaOrig="300" w14:anchorId="3C873D11">
          <v:shape id="_x0000_i1519" type="#_x0000_t75" style="width:27pt;height:15pt" o:ole="">
            <v:imagedata r:id="rId21" o:title=""/>
          </v:shape>
          <o:OLEObject Type="Embed" ProgID="Equation.DSMT4" ShapeID="_x0000_i1519" DrawAspect="Content" ObjectID="_1699949311" r:id="rId22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95E44DD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1C4A37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855" w:dyaOrig="300" w14:anchorId="2B3E7731">
          <v:shape id="_x0000_i1520" type="#_x0000_t75" style="width:42.75pt;height:15pt" o:ole="">
            <v:imagedata r:id="rId23" o:title=""/>
          </v:shape>
          <o:OLEObject Type="Embed" ProgID="Equation.DSMT4" ShapeID="_x0000_i1520" DrawAspect="Content" ObjectID="_1699949312" r:id="rId24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08498A5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1C4A37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065" w:dyaOrig="300" w14:anchorId="166F52B8">
          <v:shape id="_x0000_i1521" type="#_x0000_t75" style="width:53.25pt;height:15pt" o:ole="">
            <v:imagedata r:id="rId25" o:title=""/>
          </v:shape>
          <o:OLEObject Type="Embed" ProgID="Equation.DSMT4" ShapeID="_x0000_i1521" DrawAspect="Content" ObjectID="_1699949313" r:id="rId26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9E0BAED" w14:textId="77777777" w:rsidR="001C4A37" w:rsidRPr="001C4A37" w:rsidRDefault="001C4A37" w:rsidP="001C4A37">
      <w:pPr>
        <w:rPr>
          <w:rFonts w:ascii="Arial" w:eastAsia="Times New Roman" w:hAnsi="Arial" w:cs="Arial"/>
          <w:lang w:eastAsia="zh-CN"/>
        </w:rPr>
      </w:pPr>
      <w:r w:rsidRPr="001C4A37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5D6FC66D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>3</w:t>
      </w:r>
      <w:r w:rsidRPr="001C4A37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>Famema</w:t>
      </w:r>
      <w:proofErr w:type="spellEnd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2021</w:t>
      </w:r>
      <w:proofErr w:type="gram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figura indica as marcações na frente e no verso de três cartas:</w:t>
      </w:r>
    </w:p>
    <w:p w14:paraId="241C2382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</w:p>
    <w:p w14:paraId="668AF8E2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  <w:r w:rsidRPr="001C4A37">
        <w:rPr>
          <w:rFonts w:ascii="Arial" w:eastAsia="Times New Roman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776885AA" wp14:editId="7FDCBB26">
            <wp:extent cx="2819400" cy="847725"/>
            <wp:effectExtent l="0" t="0" r="0" b="9525"/>
            <wp:docPr id="3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DAF4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02EAF37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Sorteando-se aleatoriamente o lado que cada carta ficará voltada para cima em uma mesa, a probabilidade de que pelo menos uma das cartas tenha a letra M voltada para cima é igual a </w:t>
      </w:r>
    </w:p>
    <w:p w14:paraId="6A048C19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1C4A37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225" w:dyaOrig="555" w14:anchorId="47C50DFF">
          <v:shape id="_x0000_i1522" type="#_x0000_t75" style="width:11.25pt;height:27.75pt" o:ole="">
            <v:imagedata r:id="rId28" o:title=""/>
          </v:shape>
          <o:OLEObject Type="Embed" ProgID="Equation.DSMT4" ShapeID="_x0000_i1522" DrawAspect="Content" ObjectID="_1699949314" r:id="rId29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B7F80FC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1C4A37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225" w:dyaOrig="555" w14:anchorId="6DB6CF78">
          <v:shape id="_x0000_i1523" type="#_x0000_t75" style="width:11.25pt;height:27.75pt" o:ole="">
            <v:imagedata r:id="rId30" o:title=""/>
          </v:shape>
          <o:OLEObject Type="Embed" ProgID="Equation.DSMT4" ShapeID="_x0000_i1523" DrawAspect="Content" ObjectID="_1699949315" r:id="rId31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5841E95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1C4A37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225" w:dyaOrig="555" w14:anchorId="194214A6">
          <v:shape id="_x0000_i1524" type="#_x0000_t75" style="width:11.25pt;height:27.75pt" o:ole="">
            <v:imagedata r:id="rId32" o:title=""/>
          </v:shape>
          <o:OLEObject Type="Embed" ProgID="Equation.DSMT4" ShapeID="_x0000_i1524" DrawAspect="Content" ObjectID="_1699949316" r:id="rId33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8962E91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1C4A37">
        <w:rPr>
          <w:rFonts w:ascii="Arial" w:eastAsia="Times New Roman" w:hAnsi="Arial" w:cs="Arial"/>
          <w:position w:val="-20"/>
          <w:sz w:val="20"/>
          <w:szCs w:val="20"/>
          <w:lang w:eastAsia="pt-BR"/>
        </w:rPr>
        <w:object w:dxaOrig="225" w:dyaOrig="540" w14:anchorId="171EE712">
          <v:shape id="_x0000_i1525" type="#_x0000_t75" style="width:11.25pt;height:27pt" o:ole="">
            <v:imagedata r:id="rId34" o:title=""/>
          </v:shape>
          <o:OLEObject Type="Embed" ProgID="Equation.DSMT4" ShapeID="_x0000_i1525" DrawAspect="Content" ObjectID="_1699949317" r:id="rId35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4855501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1C4A37">
        <w:rPr>
          <w:rFonts w:ascii="Arial" w:eastAsia="Times New Roman" w:hAnsi="Arial" w:cs="Arial"/>
          <w:position w:val="-20"/>
          <w:sz w:val="20"/>
          <w:szCs w:val="20"/>
          <w:lang w:eastAsia="pt-BR"/>
        </w:rPr>
        <w:object w:dxaOrig="225" w:dyaOrig="540" w14:anchorId="17934AF3">
          <v:shape id="_x0000_i1526" type="#_x0000_t75" style="width:11.25pt;height:27pt" o:ole="">
            <v:imagedata r:id="rId36" o:title=""/>
          </v:shape>
          <o:OLEObject Type="Embed" ProgID="Equation.DSMT4" ShapeID="_x0000_i1526" DrawAspect="Content" ObjectID="_1699949318" r:id="rId37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A1AE984" w14:textId="77777777" w:rsidR="001C4A37" w:rsidRPr="001C4A37" w:rsidRDefault="001C4A37" w:rsidP="001C4A37">
      <w:pPr>
        <w:rPr>
          <w:rFonts w:ascii="Arial" w:eastAsia="Times New Roman" w:hAnsi="Arial" w:cs="Arial"/>
          <w:lang w:eastAsia="zh-CN"/>
        </w:rPr>
      </w:pPr>
      <w:r w:rsidRPr="001C4A37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257D6B36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>4</w:t>
      </w:r>
      <w:r w:rsidRPr="001C4A37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(Unesp 2021</w:t>
      </w:r>
      <w:proofErr w:type="gram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>Para</w:t>
      </w:r>
      <w:proofErr w:type="gramEnd"/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a identificação do câncer de próstata utiliza-se, além do exame digital, o exame de sangue PSA (antígeno prostático específico), que é um procedimento básico para início do rastreamento. No entanto, o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lastRenderedPageBreak/>
        <w:t>PSA é um biomarcador imperfeito, pois pode levar a falsos diagnósticos e excesso de tratamento cirúrgico.</w:t>
      </w:r>
    </w:p>
    <w:p w14:paraId="5786AC90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497081F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Um grupo de pesquisadores obteve, para uma determinada população, que a probabilidade de um resultado do exame PSA ser verdadeiro, ou seja, indicar positivo para quem tem a doença ou negativo para quem não tem a doença, é de 60%. Ao analisar o resultado de dois testes desse grupo, a probabilidade de que pelo menos um seja falso é de </w:t>
      </w:r>
    </w:p>
    <w:p w14:paraId="111F781D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64%.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F4FA4C2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16%.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D709778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40%.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36FAD23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48%.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E51E9AF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24%.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77ED3D7" w14:textId="77777777" w:rsidR="001C4A37" w:rsidRPr="001C4A37" w:rsidRDefault="001C4A37" w:rsidP="001C4A37">
      <w:pPr>
        <w:rPr>
          <w:rFonts w:ascii="Arial" w:eastAsia="Times New Roman" w:hAnsi="Arial" w:cs="Arial"/>
          <w:lang w:eastAsia="zh-CN"/>
        </w:rPr>
      </w:pPr>
      <w:r w:rsidRPr="001C4A37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47919CEC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>5</w:t>
      </w:r>
      <w:r w:rsidRPr="001C4A37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(Uerj 2021</w:t>
      </w:r>
      <w:proofErr w:type="gram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>Um</w:t>
      </w:r>
      <w:proofErr w:type="gramEnd"/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escritório comercial enviou cinco correspondências diferentes, sendo uma para cada cliente.</w:t>
      </w:r>
    </w:p>
    <w:p w14:paraId="383DDDF4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pt-BR"/>
        </w:rPr>
        <w:t>Cada correspondência foi colocada em um envelope, e os envelopes foram etiquetados com os cinco endereços distintos desses clientes.</w:t>
      </w:r>
    </w:p>
    <w:p w14:paraId="3878B9C6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A7BBC7F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A probabilidade de apenas uma etiqueta estar trocada é: </w:t>
      </w:r>
    </w:p>
    <w:p w14:paraId="47FB0643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1C4A37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225" w:dyaOrig="555" w14:anchorId="08AF029B">
          <v:shape id="_x0000_i1527" type="#_x0000_t75" style="width:11.25pt;height:27.75pt" o:ole="">
            <v:imagedata r:id="rId38" o:title=""/>
          </v:shape>
          <o:OLEObject Type="Embed" ProgID="Equation.DSMT4" ShapeID="_x0000_i1527" DrawAspect="Content" ObjectID="_1699949319" r:id="rId39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42C260A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1C4A37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225" w:dyaOrig="555" w14:anchorId="3D039BDF">
          <v:shape id="_x0000_i1528" type="#_x0000_t75" style="width:11.25pt;height:27.75pt" o:ole="">
            <v:imagedata r:id="rId40" o:title=""/>
          </v:shape>
          <o:OLEObject Type="Embed" ProgID="Equation.DSMT4" ShapeID="_x0000_i1528" DrawAspect="Content" ObjectID="_1699949320" r:id="rId41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CBBFE1D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1C4A37">
        <w:rPr>
          <w:rFonts w:ascii="Arial" w:eastAsia="Times New Roman" w:hAnsi="Arial" w:cs="Arial"/>
          <w:position w:val="-20"/>
          <w:sz w:val="20"/>
          <w:szCs w:val="20"/>
          <w:lang w:eastAsia="pt-BR"/>
        </w:rPr>
        <w:object w:dxaOrig="345" w:dyaOrig="540" w14:anchorId="4E7F9041">
          <v:shape id="_x0000_i1529" type="#_x0000_t75" style="width:17.25pt;height:27pt" o:ole="">
            <v:imagedata r:id="rId42" o:title=""/>
          </v:shape>
          <o:OLEObject Type="Embed" ProgID="Equation.DSMT4" ShapeID="_x0000_i1529" DrawAspect="Content" ObjectID="_1699949321" r:id="rId43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3106604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1C4A37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180" w:dyaOrig="255" w14:anchorId="0ECDEA14">
          <v:shape id="_x0000_i1530" type="#_x0000_t75" style="width:9pt;height:12.75pt" o:ole="">
            <v:imagedata r:id="rId44" o:title=""/>
          </v:shape>
          <o:OLEObject Type="Embed" ProgID="Equation.DSMT4" ShapeID="_x0000_i1530" DrawAspect="Content" ObjectID="_1699949322" r:id="rId45"/>
        </w:objec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7268C3B" w14:textId="77777777" w:rsidR="001C4A37" w:rsidRPr="001C4A37" w:rsidRDefault="001C4A37" w:rsidP="001C4A37">
      <w:pPr>
        <w:rPr>
          <w:rFonts w:ascii="Arial" w:eastAsia="Times New Roman" w:hAnsi="Arial" w:cs="Arial"/>
          <w:lang w:eastAsia="zh-CN"/>
        </w:rPr>
      </w:pPr>
      <w:r w:rsidRPr="001C4A37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4CDE9909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>6</w:t>
      </w:r>
      <w:r w:rsidRPr="001C4A37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>Unisc</w:t>
      </w:r>
      <w:proofErr w:type="spellEnd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2021</w:t>
      </w:r>
      <w:proofErr w:type="gram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gramEnd"/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IGP-M – Índice Geral de Preços Mercado – é conhecido como “inflação do aluguel”, por servir de parâmetro para o reajuste da maioria dos contratos de locação residencial. O gráfico abaixo apresenta a variação mensal do IGP-M em %, no período de março de 2020 a abril de 2021, de acordo com os dados fornecidos pelo G1.</w:t>
      </w:r>
    </w:p>
    <w:p w14:paraId="12A1D3CD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</w:p>
    <w:p w14:paraId="654717AB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  <w:r w:rsidRPr="001C4A37">
        <w:rPr>
          <w:rFonts w:ascii="Arial" w:eastAsia="Times New Roman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52048C53" wp14:editId="13883F2C">
            <wp:extent cx="5505450" cy="2657475"/>
            <wp:effectExtent l="0" t="0" r="0" b="9525"/>
            <wp:docPr id="4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DDCD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940E3C7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A mediana, em %, das variações mensais do IGP-M, no período de março de 2020 a abril de 2021, é </w:t>
      </w:r>
    </w:p>
    <w:p w14:paraId="296F2F1F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2,23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96F8C55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2,38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7676B13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2,53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5839BB6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4,34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4F9467E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2,74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A124484" w14:textId="77777777" w:rsidR="001C4A37" w:rsidRPr="001C4A37" w:rsidRDefault="001C4A37" w:rsidP="001C4A37">
      <w:pPr>
        <w:rPr>
          <w:rFonts w:ascii="Arial" w:eastAsia="Times New Roman" w:hAnsi="Arial" w:cs="Arial"/>
          <w:lang w:eastAsia="zh-CN"/>
        </w:rPr>
      </w:pPr>
      <w:r w:rsidRPr="001C4A37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49DB2F6E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>7</w:t>
      </w:r>
      <w:r w:rsidRPr="001C4A37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(Enem 2021</w:t>
      </w:r>
      <w:proofErr w:type="gram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gramEnd"/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quadro apresenta o número de terremotos de magnitude maior ou igual a 7, na escala Richter, ocorridos em nosso planeta nos anos de 2000 a 2011.</w:t>
      </w:r>
    </w:p>
    <w:p w14:paraId="78B760A1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741"/>
        <w:gridCol w:w="74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 w:rsidR="001C4A37" w:rsidRPr="001C4A37" w14:paraId="560E1128" w14:textId="77777777" w:rsidTr="001C4A37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003E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b/>
                <w:sz w:val="20"/>
                <w:szCs w:val="20"/>
              </w:rPr>
              <w:t>Ano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18D3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2960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2001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60FBB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2002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65A31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2003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EDACC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AB82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8D8A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D5E0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2007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DE33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2008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C0C9D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2009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C4D2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6156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2011</w:t>
            </w:r>
          </w:p>
        </w:tc>
      </w:tr>
      <w:tr w:rsidR="001C4A37" w:rsidRPr="001C4A37" w14:paraId="1E24215D" w14:textId="77777777" w:rsidTr="001C4A37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52177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b/>
                <w:sz w:val="20"/>
                <w:szCs w:val="20"/>
              </w:rPr>
              <w:t>Terremotos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1CEAF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3048B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EA5D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CF86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E1B14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881B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F7CB4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D9D7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4B56A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9911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D2127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DB84B" w14:textId="77777777" w:rsidR="001C4A37" w:rsidRPr="001C4A37" w:rsidRDefault="001C4A37" w:rsidP="001C4A37">
            <w:pPr>
              <w:keepNext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4A37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</w:tbl>
    <w:p w14:paraId="6B20BA09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18DCF86" w14:textId="77777777" w:rsidR="001C4A37" w:rsidRPr="001C4A37" w:rsidRDefault="001C4A37" w:rsidP="001C4A37">
      <w:pPr>
        <w:widowControl w:val="0"/>
        <w:autoSpaceDE w:val="0"/>
        <w:autoSpaceDN w:val="0"/>
        <w:adjustRightInd w:val="0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pt-BR"/>
        </w:rPr>
        <w:lastRenderedPageBreak/>
        <w:t>Disponível em: https://earthquake.usgs.gov/earthquakes/browse/m7-world.php. Acesso em: 13 ago. 2012 (adaptado).</w:t>
      </w:r>
    </w:p>
    <w:p w14:paraId="185F2305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4CF3A68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D00551C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Um pesquisador acredita que a mediana representa bem o número anual típico de terremotos em um período. </w:t>
      </w:r>
    </w:p>
    <w:p w14:paraId="40CE0F41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C2C02A9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Segundo esse pesquisador, o número anual típico de terremotos de magnitude maior ou igual a 7 é </w:t>
      </w:r>
    </w:p>
    <w:p w14:paraId="7F6EE342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11.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C116152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15.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1CF7ADB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15,5.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FA8E4E6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15,7.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D620E03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17,5.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5C08DB7" w14:textId="77777777" w:rsidR="001C4A37" w:rsidRPr="001C4A37" w:rsidRDefault="001C4A37" w:rsidP="001C4A37">
      <w:pPr>
        <w:rPr>
          <w:rFonts w:ascii="Arial" w:eastAsia="Times New Roman" w:hAnsi="Arial" w:cs="Arial"/>
          <w:lang w:eastAsia="zh-CN"/>
        </w:rPr>
      </w:pPr>
      <w:r w:rsidRPr="001C4A37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37096C70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>8</w:t>
      </w:r>
      <w:r w:rsidRPr="001C4A37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(Enem digital 2020</w:t>
      </w:r>
      <w:proofErr w:type="gram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gramEnd"/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isopor é um material composto por um polímero chamado poliestireno. Todos os produtos de isopor são 100% recicláveis, assim como os plásticos em sua totalidade. O gráfico mostra a quantidade de isopor, em tonelada, que foi reciclada no Brasil nos anos de 2007, 2008 e 2009. Considere que o aumento da quantidade de isopor reciclado ocorrida de 2008 para 2009 repita-se ano a ano de 2009 até 2013 e, a partir daí, a quantidade total reciclada anualmente permaneça inalterada por um período de 10 anos.</w:t>
      </w:r>
    </w:p>
    <w:p w14:paraId="7F91DF0C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</w:p>
    <w:p w14:paraId="1A26D1D0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  <w:r w:rsidRPr="001C4A37">
        <w:rPr>
          <w:rFonts w:ascii="Arial" w:eastAsia="Times New Roman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6CEC277D" wp14:editId="3AB3E291">
            <wp:extent cx="3971925" cy="2533650"/>
            <wp:effectExtent l="0" t="0" r="9525" b="0"/>
            <wp:docPr id="4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D52E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E3E1D87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Qual é a quantidade prevista para reciclagem de isopor, em tonelada, para o ano de 2020? </w:t>
      </w:r>
    </w:p>
    <w:p w14:paraId="4FFF9963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21.840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BAC4089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21.600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A348BE1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13.440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CE714DA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13.200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817A812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9.800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E9768D8" w14:textId="77777777" w:rsidR="001C4A37" w:rsidRPr="001C4A37" w:rsidRDefault="001C4A37" w:rsidP="001C4A37">
      <w:pPr>
        <w:rPr>
          <w:rFonts w:ascii="Arial" w:eastAsia="Times New Roman" w:hAnsi="Arial" w:cs="Arial"/>
          <w:lang w:eastAsia="zh-CN"/>
        </w:rPr>
      </w:pPr>
      <w:r w:rsidRPr="001C4A37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719E0A0C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>9</w:t>
      </w:r>
      <w:r w:rsidRPr="001C4A37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(Unicamp 2022</w:t>
      </w:r>
      <w:proofErr w:type="gram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>Certo</w:t>
      </w:r>
      <w:proofErr w:type="gramEnd"/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 país adquiriu 5.000.000 de doses das vacinas Alfa, Beta e Gama, pagando um preço de $40.000.000,00 pelo total. Cada dose das vacinas Alfa, Beta e Gama custou $5,00, $10,00 e $20,00, respectivamente. Sabendo que o número de doses adquiridas da vacina Beta é o triplo do número de doses adquiridas da vacina Gama, o número de doses adquiridas da vacina Alfa foi de: </w:t>
      </w:r>
    </w:p>
    <w:p w14:paraId="56F4578F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1.500.000.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6CFE3AF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2.000.000.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05EAF81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2.500.000.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B7FB650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3.000.000.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D81FBB9" w14:textId="77777777" w:rsidR="001C4A37" w:rsidRPr="001C4A37" w:rsidRDefault="001C4A37" w:rsidP="001C4A37">
      <w:pPr>
        <w:rPr>
          <w:rFonts w:ascii="Arial" w:eastAsia="Times New Roman" w:hAnsi="Arial" w:cs="Arial"/>
          <w:lang w:eastAsia="zh-CN"/>
        </w:rPr>
      </w:pPr>
      <w:r w:rsidRPr="001C4A37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1EA2A7F9" w14:textId="77777777" w:rsidR="001C4A37" w:rsidRPr="001C4A37" w:rsidRDefault="001C4A37" w:rsidP="001C4A37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>10</w:t>
      </w:r>
      <w:r w:rsidRPr="001C4A37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>Fmj</w:t>
      </w:r>
      <w:proofErr w:type="spellEnd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2021</w:t>
      </w:r>
      <w:proofErr w:type="gramStart"/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>André</w:t>
      </w:r>
      <w:proofErr w:type="gramEnd"/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, Beto e Carlos colecionam figurinhas e o número médio de figurinhas que cada um deles tem é igual a 332. Carlos deu 45 figurinhas para André e assim, André e Beto, juntos, ficaram com um total de 490 figurinhas. Inicialmente o número de figurinhas de Carlos era </w:t>
      </w:r>
    </w:p>
    <w:p w14:paraId="6112C509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551.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81DD259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491.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B1B5F46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521.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422CA17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461.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5AF76AC" w14:textId="77777777" w:rsidR="001C4A37" w:rsidRPr="001C4A37" w:rsidRDefault="001C4A37" w:rsidP="001C4A37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1C4A37">
        <w:rPr>
          <w:rFonts w:ascii="Arial" w:eastAsia="Times New Roman" w:hAnsi="Arial" w:cs="Arial"/>
          <w:sz w:val="20"/>
          <w:szCs w:val="20"/>
          <w:lang w:eastAsia="pt-BR"/>
        </w:rPr>
        <w:t xml:space="preserve">431. </w:t>
      </w:r>
      <w:r w:rsidRPr="001C4A37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1C4A37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FDDB45A" w14:textId="2018BC46" w:rsidR="00D62933" w:rsidRDefault="00D62933" w:rsidP="001C4A37">
      <w:pPr>
        <w:widowControl w:val="0"/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</w:p>
    <w:sectPr w:rsidR="00D62933" w:rsidSect="00C862F1">
      <w:headerReference w:type="default" r:id="rId48"/>
      <w:footerReference w:type="default" r:id="rId49"/>
      <w:footerReference w:type="first" r:id="rId50"/>
      <w:type w:val="continuous"/>
      <w:pgSz w:w="11906" w:h="16838"/>
      <w:pgMar w:top="425" w:right="709" w:bottom="567" w:left="851" w:header="510" w:footer="28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FE14" w14:textId="77777777" w:rsidR="003860BB" w:rsidRDefault="003860BB" w:rsidP="009851F2">
      <w:r>
        <w:separator/>
      </w:r>
    </w:p>
  </w:endnote>
  <w:endnote w:type="continuationSeparator" w:id="0">
    <w:p w14:paraId="78123116" w14:textId="77777777" w:rsidR="003860BB" w:rsidRDefault="003860BB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FF09CBC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80494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7EB543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62F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3AC6" w14:textId="77777777" w:rsidR="003860BB" w:rsidRDefault="003860BB" w:rsidP="009851F2">
      <w:r>
        <w:separator/>
      </w:r>
    </w:p>
  </w:footnote>
  <w:footnote w:type="continuationSeparator" w:id="0">
    <w:p w14:paraId="54B8DA20" w14:textId="77777777" w:rsidR="003860BB" w:rsidRDefault="003860BB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C862F1">
    <w:pPr>
      <w:pStyle w:val="Cabealho"/>
      <w:tabs>
        <w:tab w:val="clear" w:pos="8504"/>
        <w:tab w:val="right" w:pos="7797"/>
      </w:tabs>
      <w:ind w:left="-851" w:right="-144"/>
    </w:pPr>
  </w:p>
  <w:p w14:paraId="7D93B9A4" w14:textId="77777777" w:rsidR="002E0F84" w:rsidRPr="009851F2" w:rsidRDefault="002E0F84" w:rsidP="00C862F1">
    <w:pPr>
      <w:pStyle w:val="Cabealho"/>
      <w:pBdr>
        <w:bottom w:val="single" w:sz="12" w:space="1" w:color="auto"/>
      </w:pBdr>
      <w:tabs>
        <w:tab w:val="clear" w:pos="8504"/>
      </w:tabs>
      <w:ind w:left="-28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0494"/>
    <w:rsid w:val="00182E9E"/>
    <w:rsid w:val="00183B4B"/>
    <w:rsid w:val="001A0715"/>
    <w:rsid w:val="001C4278"/>
    <w:rsid w:val="001C4A37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261"/>
    <w:rsid w:val="00360777"/>
    <w:rsid w:val="003860BB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71E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196"/>
    <w:rsid w:val="009A26A2"/>
    <w:rsid w:val="009A7F64"/>
    <w:rsid w:val="009C3431"/>
    <w:rsid w:val="009D122B"/>
    <w:rsid w:val="00A01783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62F1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77C0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7563-59A1-4622-9D62-B5AA0F7B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964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Lurian Alves</cp:lastModifiedBy>
  <cp:revision>2</cp:revision>
  <cp:lastPrinted>2018-08-06T13:00:00Z</cp:lastPrinted>
  <dcterms:created xsi:type="dcterms:W3CDTF">2021-12-02T15:20:00Z</dcterms:created>
  <dcterms:modified xsi:type="dcterms:W3CDTF">2021-12-02T15:20:00Z</dcterms:modified>
</cp:coreProperties>
</file>