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70986DC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87467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F109E80" w14:textId="4B9D6C64" w:rsidR="00964C97" w:rsidRDefault="00964C97" w:rsidP="00225D0F">
      <w:pPr>
        <w:ind w:right="426"/>
        <w:jc w:val="both"/>
        <w:rPr>
          <w:rFonts w:ascii="Verdana" w:hAnsi="Verdana"/>
          <w:sz w:val="16"/>
          <w:szCs w:val="16"/>
        </w:rPr>
      </w:pPr>
    </w:p>
    <w:p w14:paraId="6B97B1AC" w14:textId="5A906464" w:rsidR="00964C97" w:rsidRDefault="00964C97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01 – </w:t>
      </w:r>
      <w:r w:rsidR="00305122" w:rsidRPr="00305122">
        <w:rPr>
          <w:rFonts w:ascii="Verdana" w:hAnsi="Verdana"/>
          <w:sz w:val="20"/>
          <w:szCs w:val="20"/>
        </w:rPr>
        <w:t>A Idade Média também foi denominada o "tempo das catedrais". Data deste período da História a construção da catedral de Burgos, na Espanha, reproduzida na figura.</w:t>
      </w:r>
    </w:p>
    <w:p w14:paraId="70682C7D" w14:textId="605AB419" w:rsidR="00305122" w:rsidRDefault="00305122" w:rsidP="00305122">
      <w:pPr>
        <w:tabs>
          <w:tab w:val="left" w:pos="9072"/>
        </w:tabs>
        <w:spacing w:after="0" w:line="240" w:lineRule="auto"/>
        <w:ind w:left="-567" w:right="426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BF5F923" wp14:editId="31929B40">
            <wp:extent cx="1390650" cy="2148617"/>
            <wp:effectExtent l="0" t="0" r="0" b="4445"/>
            <wp:docPr id="12" name="Imagem 12" descr="Foto preta e branca de uma igre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to preta e branca de uma igrej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46" cy="21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682C" w14:textId="77777777" w:rsidR="00305122" w:rsidRPr="00305122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O estilo arquitetônico da catedral de Burgos é o</w:t>
      </w:r>
    </w:p>
    <w:p w14:paraId="13ABE6DF" w14:textId="29C214D6" w:rsidR="00305122" w:rsidRPr="00305122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renascentista</w:t>
      </w:r>
      <w:r>
        <w:rPr>
          <w:rFonts w:ascii="Verdana" w:hAnsi="Verdana"/>
          <w:sz w:val="20"/>
          <w:szCs w:val="20"/>
        </w:rPr>
        <w:t>.</w:t>
      </w:r>
    </w:p>
    <w:p w14:paraId="5EEE5994" w14:textId="40A04827" w:rsidR="00305122" w:rsidRPr="00305122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românico</w:t>
      </w:r>
      <w:r>
        <w:rPr>
          <w:rFonts w:ascii="Verdana" w:hAnsi="Verdana"/>
          <w:sz w:val="20"/>
          <w:szCs w:val="20"/>
        </w:rPr>
        <w:t>.</w:t>
      </w:r>
    </w:p>
    <w:p w14:paraId="1FC07E8A" w14:textId="5FFCE34C" w:rsidR="00305122" w:rsidRPr="00874670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874670">
        <w:rPr>
          <w:rFonts w:ascii="Verdana" w:hAnsi="Verdana"/>
          <w:b/>
          <w:bCs/>
          <w:color w:val="FF0000"/>
          <w:sz w:val="20"/>
          <w:szCs w:val="20"/>
        </w:rPr>
        <w:t>c)</w:t>
      </w:r>
      <w:r w:rsidRPr="00874670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874670">
        <w:rPr>
          <w:rFonts w:ascii="Verdana" w:hAnsi="Verdana"/>
          <w:b/>
          <w:bCs/>
          <w:color w:val="FF0000"/>
          <w:sz w:val="20"/>
          <w:szCs w:val="20"/>
        </w:rPr>
        <w:t>gótico</w:t>
      </w:r>
      <w:r w:rsidRPr="00874670">
        <w:rPr>
          <w:rFonts w:ascii="Verdana" w:hAnsi="Verdana"/>
          <w:b/>
          <w:bCs/>
          <w:color w:val="FF0000"/>
          <w:sz w:val="20"/>
          <w:szCs w:val="20"/>
        </w:rPr>
        <w:t>.</w:t>
      </w:r>
    </w:p>
    <w:p w14:paraId="00032C45" w14:textId="03A8C05E" w:rsidR="00305122" w:rsidRPr="00305122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barroco</w:t>
      </w:r>
      <w:r>
        <w:rPr>
          <w:rFonts w:ascii="Verdana" w:hAnsi="Verdana"/>
          <w:sz w:val="20"/>
          <w:szCs w:val="20"/>
        </w:rPr>
        <w:t>.</w:t>
      </w:r>
    </w:p>
    <w:p w14:paraId="12BC18B9" w14:textId="7BE87CE2" w:rsidR="00305122" w:rsidRPr="00964C97" w:rsidRDefault="00305122" w:rsidP="00305122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moderno</w:t>
      </w:r>
      <w:r>
        <w:rPr>
          <w:rFonts w:ascii="Verdana" w:hAnsi="Verdana"/>
          <w:sz w:val="20"/>
          <w:szCs w:val="20"/>
        </w:rPr>
        <w:t>.</w:t>
      </w:r>
    </w:p>
    <w:p w14:paraId="3BE1EA6C" w14:textId="79B9E51E" w:rsidR="00964C97" w:rsidRPr="00964C97" w:rsidRDefault="00964C97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 </w:t>
      </w:r>
    </w:p>
    <w:p w14:paraId="57E5BE2D" w14:textId="77777777" w:rsidR="00305122" w:rsidRPr="00305122" w:rsidRDefault="00964C97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02 - </w:t>
      </w:r>
      <w:r w:rsidR="00305122" w:rsidRPr="00305122">
        <w:rPr>
          <w:rFonts w:ascii="Verdana" w:hAnsi="Verdana"/>
          <w:sz w:val="20"/>
          <w:szCs w:val="20"/>
        </w:rPr>
        <w:t>Assinale a alternativa que apresenta um dos resultados do entrecruzamento de culturas no Império Bizantino.</w:t>
      </w:r>
    </w:p>
    <w:p w14:paraId="23BDB591" w14:textId="77777777" w:rsidR="00305122" w:rsidRPr="00305122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30891CD" w14:textId="1036948F" w:rsidR="00305122" w:rsidRPr="00305122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As artes visuais diversificaram-se a ponto de serem eliminadas as características estéticas de inspiração greco-cristã.</w:t>
      </w:r>
    </w:p>
    <w:p w14:paraId="0F69B75B" w14:textId="2363A058" w:rsidR="00305122" w:rsidRPr="00874670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874670">
        <w:rPr>
          <w:rFonts w:ascii="Verdana" w:hAnsi="Verdana"/>
          <w:b/>
          <w:bCs/>
          <w:color w:val="FF0000"/>
          <w:sz w:val="20"/>
          <w:szCs w:val="20"/>
        </w:rPr>
        <w:t>b)</w:t>
      </w:r>
      <w:r w:rsidRPr="00874670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874670">
        <w:rPr>
          <w:rFonts w:ascii="Verdana" w:hAnsi="Verdana"/>
          <w:b/>
          <w:bCs/>
          <w:color w:val="FF0000"/>
          <w:sz w:val="20"/>
          <w:szCs w:val="20"/>
        </w:rPr>
        <w:t>A adoração popular a ícones religiosos gerou crises na Igreja de Bizâncio.</w:t>
      </w:r>
    </w:p>
    <w:p w14:paraId="2E265B47" w14:textId="34FD0994" w:rsidR="00305122" w:rsidRPr="00305122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Elementos clássicos, como a retórica e a língua grega, foram superados em função da interação cultural cosmopolita.</w:t>
      </w:r>
    </w:p>
    <w:p w14:paraId="6C31A4A4" w14:textId="45D78B77" w:rsidR="00305122" w:rsidRPr="00305122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A arquitetura passou a primar pela simplicidade, a fim de se adequar à doutrina religiosa ortodoxa.</w:t>
      </w:r>
    </w:p>
    <w:p w14:paraId="743D8DE5" w14:textId="7625F767" w:rsidR="001D163E" w:rsidRPr="001D163E" w:rsidRDefault="00305122" w:rsidP="00305122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305122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305122">
        <w:rPr>
          <w:rFonts w:ascii="Verdana" w:hAnsi="Verdana"/>
          <w:sz w:val="20"/>
          <w:szCs w:val="20"/>
        </w:rPr>
        <w:t>A estrutura jurídica do Império Bizantino não sofreu a influência do direito romano.</w:t>
      </w:r>
    </w:p>
    <w:sectPr w:rsidR="001D163E" w:rsidRPr="001D163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E868" w14:textId="77777777" w:rsidR="00E5035B" w:rsidRDefault="00E5035B" w:rsidP="009851F2">
      <w:pPr>
        <w:spacing w:after="0" w:line="240" w:lineRule="auto"/>
      </w:pPr>
      <w:r>
        <w:separator/>
      </w:r>
    </w:p>
  </w:endnote>
  <w:endnote w:type="continuationSeparator" w:id="0">
    <w:p w14:paraId="01957792" w14:textId="77777777" w:rsidR="00E5035B" w:rsidRDefault="00E5035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E220" w14:textId="77777777" w:rsidR="00E5035B" w:rsidRDefault="00E5035B" w:rsidP="009851F2">
      <w:pPr>
        <w:spacing w:after="0" w:line="240" w:lineRule="auto"/>
      </w:pPr>
      <w:r>
        <w:separator/>
      </w:r>
    </w:p>
  </w:footnote>
  <w:footnote w:type="continuationSeparator" w:id="0">
    <w:p w14:paraId="4FE9E7D1" w14:textId="77777777" w:rsidR="00E5035B" w:rsidRDefault="00E5035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25D0F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5122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17BB9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4670"/>
    <w:rsid w:val="00875C96"/>
    <w:rsid w:val="008A5048"/>
    <w:rsid w:val="008A5D92"/>
    <w:rsid w:val="008B6F40"/>
    <w:rsid w:val="008D6898"/>
    <w:rsid w:val="008D76FC"/>
    <w:rsid w:val="008E3648"/>
    <w:rsid w:val="008E59F4"/>
    <w:rsid w:val="00907B70"/>
    <w:rsid w:val="0091198D"/>
    <w:rsid w:val="00914A2F"/>
    <w:rsid w:val="009521D6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035B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2022-05-23T18:32:00Z</dcterms:created>
  <dcterms:modified xsi:type="dcterms:W3CDTF">2022-05-23T18:32:00Z</dcterms:modified>
</cp:coreProperties>
</file>