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873AED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D6B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 EM</w:t>
            </w:r>
          </w:p>
        </w:tc>
        <w:tc>
          <w:tcPr>
            <w:tcW w:w="2211" w:type="dxa"/>
          </w:tcPr>
          <w:p w14:paraId="4D2354B2" w14:textId="6FD1D30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544C7F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987BCE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7E944D" w:rsidR="00093F84" w:rsidRPr="0086497B" w:rsidRDefault="00E4632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7E510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- </w:t>
            </w:r>
            <w:r w:rsidR="002165E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006F05EF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pontos, sendo que cada castão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C1A1541" w14:textId="77777777" w:rsidR="001D6B81" w:rsidRDefault="001D6B81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2F00257D" w14:textId="58756E6C" w:rsidR="00EA167F" w:rsidRDefault="007E510D" w:rsidP="00EA16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 xml:space="preserve">A substância química eteno (ou etileno) sofre hidrogenação, catalisada por níquel, transformando-se em um </w:t>
      </w:r>
      <w:r w:rsidR="00E94A76" w:rsidRPr="00E94A76">
        <w:rPr>
          <w:rFonts w:ascii="Verdana" w:hAnsi="Verdana"/>
          <w:sz w:val="20"/>
          <w:szCs w:val="20"/>
        </w:rPr>
        <w:t xml:space="preserve">Considere a </w:t>
      </w:r>
      <w:proofErr w:type="spellStart"/>
      <w:r w:rsidR="00E94A76" w:rsidRPr="00E94A76">
        <w:rPr>
          <w:rFonts w:ascii="Verdana" w:hAnsi="Verdana"/>
          <w:sz w:val="20"/>
          <w:szCs w:val="20"/>
        </w:rPr>
        <w:t>liotironina</w:t>
      </w:r>
      <w:proofErr w:type="spellEnd"/>
      <w:r w:rsidR="00E94A76" w:rsidRPr="00E94A76">
        <w:rPr>
          <w:rFonts w:ascii="Verdana" w:hAnsi="Verdana"/>
          <w:sz w:val="20"/>
          <w:szCs w:val="20"/>
        </w:rPr>
        <w:t>, um hormônio produzido pela glândula tireoide, também conhecido como T3</w:t>
      </w:r>
      <w:r w:rsidR="00EA167F">
        <w:rPr>
          <w:rFonts w:ascii="Verdana" w:hAnsi="Verdana"/>
          <w:sz w:val="20"/>
          <w:szCs w:val="20"/>
        </w:rPr>
        <w:t xml:space="preserve"> </w:t>
      </w:r>
      <w:r w:rsidR="00EA167F" w:rsidRPr="00EA167F">
        <w:rPr>
          <w:rFonts w:ascii="Verdana" w:hAnsi="Verdana"/>
          <w:sz w:val="20"/>
          <w:szCs w:val="20"/>
        </w:rPr>
        <w:t>01) A Tabela Periódica atualizada apresenta 118 elementos químicos (92 naturais e 26 artificiais), devidamente identificados. Os elementos estão organizados em ordem crescente de número atômico e, assim, consegue-se agrupá-los de modo a reunirem propriedades químicas e características semelhantes.</w:t>
      </w:r>
    </w:p>
    <w:p w14:paraId="33AAF89D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Considerando os metais alcalinos terrosos (grupo 2 A da Tabela Periódica), é possível afirmar que seus elétrons da camada de valência estão</w:t>
      </w:r>
    </w:p>
    <w:p w14:paraId="41106E76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 </w:t>
      </w:r>
    </w:p>
    <w:p w14:paraId="2E6A6D06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a)      no mesmo nível para todos os elementos.</w:t>
      </w:r>
    </w:p>
    <w:p w14:paraId="43E555F2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b)      no subnível </w:t>
      </w:r>
      <w:r w:rsidRPr="00EA167F">
        <w:rPr>
          <w:rFonts w:ascii="Verdana" w:hAnsi="Verdana"/>
          <w:i/>
          <w:iCs/>
          <w:sz w:val="20"/>
          <w:szCs w:val="20"/>
        </w:rPr>
        <w:t>s </w:t>
      </w:r>
      <w:r w:rsidRPr="00EA167F">
        <w:rPr>
          <w:rFonts w:ascii="Verdana" w:hAnsi="Verdana"/>
          <w:sz w:val="20"/>
          <w:szCs w:val="20"/>
        </w:rPr>
        <w:t>do seu respectivo nível.</w:t>
      </w:r>
    </w:p>
    <w:p w14:paraId="501F0BCA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c)      desemparelhados com menor energia.</w:t>
      </w:r>
    </w:p>
    <w:p w14:paraId="52142D48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d)      impossibilitados de formar ligação química.</w:t>
      </w:r>
    </w:p>
    <w:p w14:paraId="6B1A0862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e)      no subnível p do seu respectivo nível.</w:t>
      </w:r>
    </w:p>
    <w:p w14:paraId="60C080A6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5414539E" w14:textId="49FCC41D" w:rsidR="00EA167F" w:rsidRPr="00EA167F" w:rsidRDefault="00EA167F" w:rsidP="00EA16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b/>
          <w:bCs/>
          <w:sz w:val="20"/>
          <w:szCs w:val="20"/>
        </w:rPr>
        <w:t>ANO INTERNACIONAL DA TABELA PERIÓDICA</w:t>
      </w:r>
    </w:p>
    <w:p w14:paraId="2AD8C325" w14:textId="5A18B970" w:rsid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 xml:space="preserve"> Há 150 anos, a primeira versão da tabela periódica foi elaborada pelo cientista Dimitri </w:t>
      </w:r>
      <w:proofErr w:type="spellStart"/>
      <w:r w:rsidRPr="00EA167F">
        <w:rPr>
          <w:rFonts w:ascii="Verdana" w:hAnsi="Verdana"/>
          <w:sz w:val="20"/>
          <w:szCs w:val="20"/>
        </w:rPr>
        <w:t>Mendeleiev</w:t>
      </w:r>
      <w:proofErr w:type="spellEnd"/>
      <w:r w:rsidRPr="00EA167F">
        <w:rPr>
          <w:rFonts w:ascii="Verdana" w:hAnsi="Verdana"/>
          <w:sz w:val="20"/>
          <w:szCs w:val="20"/>
        </w:rPr>
        <w:t>. Trata-se de uma das conquistas de maior influência na ciência moderna, que reflete a essência não apenas da química, mas também da física, da biologia e de outras áreas das ciências puras. Como reconhecimento de sua importância, a UNESCO/ONU proclamou 2019 o Ano Internacional da Tabela Periódica.</w:t>
      </w:r>
    </w:p>
    <w:p w14:paraId="018EF308" w14:textId="77777777" w:rsidR="001D6B81" w:rsidRPr="00EA167F" w:rsidRDefault="001D6B81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58C327C0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 xml:space="preserve">Na tabela proposta por </w:t>
      </w:r>
      <w:proofErr w:type="spellStart"/>
      <w:r w:rsidRPr="00EA167F">
        <w:rPr>
          <w:rFonts w:ascii="Verdana" w:hAnsi="Verdana"/>
          <w:sz w:val="20"/>
          <w:szCs w:val="20"/>
        </w:rPr>
        <w:t>Mendeleiev</w:t>
      </w:r>
      <w:proofErr w:type="spellEnd"/>
      <w:r w:rsidRPr="00EA167F">
        <w:rPr>
          <w:rFonts w:ascii="Verdana" w:hAnsi="Verdana"/>
          <w:sz w:val="20"/>
          <w:szCs w:val="20"/>
        </w:rPr>
        <w:t xml:space="preserve"> em 1869, constavam os 64 elementos químicos conhecidos até então, além de espaços vazios para outros que ainda poderiam ser descobertos. Para esses possíveis novos elementos, ele empregou o prefixo “eca”, que significa “posição imediatamente posterior”. Por exemplo, o </w:t>
      </w:r>
      <w:proofErr w:type="spellStart"/>
      <w:r w:rsidRPr="00EA167F">
        <w:rPr>
          <w:rFonts w:ascii="Verdana" w:hAnsi="Verdana"/>
          <w:sz w:val="20"/>
          <w:szCs w:val="20"/>
        </w:rPr>
        <w:t>ecassilício</w:t>
      </w:r>
      <w:proofErr w:type="spellEnd"/>
      <w:r w:rsidRPr="00EA167F">
        <w:rPr>
          <w:rFonts w:ascii="Verdana" w:hAnsi="Verdana"/>
          <w:sz w:val="20"/>
          <w:szCs w:val="20"/>
        </w:rPr>
        <w:t xml:space="preserve"> seria o elemento químico a ocupar a primeira posição em sequência ao silício no seu grupo da tabela periódica.</w:t>
      </w:r>
    </w:p>
    <w:p w14:paraId="51D8CB43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Em homenagem ao trabalho desenvolvido pelo grande cientista, o elemento químico artificial de número atômico 101 foi denominado mendelévio.</w:t>
      </w:r>
    </w:p>
    <w:p w14:paraId="04FAB35E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 xml:space="preserve">Atualmente, o símbolo do elemento correspondente ao </w:t>
      </w:r>
      <w:proofErr w:type="spellStart"/>
      <w:r w:rsidRPr="00EA167F">
        <w:rPr>
          <w:rFonts w:ascii="Verdana" w:hAnsi="Verdana"/>
          <w:sz w:val="20"/>
          <w:szCs w:val="20"/>
        </w:rPr>
        <w:t>ecassilício</w:t>
      </w:r>
      <w:proofErr w:type="spellEnd"/>
      <w:r w:rsidRPr="00EA167F">
        <w:rPr>
          <w:rFonts w:ascii="Verdana" w:hAnsi="Verdana"/>
          <w:sz w:val="20"/>
          <w:szCs w:val="20"/>
        </w:rPr>
        <w:t xml:space="preserve"> é:</w:t>
      </w:r>
    </w:p>
    <w:p w14:paraId="20BFD173" w14:textId="00FC6B8C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79D2FA5F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  <w:lang w:val="es-ES"/>
        </w:rPr>
        <w:t>a)     Al</w:t>
      </w:r>
    </w:p>
    <w:p w14:paraId="2DDC074C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  <w:lang w:val="es-ES"/>
        </w:rPr>
        <w:t>b)     C</w:t>
      </w:r>
    </w:p>
    <w:p w14:paraId="6D10C0F4" w14:textId="2F63B3B4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  <w:lang w:val="es-ES"/>
        </w:rPr>
        <w:t>c)     Ge</w:t>
      </w:r>
    </w:p>
    <w:p w14:paraId="36C74262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  <w:lang w:val="es-ES"/>
        </w:rPr>
        <w:t>d)     P</w:t>
      </w:r>
    </w:p>
    <w:p w14:paraId="2C51D4EC" w14:textId="401FB1AA" w:rsidR="001D6B81" w:rsidRPr="00EA167F" w:rsidRDefault="001D6B81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s-ES"/>
        </w:rPr>
        <w:t>e</w:t>
      </w:r>
      <w:r w:rsidRPr="00EA167F">
        <w:rPr>
          <w:rFonts w:ascii="Verdana" w:hAnsi="Verdana"/>
          <w:sz w:val="20"/>
          <w:szCs w:val="20"/>
          <w:lang w:val="es-ES"/>
        </w:rPr>
        <w:t xml:space="preserve">)     </w:t>
      </w:r>
      <w:proofErr w:type="spellStart"/>
      <w:r>
        <w:rPr>
          <w:rFonts w:ascii="Verdana" w:hAnsi="Verdana"/>
          <w:sz w:val="20"/>
          <w:szCs w:val="20"/>
          <w:lang w:val="es-ES"/>
        </w:rPr>
        <w:t>Na</w:t>
      </w:r>
      <w:proofErr w:type="spellEnd"/>
    </w:p>
    <w:p w14:paraId="651A694F" w14:textId="695E0F14" w:rsidR="00EA167F" w:rsidRPr="00EA167F" w:rsidRDefault="00EA167F" w:rsidP="00EA16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lastRenderedPageBreak/>
        <w:t xml:space="preserve">2019 foi escolhido para ser o Ano Internacional da Tabela Periódica, em razão dos 150 anos da sua publicação por Ivanovich </w:t>
      </w:r>
      <w:proofErr w:type="spellStart"/>
      <w:r w:rsidRPr="00EA167F">
        <w:rPr>
          <w:rFonts w:ascii="Verdana" w:hAnsi="Verdana"/>
          <w:sz w:val="20"/>
          <w:szCs w:val="20"/>
        </w:rPr>
        <w:t>Mendellev</w:t>
      </w:r>
      <w:proofErr w:type="spellEnd"/>
      <w:r w:rsidRPr="00EA167F">
        <w:rPr>
          <w:rFonts w:ascii="Verdana" w:hAnsi="Verdana"/>
          <w:sz w:val="20"/>
          <w:szCs w:val="20"/>
        </w:rPr>
        <w:t>. Ao longo desses anos, ela passou por algumas alterações, sendo a mais importante delas, em relação à disposição dos elementos químicos, a</w:t>
      </w:r>
    </w:p>
    <w:p w14:paraId="4146EC77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 </w:t>
      </w:r>
    </w:p>
    <w:p w14:paraId="58EA793B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 xml:space="preserve">a)     inclusão do número de nêutrons na tabela em decorrência da descoberta dessas partículas por James </w:t>
      </w:r>
      <w:proofErr w:type="spellStart"/>
      <w:r w:rsidRPr="00EA167F">
        <w:rPr>
          <w:rFonts w:ascii="Verdana" w:hAnsi="Verdana"/>
          <w:sz w:val="20"/>
          <w:szCs w:val="20"/>
        </w:rPr>
        <w:t>Chadwik</w:t>
      </w:r>
      <w:proofErr w:type="spellEnd"/>
      <w:r w:rsidRPr="00EA167F">
        <w:rPr>
          <w:rFonts w:ascii="Verdana" w:hAnsi="Verdana"/>
          <w:sz w:val="20"/>
          <w:szCs w:val="20"/>
        </w:rPr>
        <w:t xml:space="preserve"> em 1932.</w:t>
      </w:r>
    </w:p>
    <w:p w14:paraId="3639AAC5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b)     configuração da série dos actinídeos, em que está o Urânio, resultado das pesquisas de Marie Curie com materiais radioativos.</w:t>
      </w:r>
    </w:p>
    <w:p w14:paraId="5D591557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c)      adequação dos dados da tabela à Constante de Avogadro, que permite o cálculo do número de Mol para cada elemento químico.</w:t>
      </w:r>
    </w:p>
    <w:p w14:paraId="3D949946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 xml:space="preserve">d)     mudança na ordenação dos elementos químicos para a ordem crescente de números atômicos, proposta por Henry </w:t>
      </w:r>
      <w:proofErr w:type="spellStart"/>
      <w:r w:rsidRPr="00EA167F">
        <w:rPr>
          <w:rFonts w:ascii="Verdana" w:hAnsi="Verdana"/>
          <w:sz w:val="20"/>
          <w:szCs w:val="20"/>
        </w:rPr>
        <w:t>Moseley</w:t>
      </w:r>
      <w:proofErr w:type="spellEnd"/>
      <w:r w:rsidRPr="00EA167F">
        <w:rPr>
          <w:rFonts w:ascii="Verdana" w:hAnsi="Verdana"/>
          <w:sz w:val="20"/>
          <w:szCs w:val="20"/>
        </w:rPr>
        <w:t>.</w:t>
      </w:r>
    </w:p>
    <w:p w14:paraId="08C8F723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e)     nenhuma das alternativas.</w:t>
      </w:r>
    </w:p>
    <w:p w14:paraId="20BDB1FD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2861FA33" w14:textId="6F27AD8A" w:rsidR="00EA167F" w:rsidRPr="00EA167F" w:rsidRDefault="00EA167F" w:rsidP="00EA16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 xml:space="preserve">Uma das contribuições mais relevantes para a organização dos elementos químicos foi realizada pelo russo Dmitri </w:t>
      </w:r>
      <w:proofErr w:type="spellStart"/>
      <w:r w:rsidRPr="00EA167F">
        <w:rPr>
          <w:rFonts w:ascii="Verdana" w:hAnsi="Verdana"/>
          <w:sz w:val="20"/>
          <w:szCs w:val="20"/>
        </w:rPr>
        <w:t>Mendeleev</w:t>
      </w:r>
      <w:proofErr w:type="spellEnd"/>
      <w:r w:rsidRPr="00EA167F">
        <w:rPr>
          <w:rFonts w:ascii="Verdana" w:hAnsi="Verdana"/>
          <w:sz w:val="20"/>
          <w:szCs w:val="20"/>
        </w:rPr>
        <w:t xml:space="preserve"> em 1869. Ele foi o primeiro a reconhecer que a relação dos elementos químicos, conhecidos até então, estava incompleta e que novos elementos seriam descobertos futuramente. Assim, </w:t>
      </w:r>
      <w:proofErr w:type="spellStart"/>
      <w:r w:rsidRPr="00EA167F">
        <w:rPr>
          <w:rFonts w:ascii="Verdana" w:hAnsi="Verdana"/>
          <w:sz w:val="20"/>
          <w:szCs w:val="20"/>
        </w:rPr>
        <w:t>Mendeleev</w:t>
      </w:r>
      <w:proofErr w:type="spellEnd"/>
      <w:r w:rsidRPr="00EA167F">
        <w:rPr>
          <w:rFonts w:ascii="Verdana" w:hAnsi="Verdana"/>
          <w:sz w:val="20"/>
          <w:szCs w:val="20"/>
        </w:rPr>
        <w:t xml:space="preserve"> deixou lacunas na sua tabela, que seriam preenchidas posteriormente, mas o mais surpreendente foi que ele previu com precisão as propriedades dos elementos que faltavam. Posteriormente, o modelo da tabela periódica de </w:t>
      </w:r>
      <w:proofErr w:type="spellStart"/>
      <w:r w:rsidRPr="00EA167F">
        <w:rPr>
          <w:rFonts w:ascii="Verdana" w:hAnsi="Verdana"/>
          <w:sz w:val="20"/>
          <w:szCs w:val="20"/>
        </w:rPr>
        <w:t>Mendeleev</w:t>
      </w:r>
      <w:proofErr w:type="spellEnd"/>
      <w:r w:rsidRPr="00EA167F">
        <w:rPr>
          <w:rFonts w:ascii="Verdana" w:hAnsi="Verdana"/>
          <w:sz w:val="20"/>
          <w:szCs w:val="20"/>
        </w:rPr>
        <w:t xml:space="preserve"> foi aprimorado pelo britânico Henry </w:t>
      </w:r>
      <w:proofErr w:type="spellStart"/>
      <w:r w:rsidRPr="00EA167F">
        <w:rPr>
          <w:rFonts w:ascii="Verdana" w:hAnsi="Verdana"/>
          <w:sz w:val="20"/>
          <w:szCs w:val="20"/>
        </w:rPr>
        <w:t>Moseley</w:t>
      </w:r>
      <w:proofErr w:type="spellEnd"/>
      <w:r w:rsidRPr="00EA167F">
        <w:rPr>
          <w:rFonts w:ascii="Verdana" w:hAnsi="Verdana"/>
          <w:sz w:val="20"/>
          <w:szCs w:val="20"/>
        </w:rPr>
        <w:t>.</w:t>
      </w:r>
    </w:p>
    <w:p w14:paraId="51C82E59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 </w:t>
      </w:r>
    </w:p>
    <w:p w14:paraId="07A6F28A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 xml:space="preserve">Neste ano, celebram-se 150 anos da organização da tabela periódica, realizada por </w:t>
      </w:r>
      <w:proofErr w:type="spellStart"/>
      <w:r w:rsidRPr="00EA167F">
        <w:rPr>
          <w:rFonts w:ascii="Verdana" w:hAnsi="Verdana"/>
          <w:sz w:val="20"/>
          <w:szCs w:val="20"/>
        </w:rPr>
        <w:t>Mendeleev</w:t>
      </w:r>
      <w:proofErr w:type="spellEnd"/>
      <w:r w:rsidRPr="00EA167F">
        <w:rPr>
          <w:rFonts w:ascii="Verdana" w:hAnsi="Verdana"/>
          <w:sz w:val="20"/>
          <w:szCs w:val="20"/>
        </w:rPr>
        <w:t xml:space="preserve"> e, de acordo com os seus conhecimentos a respeito da </w:t>
      </w:r>
      <w:r w:rsidRPr="00EA167F">
        <w:rPr>
          <w:rFonts w:ascii="Verdana" w:hAnsi="Verdana"/>
          <w:sz w:val="20"/>
          <w:szCs w:val="20"/>
          <w:u w:val="single"/>
        </w:rPr>
        <w:t>tabela periódica atual</w:t>
      </w:r>
      <w:r w:rsidRPr="00EA167F">
        <w:rPr>
          <w:rFonts w:ascii="Verdana" w:hAnsi="Verdana"/>
          <w:sz w:val="20"/>
          <w:szCs w:val="20"/>
        </w:rPr>
        <w:t>, pode-se afirmar que</w:t>
      </w:r>
    </w:p>
    <w:p w14:paraId="2AB34252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 </w:t>
      </w:r>
    </w:p>
    <w:p w14:paraId="3A040161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a)     os elementos químicos estão organizados em ordem crescente de massa atômica.</w:t>
      </w:r>
    </w:p>
    <w:p w14:paraId="46B5CBEA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b)     as colunas da tabela são denominadas períodos e as linhas, grupos ou famílias.</w:t>
      </w:r>
    </w:p>
    <w:p w14:paraId="475CBC81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c)      os elementos químicos mais eletronegativos estão localizados na parte inferior esquerda da tabela.</w:t>
      </w:r>
    </w:p>
    <w:p w14:paraId="4BB87B4D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d)     os elementos químicos de um mesmo grupo possuem o mesmo número de elétrons na camada de valência.</w:t>
      </w:r>
    </w:p>
    <w:p w14:paraId="7F5F1C06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e)     os elementos químicos pertencentes a um mesmo período possuem propriedades químicas semelhantes.</w:t>
      </w:r>
    </w:p>
    <w:p w14:paraId="7EC31753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1D62C2D1" w14:textId="6D26BE39" w:rsidR="00EA167F" w:rsidRPr="00EA167F" w:rsidRDefault="00EA167F" w:rsidP="00EA16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b/>
          <w:bCs/>
          <w:sz w:val="20"/>
          <w:szCs w:val="20"/>
        </w:rPr>
        <w:t>Mineração oceânica</w:t>
      </w:r>
    </w:p>
    <w:p w14:paraId="70D8828C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A abundância de lítio na forma de íons nas águas dos oceanos é cerca de 5 000 vezes maior do que na crosta terrestre, o que tem estimulado a mineração oceânica. No entanto, apesar de mais abundante nas águas dos mares do que na crosta terrestre, o lítio nos oceanos está presente em concentrações extremamente baixas, cerca de 0,2 parte por milhão (</w:t>
      </w:r>
      <w:proofErr w:type="spellStart"/>
      <w:r w:rsidRPr="00EA167F">
        <w:rPr>
          <w:rFonts w:ascii="Verdana" w:hAnsi="Verdana"/>
          <w:sz w:val="20"/>
          <w:szCs w:val="20"/>
        </w:rPr>
        <w:t>ppm</w:t>
      </w:r>
      <w:proofErr w:type="spellEnd"/>
      <w:r w:rsidRPr="00EA167F">
        <w:rPr>
          <w:rFonts w:ascii="Verdana" w:hAnsi="Verdana"/>
          <w:sz w:val="20"/>
          <w:szCs w:val="20"/>
        </w:rPr>
        <w:t>). Íons maiores, como sódio, magnésio e potássio, estão presentes na água do mar em concentrações muito mais altas que a do íon Li</w:t>
      </w:r>
      <w:r w:rsidRPr="00EA167F">
        <w:rPr>
          <w:rFonts w:ascii="Verdana" w:hAnsi="Verdana"/>
          <w:sz w:val="20"/>
          <w:szCs w:val="20"/>
          <w:vertAlign w:val="superscript"/>
        </w:rPr>
        <w:t>+</w:t>
      </w:r>
      <w:r w:rsidRPr="00EA167F">
        <w:rPr>
          <w:rFonts w:ascii="Verdana" w:hAnsi="Verdana"/>
          <w:sz w:val="20"/>
          <w:szCs w:val="20"/>
        </w:rPr>
        <w:t>. Isso tem inviabilizado a extração de lítio dessa mistura, de forma técnica ou economicamente viável.</w:t>
      </w:r>
    </w:p>
    <w:p w14:paraId="3D151EA9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Esse desafio acaba de ser vencido por uma equipe de pesquisadores da Arábia Saudita, que utilizam uma célula eletroquímica contendo uma membrana cerâmica porosa, que permite a passagem dos íons de lítio, mas bloqueia eficientemente os íons dos outros elementos citados.</w:t>
      </w:r>
    </w:p>
    <w:p w14:paraId="6E45FF26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Organizando em ordem crescente de tamanho os íons maiores do que o lítio, citados no texto, tem-se:</w:t>
      </w:r>
    </w:p>
    <w:p w14:paraId="0E5A5922" w14:textId="025C897F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3B1A1870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a)      sódio – magnésio – potássio.</w:t>
      </w:r>
    </w:p>
    <w:p w14:paraId="7328452B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b)      potássio – sódio – magnésio.</w:t>
      </w:r>
    </w:p>
    <w:p w14:paraId="6AF28392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c)      magnésio – sódio – potássio.</w:t>
      </w:r>
    </w:p>
    <w:p w14:paraId="74AE691A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d)      sódio – potássio – magnésio.</w:t>
      </w:r>
    </w:p>
    <w:p w14:paraId="62030E64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e)      magnésio – potássio – sódio.</w:t>
      </w:r>
    </w:p>
    <w:p w14:paraId="2A4C0D96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42B2059D" w14:textId="29138AB0" w:rsidR="00EA167F" w:rsidRPr="00EA167F" w:rsidRDefault="00EA167F" w:rsidP="00EA16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lastRenderedPageBreak/>
        <w:t>Silício e Germânio são elementos empregados em componentes eletrônicos. Considerando a posição desses elementos na Classificação Periódica, pode-se afirmar que, no estado fundamental, eles apresentam</w:t>
      </w:r>
    </w:p>
    <w:p w14:paraId="648F2ADF" w14:textId="5726496D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a)          igual valor da densidade a 293 K.</w:t>
      </w:r>
    </w:p>
    <w:p w14:paraId="636CA160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b)         igual valor da primeira energia de ionização.</w:t>
      </w:r>
    </w:p>
    <w:p w14:paraId="5977BD16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c)          igual número de elétrons na camada de valência.</w:t>
      </w:r>
    </w:p>
    <w:p w14:paraId="619DCD55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d)         igual número de prótons em seus núcleos.</w:t>
      </w:r>
    </w:p>
    <w:p w14:paraId="7DDB15A2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e)          igual valor da eletronegatividade.</w:t>
      </w:r>
    </w:p>
    <w:p w14:paraId="58D9ED4C" w14:textId="77777777" w:rsidR="00EA167F" w:rsidRPr="00EA167F" w:rsidRDefault="00EA167F" w:rsidP="00EA167F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3B7169C8" w14:textId="6DB79292" w:rsidR="00EA167F" w:rsidRPr="00EA167F" w:rsidRDefault="00EA167F" w:rsidP="00EA16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 xml:space="preserve">Dmitry </w:t>
      </w:r>
      <w:proofErr w:type="spellStart"/>
      <w:r w:rsidRPr="00EA167F">
        <w:rPr>
          <w:rFonts w:ascii="Verdana" w:hAnsi="Verdana"/>
          <w:sz w:val="20"/>
          <w:szCs w:val="20"/>
        </w:rPr>
        <w:t>Mendeleev</w:t>
      </w:r>
      <w:proofErr w:type="spellEnd"/>
      <w:r w:rsidRPr="00EA167F">
        <w:rPr>
          <w:rFonts w:ascii="Verdana" w:hAnsi="Verdana"/>
          <w:sz w:val="20"/>
          <w:szCs w:val="20"/>
        </w:rPr>
        <w:t>, nascido na Rússia, formulou uma lei que ele denominou, em 1871, como periódica: quando dispostos de acordo com o valor de seus pesos atômicos, os elementos apresentam uma clara periodicidade de propriedades.</w:t>
      </w:r>
    </w:p>
    <w:p w14:paraId="08F3EA16" w14:textId="18D90EC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 xml:space="preserve">A tabela elaborada por </w:t>
      </w:r>
      <w:proofErr w:type="spellStart"/>
      <w:r w:rsidRPr="00EA167F">
        <w:rPr>
          <w:rFonts w:ascii="Verdana" w:hAnsi="Verdana"/>
          <w:sz w:val="20"/>
          <w:szCs w:val="20"/>
        </w:rPr>
        <w:t>Mendeleev</w:t>
      </w:r>
      <w:proofErr w:type="spellEnd"/>
      <w:r w:rsidRPr="00EA167F">
        <w:rPr>
          <w:rFonts w:ascii="Verdana" w:hAnsi="Verdana"/>
          <w:sz w:val="20"/>
          <w:szCs w:val="20"/>
        </w:rPr>
        <w:t>, em consonância com a lei periódica por ele formulada, organizava os elementos em função</w:t>
      </w:r>
    </w:p>
    <w:p w14:paraId="10680BF6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a)     dos raios atômicos.</w:t>
      </w:r>
    </w:p>
    <w:p w14:paraId="029F982A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b)     dos pesos atômicos.</w:t>
      </w:r>
    </w:p>
    <w:p w14:paraId="3F9D34C9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c)      da eletronegatividade.</w:t>
      </w:r>
    </w:p>
    <w:p w14:paraId="0CFEDF56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d)     da distribuição eletrônica.</w:t>
      </w:r>
    </w:p>
    <w:p w14:paraId="28CAA855" w14:textId="40F20D11" w:rsid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e)     da distribuição dos prótons no núcleo.</w:t>
      </w:r>
    </w:p>
    <w:p w14:paraId="20EC1E91" w14:textId="77777777" w:rsidR="001D6B81" w:rsidRPr="00EA167F" w:rsidRDefault="001D6B81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01A8804D" w14:textId="2A7D3940" w:rsidR="00EA167F" w:rsidRPr="00EA167F" w:rsidRDefault="00EA167F" w:rsidP="00EA16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Considerando uma molécula diatômica, o raio do átomo é a metade da distância determinada, experimentalmente, entre o centro dos dois átomos. Raio atômico é uma propriedade periódica e várias outras dependem dela.</w:t>
      </w:r>
    </w:p>
    <w:p w14:paraId="384EBF06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 </w:t>
      </w:r>
    </w:p>
    <w:p w14:paraId="400313BC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Avalie as afirmativas abaixo e assinale a alternativa correta.</w:t>
      </w:r>
    </w:p>
    <w:p w14:paraId="5118EE56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 I.       Se compararmos os raios atômicos dos elementos P, S e Cl, o P possui o menor raio atômico.</w:t>
      </w:r>
    </w:p>
    <w:p w14:paraId="447C2751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II.     O F possui maior raio atômico que o íon F</w:t>
      </w:r>
      <w:r w:rsidRPr="00EA167F">
        <w:rPr>
          <w:rFonts w:ascii="Verdana" w:hAnsi="Verdana"/>
          <w:sz w:val="20"/>
          <w:szCs w:val="20"/>
          <w:vertAlign w:val="superscript"/>
        </w:rPr>
        <w:t>–</w:t>
      </w:r>
      <w:r w:rsidRPr="00EA167F">
        <w:rPr>
          <w:rFonts w:ascii="Verdana" w:hAnsi="Verdana"/>
          <w:sz w:val="20"/>
          <w:szCs w:val="20"/>
        </w:rPr>
        <w:t>.</w:t>
      </w:r>
    </w:p>
    <w:p w14:paraId="69FD329A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III.    Entre os íons F</w:t>
      </w:r>
      <w:r w:rsidRPr="00EA167F">
        <w:rPr>
          <w:rFonts w:ascii="Verdana" w:hAnsi="Verdana"/>
          <w:sz w:val="20"/>
          <w:szCs w:val="20"/>
          <w:vertAlign w:val="superscript"/>
        </w:rPr>
        <w:t>–</w:t>
      </w:r>
      <w:r w:rsidRPr="00EA167F">
        <w:rPr>
          <w:rFonts w:ascii="Verdana" w:hAnsi="Verdana"/>
          <w:sz w:val="20"/>
          <w:szCs w:val="20"/>
        </w:rPr>
        <w:t>, Na</w:t>
      </w:r>
      <w:r w:rsidRPr="00EA167F">
        <w:rPr>
          <w:rFonts w:ascii="Verdana" w:hAnsi="Verdana"/>
          <w:sz w:val="20"/>
          <w:szCs w:val="20"/>
          <w:vertAlign w:val="superscript"/>
        </w:rPr>
        <w:t>+</w:t>
      </w:r>
      <w:r w:rsidRPr="00EA167F">
        <w:rPr>
          <w:rFonts w:ascii="Verdana" w:hAnsi="Verdana"/>
          <w:sz w:val="20"/>
          <w:szCs w:val="20"/>
        </w:rPr>
        <w:t> e Mg</w:t>
      </w:r>
      <w:r w:rsidRPr="00EA167F">
        <w:rPr>
          <w:rFonts w:ascii="Verdana" w:hAnsi="Verdana"/>
          <w:sz w:val="20"/>
          <w:szCs w:val="20"/>
          <w:vertAlign w:val="superscript"/>
        </w:rPr>
        <w:t>2+</w:t>
      </w:r>
      <w:r w:rsidRPr="00EA167F">
        <w:rPr>
          <w:rFonts w:ascii="Verdana" w:hAnsi="Verdana"/>
          <w:sz w:val="20"/>
          <w:szCs w:val="20"/>
        </w:rPr>
        <w:t>, o último apresenta o menor raio iônico.</w:t>
      </w:r>
    </w:p>
    <w:p w14:paraId="318B3887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 a)     As afirmativas I, II e III estão corretas.</w:t>
      </w:r>
    </w:p>
    <w:p w14:paraId="4504732D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b)     As afirmativas II e III estão corretas.</w:t>
      </w:r>
    </w:p>
    <w:p w14:paraId="56C360E9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c)      Apenas a afirmativa III está correta.</w:t>
      </w:r>
    </w:p>
    <w:p w14:paraId="2069A323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d)     Apenas a afirmativa II está correta.</w:t>
      </w:r>
    </w:p>
    <w:p w14:paraId="0FA43D0D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2AC6CC34" w14:textId="1C4F30C1" w:rsidR="00EA167F" w:rsidRPr="00EA167F" w:rsidRDefault="00EA167F" w:rsidP="00EA16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Os filmes de super-heróis dos quadrinhos se tornaram um fenômeno do cinema nos últimos anos. Um exemplo é o Homem de Ferro, personagem fictício dos quadrinhos publicados pela Marvel Comics. Sua identidade verdadeira é a do empresário e bilionário Tony Stark, que usa armaduras de alta tecnologia no combate ao crime.</w:t>
      </w:r>
    </w:p>
    <w:p w14:paraId="2794AE60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Seu traje é feito de titânio (</w:t>
      </w:r>
      <w:r w:rsidRPr="00EA167F">
        <w:rPr>
          <w:rFonts w:ascii="Verdana" w:hAnsi="Verdana"/>
          <w:sz w:val="20"/>
          <w:szCs w:val="20"/>
          <w:vertAlign w:val="subscript"/>
        </w:rPr>
        <w:t>22</w:t>
      </w:r>
      <w:r w:rsidRPr="00EA167F">
        <w:rPr>
          <w:rFonts w:ascii="Verdana" w:hAnsi="Verdana"/>
          <w:sz w:val="20"/>
          <w:szCs w:val="20"/>
        </w:rPr>
        <w:t>Ti</w:t>
      </w:r>
      <w:r w:rsidRPr="00EA167F">
        <w:rPr>
          <w:rFonts w:ascii="Verdana" w:hAnsi="Verdana"/>
          <w:sz w:val="20"/>
          <w:szCs w:val="20"/>
          <w:vertAlign w:val="superscript"/>
        </w:rPr>
        <w:t>48</w:t>
      </w:r>
      <w:r w:rsidRPr="00EA167F">
        <w:rPr>
          <w:rFonts w:ascii="Verdana" w:hAnsi="Verdana"/>
          <w:sz w:val="20"/>
          <w:szCs w:val="20"/>
        </w:rPr>
        <w:t>), reforçado com fibra de carbono e revestimento cerâmico (usado em coletes à prova de balas e blindagem de carros). Já o capacete é hermeticamente selado, não permitindo, por isso, contaminação por fumaça ou venenos. A viseira é retrátil e um processador ligado à cabeça capta os sinais do cérebro, interpreta as ordens e as repassa para o traje. Instalado no peito do herói, um reator realiza a fusão fria do elemento paládio (</w:t>
      </w:r>
      <w:r w:rsidRPr="00EA167F">
        <w:rPr>
          <w:rFonts w:ascii="Verdana" w:hAnsi="Verdana"/>
          <w:sz w:val="20"/>
          <w:szCs w:val="20"/>
          <w:vertAlign w:val="subscript"/>
        </w:rPr>
        <w:t>46</w:t>
      </w:r>
      <w:r w:rsidRPr="00EA167F">
        <w:rPr>
          <w:rFonts w:ascii="Verdana" w:hAnsi="Verdana"/>
          <w:sz w:val="20"/>
          <w:szCs w:val="20"/>
        </w:rPr>
        <w:t>Pd</w:t>
      </w:r>
      <w:r w:rsidRPr="00EA167F">
        <w:rPr>
          <w:rFonts w:ascii="Verdana" w:hAnsi="Verdana"/>
          <w:sz w:val="20"/>
          <w:szCs w:val="20"/>
          <w:vertAlign w:val="superscript"/>
        </w:rPr>
        <w:t>106</w:t>
      </w:r>
      <w:r w:rsidRPr="00EA167F">
        <w:rPr>
          <w:rFonts w:ascii="Verdana" w:hAnsi="Verdana"/>
          <w:sz w:val="20"/>
          <w:szCs w:val="20"/>
        </w:rPr>
        <w:t>) para gerar a energia que alimenta as partes-chaves do traje. Além disso, ele também é capaz de disparar raios de energia.</w:t>
      </w:r>
    </w:p>
    <w:p w14:paraId="0DF2574B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drawing>
          <wp:inline distT="0" distB="0" distL="0" distR="0" wp14:anchorId="3FE576F0" wp14:editId="7B844C16">
            <wp:extent cx="1233577" cy="898632"/>
            <wp:effectExtent l="0" t="0" r="5080" b="0"/>
            <wp:docPr id="3" name="Imagem 3" descr="Foto em preto e branco de pessoa com máscara de cava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to em preto e branco de pessoa com máscara de caval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002" cy="90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977D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Em relação aos elementos químicos constituintes do traje do Homem de Ferro,</w:t>
      </w:r>
    </w:p>
    <w:p w14:paraId="48BF5593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a)     o titânio é considerado um metal de transição da classe dos actinídeos.</w:t>
      </w:r>
    </w:p>
    <w:p w14:paraId="6F42C6F6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b)     a distribuição eletrônica dos elétrons do elemento titânio é feita fundamentalmente em três camadas eletrônicas.</w:t>
      </w:r>
    </w:p>
    <w:p w14:paraId="6FD7AE0C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c)      o elemento paládio é um não metal da família 15, ou seja, da família do nitrogênio.</w:t>
      </w:r>
    </w:p>
    <w:p w14:paraId="403CE4BE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d)     no núcleo dos átomos do elemento paládio, encontram-se 46 prótons.</w:t>
      </w:r>
    </w:p>
    <w:p w14:paraId="7B201387" w14:textId="250E0A45" w:rsid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e)     o número atômico do elemento titânio é 48.</w:t>
      </w:r>
    </w:p>
    <w:p w14:paraId="189A1F53" w14:textId="0A93AB0B" w:rsidR="00EA167F" w:rsidRPr="00EA167F" w:rsidRDefault="00EA167F" w:rsidP="00EA167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lastRenderedPageBreak/>
        <w:t>No ano de 2019, em comemoração aos 150 anos da Tabela Periódica, a Revista Ciência Hoje das Crianças (CHC) publicou um artigo que explica ao seu público a organização dos elementos químicos. Para isso, criou a “Tabela dos superpoderes”.</w:t>
      </w:r>
    </w:p>
    <w:p w14:paraId="6BB0819A" w14:textId="0EEC4328" w:rsidR="00EA167F" w:rsidRPr="00EA167F" w:rsidRDefault="00EA167F" w:rsidP="001D6B81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drawing>
          <wp:inline distT="0" distB="0" distL="0" distR="0" wp14:anchorId="57B2D5BD" wp14:editId="02BEAA33">
            <wp:extent cx="4181475" cy="4970694"/>
            <wp:effectExtent l="0" t="0" r="0" b="1905"/>
            <wp:docPr id="17" name="Imagem 17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04" cy="49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E712" w14:textId="4E82E732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Relacionando a Tabela dos superpoderes com a atual Tabela Periódica, é correto afirmar que os super-heróis (ou vilões) foram dispostos</w:t>
      </w:r>
    </w:p>
    <w:p w14:paraId="06D68D90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 a)      nos períodos de acordo com os seus poderes, assim como os elementos químicos foram organizados nos períodos conforme o número de elétrons na última camada.</w:t>
      </w:r>
    </w:p>
    <w:p w14:paraId="70016FA1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b)      nas famílias segundo a equipe a que pertencem, assim como os elementos químicos foram organizados nas colunas conforme o número de suas camadas eletrônicas.</w:t>
      </w:r>
    </w:p>
    <w:p w14:paraId="022454AD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c)      nos períodos de acordo com o mesmo tipo de poder, assim como os elementos químicos foram organizados nos períodos conforme o mesmo número de elétrons.</w:t>
      </w:r>
    </w:p>
    <w:p w14:paraId="46D11497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d)      nas famílias segundo a equipe a qual pertenciam, assim como os elementos químicos foram organizados nas colunas conforme a semelhança entre suas propriedades.</w:t>
      </w:r>
    </w:p>
    <w:p w14:paraId="5E0FB0FC" w14:textId="77777777" w:rsidR="00EA167F" w:rsidRPr="00EA167F" w:rsidRDefault="00EA167F" w:rsidP="001D6B81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A167F">
        <w:rPr>
          <w:rFonts w:ascii="Verdana" w:hAnsi="Verdana"/>
          <w:sz w:val="20"/>
          <w:szCs w:val="20"/>
        </w:rPr>
        <w:t>e)      nenhuma das alternativas.</w:t>
      </w:r>
    </w:p>
    <w:p w14:paraId="3C42A2AC" w14:textId="77777777" w:rsidR="001E5710" w:rsidRPr="0002072F" w:rsidRDefault="001E5710" w:rsidP="0002072F">
      <w:pPr>
        <w:spacing w:after="0" w:line="240" w:lineRule="auto"/>
        <w:jc w:val="both"/>
        <w:rPr>
          <w:rFonts w:ascii="Verdana" w:hAnsi="Verdana"/>
          <w:sz w:val="20"/>
          <w:szCs w:val="20"/>
        </w:rPr>
        <w:sectPr w:rsidR="001E5710" w:rsidRPr="0002072F" w:rsidSect="00B71635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16089EE6" w14:textId="3642AE17" w:rsidR="00EA167F" w:rsidRPr="0002072F" w:rsidRDefault="0002072F" w:rsidP="0002072F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1D705D" wp14:editId="67BFF2EE">
            <wp:extent cx="10321389" cy="7047230"/>
            <wp:effectExtent l="0" t="0" r="3810" b="1270"/>
            <wp:docPr id="5" name="Imagem 5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lend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8509" cy="705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67F" w:rsidRPr="0002072F" w:rsidSect="0002072F">
      <w:pgSz w:w="16838" w:h="11906" w:orient="landscape"/>
      <w:pgMar w:top="567" w:right="426" w:bottom="707" w:left="568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C3E02" w14:textId="77777777" w:rsidR="00DB679A" w:rsidRDefault="00DB679A" w:rsidP="009851F2">
      <w:pPr>
        <w:spacing w:after="0" w:line="240" w:lineRule="auto"/>
      </w:pPr>
      <w:r>
        <w:separator/>
      </w:r>
    </w:p>
  </w:endnote>
  <w:endnote w:type="continuationSeparator" w:id="0">
    <w:p w14:paraId="72B5B348" w14:textId="77777777" w:rsidR="00DB679A" w:rsidRDefault="00DB679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  <w:p w14:paraId="27ECDEAC" w14:textId="77777777" w:rsidR="00000000" w:rsidRDefault="00DB679A"/>
  <w:p w14:paraId="65638EC9" w14:textId="77777777" w:rsidR="00000000" w:rsidRDefault="00DB679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  <w:p w14:paraId="32FD6108" w14:textId="77777777" w:rsidR="00000000" w:rsidRDefault="00DB679A"/>
  <w:p w14:paraId="12A77171" w14:textId="77777777" w:rsidR="00000000" w:rsidRDefault="00DB67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594F" w14:textId="77777777" w:rsidR="00DB679A" w:rsidRDefault="00DB679A" w:rsidP="009851F2">
      <w:pPr>
        <w:spacing w:after="0" w:line="240" w:lineRule="auto"/>
      </w:pPr>
      <w:r>
        <w:separator/>
      </w:r>
    </w:p>
  </w:footnote>
  <w:footnote w:type="continuationSeparator" w:id="0">
    <w:p w14:paraId="50BD4252" w14:textId="77777777" w:rsidR="00DB679A" w:rsidRDefault="00DB679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33170F1" w14:textId="77777777" w:rsidR="00000000" w:rsidRDefault="00DB67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630"/>
    <w:multiLevelType w:val="hybridMultilevel"/>
    <w:tmpl w:val="A078A034"/>
    <w:lvl w:ilvl="0" w:tplc="51548FCE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3EB0145"/>
    <w:multiLevelType w:val="hybridMultilevel"/>
    <w:tmpl w:val="699C011A"/>
    <w:lvl w:ilvl="0" w:tplc="3968A0C0">
      <w:start w:val="1"/>
      <w:numFmt w:val="decimalZero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B3AA9"/>
    <w:multiLevelType w:val="hybridMultilevel"/>
    <w:tmpl w:val="26B8C9B2"/>
    <w:lvl w:ilvl="0" w:tplc="52AC0B0A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2536493">
    <w:abstractNumId w:val="5"/>
  </w:num>
  <w:num w:numId="2" w16cid:durableId="964585573">
    <w:abstractNumId w:val="3"/>
  </w:num>
  <w:num w:numId="3" w16cid:durableId="1022583950">
    <w:abstractNumId w:val="2"/>
  </w:num>
  <w:num w:numId="4" w16cid:durableId="1423644779">
    <w:abstractNumId w:val="8"/>
  </w:num>
  <w:num w:numId="5" w16cid:durableId="1992099312">
    <w:abstractNumId w:val="4"/>
  </w:num>
  <w:num w:numId="6" w16cid:durableId="672338341">
    <w:abstractNumId w:val="6"/>
  </w:num>
  <w:num w:numId="7" w16cid:durableId="1913420727">
    <w:abstractNumId w:val="7"/>
  </w:num>
  <w:num w:numId="8" w16cid:durableId="1359696000">
    <w:abstractNumId w:val="0"/>
  </w:num>
  <w:num w:numId="9" w16cid:durableId="337511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072F"/>
    <w:rsid w:val="00052B81"/>
    <w:rsid w:val="000840B5"/>
    <w:rsid w:val="00093F84"/>
    <w:rsid w:val="000B39A7"/>
    <w:rsid w:val="000C2CDC"/>
    <w:rsid w:val="000D0A71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B81"/>
    <w:rsid w:val="001E5710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31FD"/>
    <w:rsid w:val="003B4513"/>
    <w:rsid w:val="003C0F22"/>
    <w:rsid w:val="003D20C7"/>
    <w:rsid w:val="0040381F"/>
    <w:rsid w:val="0042634C"/>
    <w:rsid w:val="00446779"/>
    <w:rsid w:val="00466D7A"/>
    <w:rsid w:val="00473C96"/>
    <w:rsid w:val="00492A0B"/>
    <w:rsid w:val="004A1876"/>
    <w:rsid w:val="004B5FAA"/>
    <w:rsid w:val="004F0ABD"/>
    <w:rsid w:val="004F5938"/>
    <w:rsid w:val="0050294C"/>
    <w:rsid w:val="00510D47"/>
    <w:rsid w:val="0054275C"/>
    <w:rsid w:val="00544C7F"/>
    <w:rsid w:val="005C3014"/>
    <w:rsid w:val="005E5BEA"/>
    <w:rsid w:val="005F6252"/>
    <w:rsid w:val="00614DEE"/>
    <w:rsid w:val="00624538"/>
    <w:rsid w:val="006451D4"/>
    <w:rsid w:val="00653418"/>
    <w:rsid w:val="006540DD"/>
    <w:rsid w:val="006C72CA"/>
    <w:rsid w:val="006E1771"/>
    <w:rsid w:val="006E26DF"/>
    <w:rsid w:val="006F0AC2"/>
    <w:rsid w:val="006F5A84"/>
    <w:rsid w:val="007300A8"/>
    <w:rsid w:val="00735AE3"/>
    <w:rsid w:val="0073776A"/>
    <w:rsid w:val="00755526"/>
    <w:rsid w:val="007571C0"/>
    <w:rsid w:val="007D07B0"/>
    <w:rsid w:val="007D6A32"/>
    <w:rsid w:val="007E3B2B"/>
    <w:rsid w:val="007E510D"/>
    <w:rsid w:val="007F6974"/>
    <w:rsid w:val="008005D5"/>
    <w:rsid w:val="00824D86"/>
    <w:rsid w:val="0086497B"/>
    <w:rsid w:val="00874089"/>
    <w:rsid w:val="0087463C"/>
    <w:rsid w:val="00890529"/>
    <w:rsid w:val="008A5048"/>
    <w:rsid w:val="008B1BFA"/>
    <w:rsid w:val="008D6898"/>
    <w:rsid w:val="008E3648"/>
    <w:rsid w:val="0091198D"/>
    <w:rsid w:val="00914A2F"/>
    <w:rsid w:val="009521D6"/>
    <w:rsid w:val="00965A01"/>
    <w:rsid w:val="0098193B"/>
    <w:rsid w:val="009851F2"/>
    <w:rsid w:val="0098580D"/>
    <w:rsid w:val="00991889"/>
    <w:rsid w:val="009A26A2"/>
    <w:rsid w:val="009A7F64"/>
    <w:rsid w:val="009C3006"/>
    <w:rsid w:val="009C3431"/>
    <w:rsid w:val="009D122B"/>
    <w:rsid w:val="00A02AEC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3ABB"/>
    <w:rsid w:val="00B94D7B"/>
    <w:rsid w:val="00BA2C10"/>
    <w:rsid w:val="00BB343C"/>
    <w:rsid w:val="00BC692B"/>
    <w:rsid w:val="00BD077F"/>
    <w:rsid w:val="00BE09C1"/>
    <w:rsid w:val="00BE32F2"/>
    <w:rsid w:val="00BF0FFC"/>
    <w:rsid w:val="00BF5CAE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B679A"/>
    <w:rsid w:val="00DC7A8C"/>
    <w:rsid w:val="00DD6F2D"/>
    <w:rsid w:val="00DE030D"/>
    <w:rsid w:val="00E05985"/>
    <w:rsid w:val="00E3371B"/>
    <w:rsid w:val="00E46324"/>
    <w:rsid w:val="00E47795"/>
    <w:rsid w:val="00E517CC"/>
    <w:rsid w:val="00E57A59"/>
    <w:rsid w:val="00E6002F"/>
    <w:rsid w:val="00E65448"/>
    <w:rsid w:val="00E77542"/>
    <w:rsid w:val="00E94A76"/>
    <w:rsid w:val="00EA167F"/>
    <w:rsid w:val="00EA4710"/>
    <w:rsid w:val="00EA5A90"/>
    <w:rsid w:val="00EA61E8"/>
    <w:rsid w:val="00EC13B8"/>
    <w:rsid w:val="00ED1EBE"/>
    <w:rsid w:val="00ED64D8"/>
    <w:rsid w:val="00F034E6"/>
    <w:rsid w:val="00F03E24"/>
    <w:rsid w:val="00F16B25"/>
    <w:rsid w:val="00F41A42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1672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4</cp:revision>
  <cp:lastPrinted>2018-08-06T13:00:00Z</cp:lastPrinted>
  <dcterms:created xsi:type="dcterms:W3CDTF">2022-05-02T00:51:00Z</dcterms:created>
  <dcterms:modified xsi:type="dcterms:W3CDTF">2022-05-02T01:02:00Z</dcterms:modified>
</cp:coreProperties>
</file>