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91FD" w14:textId="76D79C34" w:rsidR="002E34C4" w:rsidRDefault="002039B1" w:rsidP="00987A02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2039B1">
        <w:rPr>
          <w:rFonts w:ascii="Verdana" w:hAnsi="Verdana"/>
          <w:sz w:val="20"/>
          <w:szCs w:val="20"/>
        </w:rPr>
        <w:t xml:space="preserve">Conteúdo para a 1ª Prova Mensal </w:t>
      </w:r>
      <w:r w:rsidR="00D25028">
        <w:rPr>
          <w:rFonts w:ascii="Verdana" w:hAnsi="Verdana"/>
          <w:sz w:val="20"/>
          <w:szCs w:val="20"/>
        </w:rPr>
        <w:t>9</w:t>
      </w:r>
      <w:r w:rsidRPr="002039B1">
        <w:rPr>
          <w:rFonts w:ascii="Verdana" w:hAnsi="Verdana"/>
          <w:sz w:val="20"/>
          <w:szCs w:val="20"/>
        </w:rPr>
        <w:t>° ano</w:t>
      </w:r>
    </w:p>
    <w:p w14:paraId="0AD31C51" w14:textId="5FF21256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64B64EF2" w14:textId="029803EE" w:rsidR="002039B1" w:rsidRPr="00D25028" w:rsidRDefault="00D25028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MATEMÁTICA 1</w:t>
      </w:r>
    </w:p>
    <w:p w14:paraId="64C40FE7" w14:textId="6C186541" w:rsidR="00987A02" w:rsidRPr="00987A02" w:rsidRDefault="002039B1" w:rsidP="00987A02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>Capitulo 01</w:t>
      </w:r>
      <w:r w:rsidR="00987A02">
        <w:rPr>
          <w:rFonts w:ascii="Verdana" w:hAnsi="Verdana"/>
          <w:b/>
          <w:bCs/>
          <w:sz w:val="20"/>
          <w:szCs w:val="20"/>
        </w:rPr>
        <w:t xml:space="preserve"> </w:t>
      </w:r>
      <w:r w:rsidR="00D25028">
        <w:rPr>
          <w:rFonts w:ascii="Verdana" w:hAnsi="Verdana"/>
          <w:b/>
          <w:bCs/>
          <w:sz w:val="20"/>
          <w:szCs w:val="20"/>
        </w:rPr>
        <w:t>–</w:t>
      </w:r>
      <w:r w:rsidRPr="00987A02">
        <w:rPr>
          <w:rFonts w:ascii="Verdana" w:hAnsi="Verdana"/>
          <w:b/>
          <w:bCs/>
          <w:sz w:val="20"/>
          <w:szCs w:val="20"/>
        </w:rPr>
        <w:t xml:space="preserve"> </w:t>
      </w:r>
      <w:r w:rsidR="00D25028">
        <w:rPr>
          <w:rFonts w:ascii="Verdana" w:hAnsi="Verdana"/>
          <w:b/>
          <w:bCs/>
          <w:sz w:val="20"/>
          <w:szCs w:val="20"/>
        </w:rPr>
        <w:t>Números Irracionais e Números Reais</w:t>
      </w:r>
      <w:r w:rsidR="00256EFC">
        <w:rPr>
          <w:rFonts w:ascii="Verdana" w:hAnsi="Verdana"/>
          <w:b/>
          <w:bCs/>
          <w:sz w:val="20"/>
          <w:szCs w:val="20"/>
        </w:rPr>
        <w:t xml:space="preserve"> – página 17 a 63.</w:t>
      </w:r>
    </w:p>
    <w:p w14:paraId="2C5C77F2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273DA0AD" w14:textId="7DCAF162" w:rsidR="002039B1" w:rsidRDefault="00D25028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Números Irracionais</w:t>
      </w:r>
      <w:r w:rsidR="00256EFC">
        <w:rPr>
          <w:rFonts w:ascii="Verdana" w:hAnsi="Verdana"/>
          <w:sz w:val="20"/>
          <w:szCs w:val="20"/>
        </w:rPr>
        <w:t>;</w:t>
      </w:r>
    </w:p>
    <w:p w14:paraId="181EFE04" w14:textId="79A3438B" w:rsidR="00D25028" w:rsidRDefault="00D25028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Conjunto dos números reais</w:t>
      </w:r>
      <w:r w:rsidR="00256EFC">
        <w:rPr>
          <w:rFonts w:ascii="Verdana" w:hAnsi="Verdana"/>
          <w:sz w:val="20"/>
          <w:szCs w:val="20"/>
        </w:rPr>
        <w:t>;</w:t>
      </w:r>
    </w:p>
    <w:p w14:paraId="14FB5DBF" w14:textId="77777777" w:rsidR="00256EFC" w:rsidRDefault="00D25028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Potenciação</w:t>
      </w:r>
      <w:r w:rsidR="00256EFC">
        <w:rPr>
          <w:rFonts w:ascii="Verdana" w:hAnsi="Verdana"/>
          <w:sz w:val="20"/>
          <w:szCs w:val="20"/>
        </w:rPr>
        <w:t>;</w:t>
      </w:r>
    </w:p>
    <w:p w14:paraId="58CF0CA9" w14:textId="77777777" w:rsidR="00256EFC" w:rsidRDefault="00D25028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Radiciação</w:t>
      </w:r>
      <w:r w:rsidR="00256EFC">
        <w:rPr>
          <w:rFonts w:ascii="Verdana" w:hAnsi="Verdana"/>
          <w:sz w:val="20"/>
          <w:szCs w:val="20"/>
        </w:rPr>
        <w:t>;</w:t>
      </w:r>
    </w:p>
    <w:p w14:paraId="27F94BE2" w14:textId="21E0EC4E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0A54851" w14:textId="7EF1678B" w:rsidR="002039B1" w:rsidRPr="00987A02" w:rsidRDefault="002039B1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 xml:space="preserve">Capítulo 02 </w:t>
      </w:r>
      <w:r w:rsidR="00987A02">
        <w:rPr>
          <w:rFonts w:ascii="Verdana" w:hAnsi="Verdana"/>
          <w:b/>
          <w:bCs/>
          <w:sz w:val="20"/>
          <w:szCs w:val="20"/>
        </w:rPr>
        <w:t xml:space="preserve">- </w:t>
      </w:r>
      <w:r w:rsidR="00987A02" w:rsidRPr="00987A02">
        <w:rPr>
          <w:rFonts w:ascii="Verdana" w:hAnsi="Verdana"/>
          <w:b/>
          <w:bCs/>
          <w:sz w:val="20"/>
          <w:szCs w:val="20"/>
        </w:rPr>
        <w:t>Notação Científica</w:t>
      </w:r>
      <w:r w:rsidR="00987A02">
        <w:rPr>
          <w:rFonts w:ascii="Verdana" w:hAnsi="Verdana"/>
          <w:b/>
          <w:bCs/>
          <w:sz w:val="20"/>
          <w:szCs w:val="20"/>
        </w:rPr>
        <w:t xml:space="preserve"> </w:t>
      </w:r>
      <w:r w:rsidRPr="00987A02">
        <w:rPr>
          <w:rFonts w:ascii="Verdana" w:hAnsi="Verdana"/>
          <w:b/>
          <w:bCs/>
          <w:sz w:val="20"/>
          <w:szCs w:val="20"/>
        </w:rPr>
        <w:t xml:space="preserve">– páginas </w:t>
      </w:r>
      <w:r w:rsidR="00256EFC">
        <w:rPr>
          <w:rFonts w:ascii="Verdana" w:hAnsi="Verdana"/>
          <w:b/>
          <w:bCs/>
          <w:sz w:val="20"/>
          <w:szCs w:val="20"/>
        </w:rPr>
        <w:t>64 a 93.</w:t>
      </w:r>
    </w:p>
    <w:p w14:paraId="19728A32" w14:textId="5A2C6180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73A55452" w14:textId="2F9DF6FC" w:rsidR="002039B1" w:rsidRDefault="00256EFC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r w:rsidR="002039B1">
        <w:rPr>
          <w:rFonts w:ascii="Verdana" w:hAnsi="Verdana"/>
          <w:sz w:val="20"/>
          <w:szCs w:val="20"/>
        </w:rPr>
        <w:t>otação cientifica</w:t>
      </w:r>
      <w:r>
        <w:rPr>
          <w:rFonts w:ascii="Verdana" w:hAnsi="Verdana"/>
          <w:sz w:val="20"/>
          <w:szCs w:val="20"/>
        </w:rPr>
        <w:t>;</w:t>
      </w:r>
    </w:p>
    <w:p w14:paraId="0DF5C81B" w14:textId="088B3802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Operações com números escritos em notação cientifica</w:t>
      </w:r>
      <w:r w:rsidR="00256EFC">
        <w:rPr>
          <w:rFonts w:ascii="Verdana" w:hAnsi="Verdana"/>
          <w:sz w:val="20"/>
          <w:szCs w:val="20"/>
        </w:rPr>
        <w:t>;</w:t>
      </w:r>
    </w:p>
    <w:p w14:paraId="76EF33BE" w14:textId="20BFA839" w:rsidR="00256EFC" w:rsidRDefault="00256EFC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Porcentagem;</w:t>
      </w:r>
    </w:p>
    <w:p w14:paraId="01CD8C4C" w14:textId="0E1E464C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A7B7C65" w14:textId="7E39A7DA" w:rsidR="00256EFC" w:rsidRDefault="00256EFC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MATEMÁTICA 2</w:t>
      </w:r>
    </w:p>
    <w:p w14:paraId="04E9544E" w14:textId="2C6FB747" w:rsidR="00256EFC" w:rsidRDefault="00256EFC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Capítulo 01 – Paralelismo de Retas – página 152 a </w:t>
      </w:r>
      <w:r w:rsidR="00F562B3">
        <w:rPr>
          <w:rFonts w:ascii="Verdana" w:hAnsi="Verdana"/>
          <w:b/>
          <w:bCs/>
          <w:sz w:val="20"/>
          <w:szCs w:val="20"/>
        </w:rPr>
        <w:t>195.</w:t>
      </w:r>
    </w:p>
    <w:p w14:paraId="63D1B63A" w14:textId="7F48B139" w:rsidR="00256EFC" w:rsidRDefault="00256EFC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22C3D5F7" w14:textId="7D870E96" w:rsidR="00256EFC" w:rsidRDefault="00256EFC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Introdução aos elementos da geometria;</w:t>
      </w:r>
    </w:p>
    <w:p w14:paraId="41479856" w14:textId="3D2A555A" w:rsidR="00256EFC" w:rsidRDefault="00256EFC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Ângulos;</w:t>
      </w:r>
    </w:p>
    <w:p w14:paraId="1C1933F1" w14:textId="6166EA4D" w:rsidR="00256EFC" w:rsidRDefault="00256EFC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Posição relativa entre duas retas;</w:t>
      </w:r>
    </w:p>
    <w:p w14:paraId="142B6FA6" w14:textId="3BF732DB" w:rsidR="00256EFC" w:rsidRDefault="00256EFC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Congruência de ângulos;</w:t>
      </w:r>
    </w:p>
    <w:p w14:paraId="1566D9AC" w14:textId="0DBB09AB" w:rsidR="00256EFC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Retas paralelas cortadas por uma transversal;</w:t>
      </w:r>
    </w:p>
    <w:p w14:paraId="5B6E9D3E" w14:textId="6D44CAA7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Teorema dos bicos;</w:t>
      </w:r>
    </w:p>
    <w:p w14:paraId="031F4E93" w14:textId="79EBD759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Teorema de Tales;</w:t>
      </w:r>
    </w:p>
    <w:p w14:paraId="67B15895" w14:textId="1C12F235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Teorema da bissetriz interna;</w:t>
      </w:r>
    </w:p>
    <w:p w14:paraId="1DE2A848" w14:textId="1B5EA182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</w:p>
    <w:p w14:paraId="1866B96B" w14:textId="1AF39A3F" w:rsidR="00F562B3" w:rsidRDefault="00F562B3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Capítulo 02 – Semelhança de triângulos – página 196 a 231</w:t>
      </w:r>
    </w:p>
    <w:p w14:paraId="6ADB82F0" w14:textId="023B1BBD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</w:p>
    <w:p w14:paraId="30A3E087" w14:textId="0568BAAE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que é semelhança;</w:t>
      </w:r>
    </w:p>
    <w:p w14:paraId="1DCE4B5A" w14:textId="585AC7B0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Semelhança e proporção;</w:t>
      </w:r>
    </w:p>
    <w:p w14:paraId="2DAB9A6F" w14:textId="4A2E4AF3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Triângulos semelhantes;</w:t>
      </w:r>
    </w:p>
    <w:p w14:paraId="6CFE2D4F" w14:textId="3AE7EDE3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Teorema fundamental da semelhança de triângulos;</w:t>
      </w:r>
    </w:p>
    <w:p w14:paraId="6E9DEE16" w14:textId="47470F63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Casos de semelhança de triângulos;</w:t>
      </w:r>
    </w:p>
    <w:p w14:paraId="2A1C215D" w14:textId="58C0328F" w:rsidR="00F562B3" w:rsidRP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Consequências da semelhança de triângulos;</w:t>
      </w:r>
    </w:p>
    <w:p w14:paraId="3E4F87AB" w14:textId="77777777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2E0E42C4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78EFD1EE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sectPr w:rsidR="002039B1" w:rsidRPr="0020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1"/>
    <w:rsid w:val="002039B1"/>
    <w:rsid w:val="00256EFC"/>
    <w:rsid w:val="002E34C4"/>
    <w:rsid w:val="00987A02"/>
    <w:rsid w:val="00D25028"/>
    <w:rsid w:val="00E451B3"/>
    <w:rsid w:val="00F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E35"/>
  <w15:chartTrackingRefBased/>
  <w15:docId w15:val="{A525B54D-4787-43F7-8EB9-1F43C48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2021-02-28T23:42:00Z</dcterms:created>
  <dcterms:modified xsi:type="dcterms:W3CDTF">2021-02-28T23:42:00Z</dcterms:modified>
</cp:coreProperties>
</file>