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4677B20" w:rsidR="00093F84" w:rsidRPr="0086497B" w:rsidRDefault="00AD6CD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33F3FA7" w14:textId="77777777" w:rsidR="00BE0DC6" w:rsidRPr="00AD6CDA" w:rsidRDefault="00533CA6" w:rsidP="00A24006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sz w:val="20"/>
          <w:szCs w:val="20"/>
          <w:lang w:eastAsia="pt-BR"/>
        </w:rPr>
        <w:t xml:space="preserve">1. </w:t>
      </w:r>
      <w:r w:rsidR="00BE0DC6" w:rsidRPr="00AD6CDA">
        <w:rPr>
          <w:rFonts w:ascii="Verdana" w:eastAsia="Times New Roman" w:hAnsi="Verdana"/>
          <w:sz w:val="20"/>
          <w:szCs w:val="20"/>
          <w:lang w:eastAsia="pt-BR"/>
        </w:rPr>
        <w:t>Embora o Brasil esteja colocado</w:t>
      </w:r>
      <w:bookmarkStart w:id="0" w:name="_GoBack"/>
      <w:bookmarkEnd w:id="0"/>
      <w:r w:rsidR="00BE0DC6" w:rsidRPr="00AD6CDA">
        <w:rPr>
          <w:rFonts w:ascii="Verdana" w:eastAsia="Times New Roman" w:hAnsi="Verdana"/>
          <w:sz w:val="20"/>
          <w:szCs w:val="20"/>
          <w:lang w:eastAsia="pt-BR"/>
        </w:rPr>
        <w:t xml:space="preserve"> entre os países mais populosos do mundo, quando se relaciona sua população total com a área do país, obtém-se um número relativamente baixo. A essa relação de população x área, damos o nome de:</w:t>
      </w:r>
    </w:p>
    <w:p w14:paraId="1C79B86C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Taxa de crescimento.</w:t>
      </w:r>
    </w:p>
    <w:p w14:paraId="04A4B70B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Índice de desenvolvimento.</w:t>
      </w:r>
    </w:p>
    <w:p w14:paraId="3E0ED020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Densidade demográfica.</w:t>
      </w:r>
    </w:p>
    <w:p w14:paraId="59533F21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Taxa de natalidade.</w:t>
      </w:r>
    </w:p>
    <w:p w14:paraId="69A9B73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Taxa de fertilidade.</w:t>
      </w:r>
    </w:p>
    <w:p w14:paraId="1DB11AF0" w14:textId="6F58E645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67CE1E" w14:textId="18D9D556" w:rsidR="00BE0DC6" w:rsidRPr="00AD6CDA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2. Leia com atenção a notícia que se segue:</w:t>
      </w:r>
    </w:p>
    <w:p w14:paraId="7D5B48BC" w14:textId="77777777" w:rsidR="00BE0DC6" w:rsidRPr="00AD6CDA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França pagará 750 euros mensais por terceiro filho</w:t>
      </w:r>
    </w:p>
    <w:p w14:paraId="32024D75" w14:textId="77777777" w:rsidR="00BE0DC6" w:rsidRPr="00AD6CDA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governo francês irá pagar uma licença de 750 euros (cerca de R$ 2.050,00) por mês durante um ano a famílias que decidirem ter um terceiro filho, anunciou ontem o primeiro ministro do país, Dominique </w:t>
      </w:r>
      <w:proofErr w:type="spellStart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Villepin</w:t>
      </w:r>
      <w:proofErr w:type="spell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D625068" w14:textId="091C57A0" w:rsidR="00BE0DC6" w:rsidRPr="00AD6CDA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Folha de S. Paulo. Folha mundo, p. A-16.</w:t>
      </w:r>
    </w:p>
    <w:p w14:paraId="5FB36385" w14:textId="77777777" w:rsidR="00BE0DC6" w:rsidRPr="00AD6CDA" w:rsidRDefault="00BE0DC6" w:rsidP="00A24006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A medida anunciada pelo governo francês está diretamente relacionada:</w:t>
      </w:r>
    </w:p>
    <w:p w14:paraId="7FFDD8ED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à política anti-imigração (xenófoba) e de purificação racial adotada pela França nas últimas décadas.</w:t>
      </w:r>
    </w:p>
    <w:p w14:paraId="487806B7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às elevadas taxas de natalidade verificadas no país e em toda a Europa.</w:t>
      </w:r>
    </w:p>
    <w:p w14:paraId="3FA675D2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à sobrecarga no sistema de previdência social francês, em que um número cada vez menor de jovens precisa sustentar um número cada vez maior de aposentados.</w:t>
      </w:r>
    </w:p>
    <w:p w14:paraId="7002BCDF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à aproximação do governo francês com as ideias da Igreja Católica, que proíbe o uso de métodos contraceptivos não naturais.</w:t>
      </w:r>
    </w:p>
    <w:p w14:paraId="3414B112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à ideia imperialista de que o poderio econômico de uma nação está diretamente ligado ao tamanho de sua população.</w:t>
      </w:r>
    </w:p>
    <w:p w14:paraId="1F5A3FE9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18123" w14:textId="77777777" w:rsidR="00BE0DC6" w:rsidRPr="00AD6CDA" w:rsidRDefault="00BE0DC6" w:rsidP="00A24006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sz w:val="20"/>
          <w:szCs w:val="20"/>
          <w:lang w:eastAsia="pt-BR"/>
        </w:rPr>
        <w:t xml:space="preserve">3. O envelhecimento da população está mudando radicalmente as características da população da Europa, onde o número de pessoas com mais de 60 anos deverá chegar, nas próximas décadas, a 30% </w:t>
      </w:r>
      <w:r w:rsidRPr="00AD6CDA">
        <w:rPr>
          <w:rFonts w:ascii="Verdana" w:eastAsia="Times New Roman" w:hAnsi="Verdana"/>
          <w:sz w:val="20"/>
          <w:szCs w:val="20"/>
          <w:lang w:eastAsia="pt-BR"/>
        </w:rPr>
        <w:lastRenderedPageBreak/>
        <w:t>da população total. Graças aos avanços da medicina e da ciência, a população está cada vez mais velha. Isso ocorre em função do:</w:t>
      </w:r>
    </w:p>
    <w:p w14:paraId="62C40A15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Declínio da taxa de natalidade e aumento da longevidade.</w:t>
      </w:r>
    </w:p>
    <w:p w14:paraId="15C3B6D3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Aumento da natalidade e diminuição da longevidade.</w:t>
      </w:r>
    </w:p>
    <w:p w14:paraId="10498569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Crescimento vegetativo e aumento da taxa de natalidade.</w:t>
      </w:r>
    </w:p>
    <w:p w14:paraId="6F8FCEEE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Aumento da longevidade e do crescimento vegetativo.</w:t>
      </w:r>
    </w:p>
    <w:p w14:paraId="7B026CBB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Declínio da taxa de mortalidade e diminuição da longevidade.</w:t>
      </w:r>
    </w:p>
    <w:p w14:paraId="27122DE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19D9BC4" w14:textId="77777777" w:rsidR="00BE0DC6" w:rsidRPr="00AD6CDA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Os últimos censos demográficos do Brasil têm registrado inúmeras mudanças na dinâmica e no comportamento da população brasileira. Todas as afirmações abaixo são exemplos destas alterações com exceção </w:t>
      </w:r>
      <w:proofErr w:type="gramStart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da(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o):</w:t>
      </w:r>
    </w:p>
    <w:p w14:paraId="066D72EB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declínio das taxas de natalidade, fecundidade e mortalidade geral.</w:t>
      </w:r>
    </w:p>
    <w:p w14:paraId="2FDE4424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população idosa no conjunto da população.</w:t>
      </w:r>
    </w:p>
    <w:p w14:paraId="7CE8D757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crescimento da população e ameaça de explosão demográfica.</w:t>
      </w:r>
    </w:p>
    <w:p w14:paraId="0B9A22A3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elevação do número de pessoas empregadas no setor terciário.</w:t>
      </w:r>
    </w:p>
    <w:p w14:paraId="332F8EC6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expectativa de vida.</w:t>
      </w:r>
    </w:p>
    <w:p w14:paraId="42850750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2EA3E06" w14:textId="77777777" w:rsidR="00BE0DC6" w:rsidRPr="00AD6CDA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5. O período de maior crescimento vegetativo da população brasileira ocorreu:</w:t>
      </w:r>
    </w:p>
    <w:p w14:paraId="5F5A30D0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os anos de 1940 e 1970, devido ao rápido declínio das taxas de mortalidade e manutenção, em patamares elevados, das taxas de natalidade.</w:t>
      </w:r>
    </w:p>
    <w:p w14:paraId="220F8417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1940 e 1972, devido à entrada de milhares de imigrantes no país.</w:t>
      </w:r>
    </w:p>
    <w:p w14:paraId="484B28BE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os anos de 1960 e 1990, devido às mudanças estruturais ocorridas na economia brasileira.</w:t>
      </w:r>
    </w:p>
    <w:p w14:paraId="0666D852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nos primeiros anos do século XX, em decorrência das medidas sanitárias implantadas em todo o território nacional.</w:t>
      </w:r>
    </w:p>
    <w:p w14:paraId="3285665B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entre os anos de 1988 e 2008, em decorrência do planejamento familiar sugerido em nossa última Constituição Federal.</w:t>
      </w:r>
    </w:p>
    <w:p w14:paraId="42B47D1C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469AE45" w14:textId="77777777" w:rsidR="00BE0DC6" w:rsidRPr="00AD6CDA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6. Sobre a atual dinâmica demográfica brasileira, assinale a afirmativa correta:</w:t>
      </w:r>
    </w:p>
    <w:p w14:paraId="754F6A6D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Brasil está deixando de ser um país jovem.</w:t>
      </w:r>
    </w:p>
    <w:p w14:paraId="02B2BDE1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participação relativa dos idosos vem declinando desde a década de 1980.</w:t>
      </w:r>
    </w:p>
    <w:p w14:paraId="1E2B11F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crescimento vegetativo compreendido entre 1940 e 1970, não foi afetado pela redução da mortalidade.</w:t>
      </w:r>
    </w:p>
    <w:p w14:paraId="755D178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migração é um dos fatores de maior impacto na composição atual da estrutura etária do Brasil.</w:t>
      </w:r>
    </w:p>
    <w:p w14:paraId="0F5CB55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Taxa de mortalidade infantil equipara-se a dos padrões do conjunto dos países desenvolvidos.</w:t>
      </w:r>
    </w:p>
    <w:p w14:paraId="21308306" w14:textId="5D1F4D94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A5AB09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D17716" w14:textId="77777777" w:rsidR="00BE0DC6" w:rsidRPr="00AD6CDA" w:rsidRDefault="00BE0DC6" w:rsidP="00A24006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alternativa que NÃO apresenta um dos motivos responsáveis pela concentração populacional no Brasil.</w:t>
      </w:r>
    </w:p>
    <w:p w14:paraId="16D26E52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Colonização concentrada em algumas faixas do território.</w:t>
      </w:r>
    </w:p>
    <w:p w14:paraId="21DF05D9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Atividades econômicas mal distribuídas pelo espaço.</w:t>
      </w:r>
    </w:p>
    <w:p w14:paraId="03F0294E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Industrialização realizada primordialmente nos centros econômicos e de poder.</w:t>
      </w:r>
    </w:p>
    <w:p w14:paraId="2F6D5626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Urbanização acelerada desde os tempos coloniais.</w:t>
      </w:r>
    </w:p>
    <w:p w14:paraId="108ECE38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Estabelecimento de oligarquias regionais que comandavam o território durante vários períodos da história brasileira.</w:t>
      </w:r>
    </w:p>
    <w:p w14:paraId="5189E8B9" w14:textId="77777777" w:rsidR="00BE0DC6" w:rsidRPr="00AD6CDA" w:rsidRDefault="00BE0DC6" w:rsidP="00A2400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C902C35" w14:textId="77777777" w:rsidR="00BE0DC6" w:rsidRPr="00AD6CDA" w:rsidRDefault="00BE0DC6" w:rsidP="00A2400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AD6CDA">
        <w:rPr>
          <w:rFonts w:ascii="Verdana" w:eastAsia="Times New Roman" w:hAnsi="Verdana"/>
          <w:sz w:val="20"/>
          <w:szCs w:val="20"/>
          <w:lang w:eastAsia="pt-BR"/>
        </w:rPr>
        <w:t>As pirâmides etárias são representações gráficas fundamentais para o estudo da geografia das populações. Quais são as duas variáveis utilizadas nesses gráficos?</w:t>
      </w:r>
    </w:p>
    <w:p w14:paraId="21FCC273" w14:textId="114A2A1C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a) natalidade e gênero</w:t>
      </w:r>
    </w:p>
    <w:p w14:paraId="78BC7D68" w14:textId="1DDFAD55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b) renda e idade</w:t>
      </w:r>
    </w:p>
    <w:p w14:paraId="7223F17E" w14:textId="64419A60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c) sexo e mortandade</w:t>
      </w:r>
    </w:p>
    <w:p w14:paraId="67F47292" w14:textId="0E2E315E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d) idade e sexo</w:t>
      </w:r>
    </w:p>
    <w:p w14:paraId="27DC385C" w14:textId="39AE63B8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longevidade e renda</w:t>
      </w:r>
    </w:p>
    <w:p w14:paraId="7234615B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0396F3" w14:textId="77777777" w:rsidR="00BE0DC6" w:rsidRPr="00AD6CDA" w:rsidRDefault="00BE0DC6" w:rsidP="00A24006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sz w:val="20"/>
          <w:szCs w:val="20"/>
          <w:lang w:eastAsia="pt-BR"/>
        </w:rPr>
        <w:t>9. O Brasil é conhecido por ser um país multiétnico. São colocados como os principais elementos formadores da nação brasileira:</w:t>
      </w:r>
    </w:p>
    <w:p w14:paraId="74C2A3EB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Portugueses, os africanos e os imigrantes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árabes, japoneses, italianos e alemães.</w:t>
      </w:r>
    </w:p>
    <w:p w14:paraId="6A175EB0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b) Imigrantes italianos, africanos e os imigrantes árabes.</w:t>
      </w:r>
    </w:p>
    <w:p w14:paraId="1D986A92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Indígenas, imigrantes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árabes e os imigrantes japoneses e italianos.</w:t>
      </w:r>
    </w:p>
    <w:p w14:paraId="7B3D1457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d) Os nativos brasileiros – os indígenas, os europeus brancos e os africanos, povo que aqui foi escravizado.</w:t>
      </w:r>
    </w:p>
    <w:p w14:paraId="71423B5F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Os africanos negros escravizados, os europeus – essencialmente </w:t>
      </w:r>
      <w:proofErr w:type="gramStart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italianos, holandeses</w:t>
      </w:r>
      <w:proofErr w:type="gramEnd"/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alemães –  e os imigrantes árabes.</w:t>
      </w:r>
    </w:p>
    <w:p w14:paraId="14ECAFC3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74F39E" w14:textId="77777777" w:rsidR="00BE0DC6" w:rsidRPr="00AD6CDA" w:rsidRDefault="00BE0DC6" w:rsidP="00A2400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sz w:val="20"/>
          <w:szCs w:val="20"/>
          <w:lang w:eastAsia="pt-BR"/>
        </w:rPr>
        <w:t>10. Os grupos de origem europeia que constituem a atual população brasileira tiveram origens, motivações e história distintas no país. Os primeiros grupos europeus vieram para o Brasil logo no início da colonização do país e outros aportaram aqui apenas no século passado.</w:t>
      </w:r>
    </w:p>
    <w:p w14:paraId="58B2BE6D" w14:textId="77777777" w:rsidR="00BE0DC6" w:rsidRPr="00AD6CDA" w:rsidRDefault="00BE0DC6" w:rsidP="00A24006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Os grupos humanos de </w:t>
      </w:r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origem europeia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 estão listados abaixo, </w:t>
      </w:r>
      <w:r w:rsidRPr="00AD6CDA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exceto</w:t>
      </w: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5C40471E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a) italianos</w:t>
      </w:r>
    </w:p>
    <w:p w14:paraId="28F53CD7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b) portugueses</w:t>
      </w:r>
    </w:p>
    <w:p w14:paraId="632BD002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c) holandeses</w:t>
      </w:r>
    </w:p>
    <w:p w14:paraId="22D7B6A5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d) japoneses</w:t>
      </w:r>
    </w:p>
    <w:p w14:paraId="48868A38" w14:textId="77777777" w:rsidR="00BE0DC6" w:rsidRPr="00AD6CDA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sz w:val="20"/>
          <w:szCs w:val="20"/>
          <w:lang w:eastAsia="pt-BR"/>
        </w:rPr>
        <w:t>e) alemães</w:t>
      </w:r>
    </w:p>
    <w:p w14:paraId="18E9693F" w14:textId="77777777" w:rsidR="00AD6CDA" w:rsidRPr="00AD6CDA" w:rsidRDefault="00AD6CDA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68D39AF" w14:textId="0666254E" w:rsidR="00AD6CDA" w:rsidRPr="00AD6CDA" w:rsidRDefault="00AD6CDA" w:rsidP="00AD6CDA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</w:t>
      </w: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</w:t>
      </w: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 Sobre o território brasileiro, assinale a alternativa INCORRETA:</w:t>
      </w:r>
    </w:p>
    <w:p w14:paraId="72EAAA11" w14:textId="77777777" w:rsidR="00AD6CDA" w:rsidRPr="00AD6CDA" w:rsidRDefault="00AD6CDA" w:rsidP="00AD6CDA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o Brasil é um país com dimensões continentais.</w:t>
      </w:r>
    </w:p>
    <w:p w14:paraId="2F8B308F" w14:textId="77777777" w:rsidR="00AD6CDA" w:rsidRPr="00AD6CDA" w:rsidRDefault="00AD6CDA" w:rsidP="00AD6CDA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a extensão do território brasileiro denuncia a grande distância de seus pontos extremos.</w:t>
      </w:r>
    </w:p>
    <w:p w14:paraId="09D2A476" w14:textId="77777777" w:rsidR="00AD6CDA" w:rsidRPr="00AD6CDA" w:rsidRDefault="00AD6CDA" w:rsidP="00AD6CDA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a localização do Brasil indica-se por longitudes negativas, no hemisfério ocidental.</w:t>
      </w:r>
    </w:p>
    <w:p w14:paraId="70FBF36B" w14:textId="77777777" w:rsidR="00AD6CDA" w:rsidRPr="00AD6CDA" w:rsidRDefault="00AD6CDA" w:rsidP="00AD6CDA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a grande variação de latitudes explica a homogeneidade climática do país.</w:t>
      </w:r>
    </w:p>
    <w:p w14:paraId="0CB644B0" w14:textId="77777777" w:rsidR="00AD6CDA" w:rsidRPr="00AD6CDA" w:rsidRDefault="00AD6CDA" w:rsidP="00AD6CDA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775CE4E" w14:textId="17B1D90C" w:rsidR="00AD6CDA" w:rsidRPr="00AD6CDA" w:rsidRDefault="00AD6CDA" w:rsidP="00AD6CDA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</w:t>
      </w: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2. 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Leia o documento abaixo atentamente:</w:t>
      </w:r>
    </w:p>
    <w:p w14:paraId="0D787349" w14:textId="77777777" w:rsidR="00AD6CDA" w:rsidRPr="00AD6CDA" w:rsidRDefault="00AD6CDA" w:rsidP="00AD6CD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“(...) Por mandado (...) do Rei Dom Fernando e da Rainha D. Isabel, Rei e Rainha de Castela foram descobertas e achadas novamente algumas ilhas (...) visto, como entre os ditos senhores seus constituintes há </w:t>
      </w:r>
      <w:proofErr w:type="gram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uma certa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divergência sobre o que a cada uma das ditas partes pertence (...) outorgaram e consentiram que se trace e assinale pelo dito mar uma raia ou linha direta de polo a polo (...) a trezentas e setenta léguas da ilha de Cabo Verde em direção à parte do poente ...”</w:t>
      </w:r>
    </w:p>
    <w:p w14:paraId="60EB6F0A" w14:textId="77777777" w:rsidR="00AD6CDA" w:rsidRPr="00AD6CDA" w:rsidRDefault="00AD6CDA" w:rsidP="00AD6CD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Fonte: RIBEIRO, Darcy, MOREIRA NETO, Carlos Araújo – </w:t>
      </w:r>
      <w:proofErr w:type="spell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Org</w:t>
      </w:r>
      <w:proofErr w:type="spell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- A Fundação do Brasil: testemunhos, 1500-1700, </w:t>
      </w:r>
      <w:proofErr w:type="spell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petropolis</w:t>
      </w:r>
      <w:proofErr w:type="spell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, Vozes, 1992, p.69)</w:t>
      </w:r>
      <w:proofErr w:type="gramEnd"/>
    </w:p>
    <w:p w14:paraId="430FC353" w14:textId="77777777" w:rsidR="00AD6CDA" w:rsidRPr="00AD6CDA" w:rsidRDefault="00AD6CDA" w:rsidP="00AD6CD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O documento acima </w:t>
      </w:r>
      <w:proofErr w:type="gram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refere-se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ao (à):</w:t>
      </w:r>
    </w:p>
    <w:p w14:paraId="4EC5282F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Tratado de Madri.</w:t>
      </w:r>
    </w:p>
    <w:p w14:paraId="7CA37587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Tratado de Tordesilhas.</w:t>
      </w:r>
    </w:p>
    <w:p w14:paraId="25E0AFCF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Tratado de Toledo.</w:t>
      </w:r>
    </w:p>
    <w:p w14:paraId="37C5641A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 Bula </w:t>
      </w:r>
      <w:proofErr w:type="spellStart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Intercoetera</w:t>
      </w:r>
      <w:proofErr w:type="spell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.</w:t>
      </w:r>
    </w:p>
    <w:p w14:paraId="2A9E135C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D598911" w14:textId="1CE069EE" w:rsidR="00AD6CDA" w:rsidRPr="00AD6CDA" w:rsidRDefault="00AD6CDA" w:rsidP="00AD6CDA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3. Na primeira metade do século XVI, vários países europeus interessados em expandir-se comercialmente não admitiram a legitimidade do Tratado de Tordesilhas.</w:t>
      </w:r>
    </w:p>
    <w:p w14:paraId="3EEC0015" w14:textId="77777777" w:rsidR="00AD6CDA" w:rsidRPr="00AD6CDA" w:rsidRDefault="00AD6CDA" w:rsidP="00AD6CD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Tais documentos visavam:</w:t>
      </w:r>
    </w:p>
    <w:p w14:paraId="7ECBF43A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 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dividir o continente americano em duas partes: metade para Portugal; metade para a Espanha;</w:t>
      </w:r>
    </w:p>
    <w:p w14:paraId="716543A9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garantir a legitimidade do espaço inglês no território americano;</w:t>
      </w:r>
    </w:p>
    <w:p w14:paraId="54E1AE7E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proceder à povoação do território brasileiro;</w:t>
      </w:r>
    </w:p>
    <w:p w14:paraId="70EFFA9A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AD6CDA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ampliar ao máximo o processo de expansão comercial e marítima europeu.</w:t>
      </w:r>
    </w:p>
    <w:p w14:paraId="416DD630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2DBECD2D" w14:textId="684C9302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</w:t>
      </w:r>
      <w:r w:rsidRPr="00AD6CDA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4. 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  <w:t>Qual foi o primeiro ciclo econômico do Brasil?</w:t>
      </w:r>
    </w:p>
    <w:p w14:paraId="0BD1F3BE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</w:p>
    <w:p w14:paraId="108082F0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Ciclo da borracha.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Ciclo da cana-de-açúcar.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Ciclo do pau-brasil.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Ciclo do ouro.</w:t>
      </w:r>
    </w:p>
    <w:p w14:paraId="2D2BEC88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091DF1DB" w14:textId="5CB0971E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5. 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  <w:t>O ______________ foi o segundo ciclo econômico vivido pelo país no período colonial. Por ser um produto bastante valorizado no mercado europeu, ele rendia muito lucro à Coroa Portuguesa.</w:t>
      </w:r>
    </w:p>
    <w:p w14:paraId="5CD406DE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</w:p>
    <w:p w14:paraId="4D186836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ciclo da cana-de-açúcar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ciclo do pau-brasil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ciclo do ouro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ciclo da borracha</w:t>
      </w:r>
    </w:p>
    <w:p w14:paraId="3C62B93B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268EF91" w14:textId="7DA244E5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</w:t>
      </w: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6. 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  <w:t>O ciclo do ouro vivenciou seu auge no século XVIII, ao explorar as jazidas auríferas dos seguintes estados:</w:t>
      </w:r>
    </w:p>
    <w:p w14:paraId="7EBB4D10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</w:p>
    <w:p w14:paraId="72885246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</w:t>
      </w:r>
      <w:proofErr w:type="gramEnd"/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) Minas Gerais, São Paulo 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 Minas Gerais, Pernambuco.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c) São Paulo, Goiás 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Minas Gerais, Goiás</w:t>
      </w:r>
    </w:p>
    <w:p w14:paraId="72C9442F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2E49A98C" w14:textId="5539EDB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7. 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  <w:t>A expansão da economia do café para o Oeste Paulista, na segunda metade do século XIX, e a grande imigração para a lavoura de café trouxeram modificações na história do Brasil, como:</w:t>
      </w:r>
    </w:p>
    <w:p w14:paraId="5AFA3E0B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3F3F3"/>
        </w:rPr>
      </w:pPr>
    </w:p>
    <w:p w14:paraId="4D2B1233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o fortalecimento da economia de subsistência e a manutenção da escravidão.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a diversificação econômica e o avanço do processo de urbanização.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a divisão dos latifúndios no Vale do Paraíba e a crise da economia paulista.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o fim da república oligárquica e o crescimento do movimento camponês.</w:t>
      </w:r>
      <w:r w:rsidRPr="00AD6CDA">
        <w:rPr>
          <w:rFonts w:ascii="Verdana" w:hAnsi="Verdana"/>
          <w:color w:val="000000" w:themeColor="text1"/>
          <w:sz w:val="20"/>
          <w:szCs w:val="20"/>
        </w:rPr>
        <w:br/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a adoção do sufrágio universal nas eleições federais e a centralização do poder.</w:t>
      </w:r>
    </w:p>
    <w:p w14:paraId="0865FF14" w14:textId="77777777" w:rsidR="00AD6CDA" w:rsidRPr="00AD6CDA" w:rsidRDefault="00AD6CDA" w:rsidP="00AD6CDA">
      <w:pPr>
        <w:shd w:val="clear" w:color="auto" w:fill="FFFFFF"/>
        <w:spacing w:after="0" w:line="240" w:lineRule="auto"/>
        <w:ind w:left="-99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4BF75FDB" w14:textId="2A616E4F" w:rsidR="00AD6CDA" w:rsidRPr="00AD6CDA" w:rsidRDefault="00AD6CDA" w:rsidP="00AD6CDA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1</w:t>
      </w:r>
      <w:r w:rsidRPr="00AD6CD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8. </w:t>
      </w:r>
      <w:r w:rsidRPr="00AD6CD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Categoria amplamente utilizada no âmbito da política, esse conceito é comumente entendido como uma área delimitada por fronteiras e está relacionado com uma configuração de poder. É, portanto, uma área apropriada, uma porção do espaço geográfico onde uma relação hierárquica estabelece-se.</w:t>
      </w:r>
    </w:p>
    <w:p w14:paraId="6C253A3C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 que categoria geográfica refere-se </w:t>
      </w:r>
      <w:proofErr w:type="gramStart"/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</w:t>
      </w:r>
      <w:proofErr w:type="gramEnd"/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definição acima?</w:t>
      </w:r>
    </w:p>
    <w:p w14:paraId="6B37FC4A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paisagem</w:t>
      </w:r>
    </w:p>
    <w:p w14:paraId="5DD6A3AF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lugar</w:t>
      </w:r>
    </w:p>
    <w:p w14:paraId="0E5253B5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espaço geográfico</w:t>
      </w:r>
    </w:p>
    <w:p w14:paraId="07620626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região</w:t>
      </w:r>
    </w:p>
    <w:p w14:paraId="5692868B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território</w:t>
      </w:r>
    </w:p>
    <w:p w14:paraId="4E4058D0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59C06FF" w14:textId="76D18498" w:rsidR="00AD6CDA" w:rsidRPr="00AD6CDA" w:rsidRDefault="00AD6CDA" w:rsidP="00AD6CDA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lastRenderedPageBreak/>
        <w:t>1</w:t>
      </w:r>
      <w:r w:rsidRPr="00AD6CD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9. O Norte do Brasil é a maior divisão regional do país, sendo composta por sete unidades federativas que possuem características físicas e humanas em comum. No que toca à vegetação, a maior parte da região Norte é coberta por qual tipo florestal?</w:t>
      </w:r>
    </w:p>
    <w:p w14:paraId="1DC5198A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Mata Atlântica</w:t>
      </w:r>
    </w:p>
    <w:p w14:paraId="2D717FC0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Mata de Araucárias</w:t>
      </w:r>
    </w:p>
    <w:p w14:paraId="763EC090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Mata de Cocais</w:t>
      </w:r>
    </w:p>
    <w:p w14:paraId="606E5004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Floresta Amazônica</w:t>
      </w:r>
    </w:p>
    <w:p w14:paraId="0300A577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Floresta de Coníferas</w:t>
      </w:r>
    </w:p>
    <w:p w14:paraId="4AD86AF2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6B8B9FE7" w14:textId="38C0D0D5" w:rsidR="00AD6CDA" w:rsidRPr="00AD6CDA" w:rsidRDefault="00AD6CDA" w:rsidP="00AD6CD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2</w:t>
      </w: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0. É nessa região onde encontramos os picos mais elevados do Brasil, Pico da Neblina e 31 de Março.</w:t>
      </w:r>
    </w:p>
    <w:p w14:paraId="66825787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nordeste</w:t>
      </w:r>
    </w:p>
    <w:p w14:paraId="3164C490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sudeste</w:t>
      </w:r>
    </w:p>
    <w:p w14:paraId="01D59F15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sul</w:t>
      </w:r>
    </w:p>
    <w:p w14:paraId="7B44A924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norte</w:t>
      </w:r>
    </w:p>
    <w:p w14:paraId="1419B2FC" w14:textId="77777777" w:rsidR="00AD6CDA" w:rsidRPr="00AD6CDA" w:rsidRDefault="00AD6CDA" w:rsidP="00AD6CDA">
      <w:pPr>
        <w:shd w:val="clear" w:color="auto" w:fill="FFFFFF"/>
        <w:spacing w:before="150" w:after="0" w:line="240" w:lineRule="auto"/>
        <w:ind w:left="-992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D6CD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centro-oeste</w:t>
      </w:r>
    </w:p>
    <w:p w14:paraId="4D7748B0" w14:textId="77777777" w:rsidR="00AD6CDA" w:rsidRPr="00A24006" w:rsidRDefault="00AD6CDA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C715B9C" w14:textId="77777777" w:rsidR="00BE0DC6" w:rsidRPr="00A24006" w:rsidRDefault="00BE0DC6" w:rsidP="00A2400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AECEB5" w14:textId="77777777" w:rsid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23CCD0D" w14:textId="31E4B2F0" w:rsidR="00A24006" w:rsidRDefault="00A24006" w:rsidP="00A2400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</w:t>
      </w:r>
    </w:p>
    <w:p w14:paraId="71931049" w14:textId="39C468AD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1. c</w:t>
      </w:r>
    </w:p>
    <w:p w14:paraId="2DB179AE" w14:textId="4827CBDB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2. c</w:t>
      </w:r>
    </w:p>
    <w:p w14:paraId="6A47DE56" w14:textId="5D3B199A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6BCA6BC5" w14:textId="52DEA958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4. c</w:t>
      </w:r>
    </w:p>
    <w:p w14:paraId="2D4B3927" w14:textId="0E6E1120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525DE377" w14:textId="716DD6AD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6.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5DC22398" w14:textId="3FDB6B76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7.d</w:t>
      </w:r>
    </w:p>
    <w:p w14:paraId="541050BC" w14:textId="2DC0286B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8. d</w:t>
      </w:r>
    </w:p>
    <w:p w14:paraId="4CA2040A" w14:textId="27BCE752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9. d</w:t>
      </w:r>
    </w:p>
    <w:p w14:paraId="56F91281" w14:textId="18013824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10. d</w:t>
      </w:r>
    </w:p>
    <w:p w14:paraId="582F0FEC" w14:textId="7AE1263E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11. </w:t>
      </w:r>
      <w:r w:rsidR="00AD6CDA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</w:p>
    <w:p w14:paraId="505AD520" w14:textId="63DB9B49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12. </w:t>
      </w:r>
      <w:r w:rsidR="00AD6CDA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</w:p>
    <w:p w14:paraId="20DCD1CD" w14:textId="3F1A026B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</w:t>
      </w:r>
      <w:r w:rsidR="00AD6CDA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</w:p>
    <w:p w14:paraId="30E1D8CB" w14:textId="5F724DA8" w:rsidR="00A24006" w:rsidRDefault="00A24006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proofErr w:type="spellStart"/>
      <w:proofErr w:type="gramStart"/>
      <w:r w:rsidR="00AD6CDA">
        <w:rPr>
          <w:rFonts w:ascii="Verdana" w:eastAsia="Times New Roman" w:hAnsi="Verdana" w:cs="Times New Roman"/>
          <w:sz w:val="20"/>
          <w:szCs w:val="20"/>
          <w:lang w:eastAsia="pt-BR"/>
        </w:rPr>
        <w:t>ca</w:t>
      </w:r>
      <w:proofErr w:type="spellEnd"/>
      <w:proofErr w:type="gramEnd"/>
    </w:p>
    <w:p w14:paraId="1242A453" w14:textId="0717EED3" w:rsidR="00A24006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</w:p>
    <w:p w14:paraId="0140FA08" w14:textId="2030B18B" w:rsidR="00AD6CDA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16. d</w:t>
      </w:r>
    </w:p>
    <w:p w14:paraId="34C4A3B4" w14:textId="56373D1F" w:rsidR="00AD6CDA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17. b</w:t>
      </w:r>
    </w:p>
    <w:p w14:paraId="179D8D80" w14:textId="75E46658" w:rsidR="00AD6CDA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18.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e</w:t>
      </w:r>
      <w:proofErr w:type="gramEnd"/>
    </w:p>
    <w:p w14:paraId="4232E0E3" w14:textId="35681B19" w:rsidR="00AD6CDA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19. d</w:t>
      </w:r>
    </w:p>
    <w:p w14:paraId="17C71AA2" w14:textId="58184050" w:rsidR="00AD6CDA" w:rsidRPr="00A24006" w:rsidRDefault="00AD6CDA" w:rsidP="00A24006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20. d</w:t>
      </w:r>
    </w:p>
    <w:p w14:paraId="6FCF7ED7" w14:textId="0641ED87" w:rsidR="00A24006" w:rsidRPr="00A24006" w:rsidRDefault="00A24006" w:rsidP="00A24006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7934AA8F" w14:textId="3445BA67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sectPr w:rsidR="00E84149" w:rsidRPr="00E841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CCD2B" w14:textId="77777777" w:rsidR="00354C67" w:rsidRDefault="00354C67" w:rsidP="009851F2">
      <w:pPr>
        <w:spacing w:after="0" w:line="240" w:lineRule="auto"/>
      </w:pPr>
      <w:r>
        <w:separator/>
      </w:r>
    </w:p>
  </w:endnote>
  <w:endnote w:type="continuationSeparator" w:id="0">
    <w:p w14:paraId="65CD6AF8" w14:textId="77777777" w:rsidR="00354C67" w:rsidRDefault="00354C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6CDA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6CD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F5A8A" w14:textId="77777777" w:rsidR="00354C67" w:rsidRDefault="00354C67" w:rsidP="009851F2">
      <w:pPr>
        <w:spacing w:after="0" w:line="240" w:lineRule="auto"/>
      </w:pPr>
      <w:r>
        <w:separator/>
      </w:r>
    </w:p>
  </w:footnote>
  <w:footnote w:type="continuationSeparator" w:id="0">
    <w:p w14:paraId="1AD71238" w14:textId="77777777" w:rsidR="00354C67" w:rsidRDefault="00354C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C67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6252"/>
    <w:rsid w:val="00624538"/>
    <w:rsid w:val="00643057"/>
    <w:rsid w:val="006451D4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86694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4006"/>
    <w:rsid w:val="00A60A0D"/>
    <w:rsid w:val="00A76795"/>
    <w:rsid w:val="00A84FD5"/>
    <w:rsid w:val="00AA73EE"/>
    <w:rsid w:val="00AC2CB2"/>
    <w:rsid w:val="00AC2CBC"/>
    <w:rsid w:val="00AD6CD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0DC6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E1103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A240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A24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0080-0D1E-4233-A3D0-9869479B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2022-03-30T00:57:00Z</dcterms:created>
  <dcterms:modified xsi:type="dcterms:W3CDTF">2022-03-30T00:57:00Z</dcterms:modified>
</cp:coreProperties>
</file>