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E6A06A6" w:rsidR="00093F84" w:rsidRPr="0086497B" w:rsidRDefault="00140DB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6B30DB" w14:textId="46C1C8B5" w:rsidR="006253E3" w:rsidRDefault="006253E3" w:rsidP="006253E3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SIMULADO – AS ALTERNATIVAS CORRETAS ESTÃO EM NEGRITO</w:t>
      </w:r>
    </w:p>
    <w:p w14:paraId="7CC103C2" w14:textId="77777777" w:rsidR="006253E3" w:rsidRDefault="006253E3" w:rsidP="006253E3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</w:p>
    <w:p w14:paraId="5624807D" w14:textId="6725D23C" w:rsidR="006253E3" w:rsidRPr="006253E3" w:rsidRDefault="006253E3" w:rsidP="006253E3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  <w:r w:rsidRPr="006253E3">
        <w:rPr>
          <w:rFonts w:ascii="Verdana" w:hAnsi="Verdana"/>
          <w:sz w:val="20"/>
          <w:szCs w:val="20"/>
        </w:rPr>
        <w:t xml:space="preserve">01 – (ENEM) </w:t>
      </w:r>
      <w:r w:rsidRPr="006253E3">
        <w:rPr>
          <w:rFonts w:ascii="Verdana" w:hAnsi="Verdana"/>
          <w:sz w:val="20"/>
          <w:szCs w:val="20"/>
        </w:rPr>
        <w:t xml:space="preserve">É amplamente conhecida a grande diversidade gastronômica da espécie humana. Frequentemente, essa diversidade é utilizada para classificações depreciativas. Assim, no início do século, os americanos denominavam os franceses de “comedores de rãs”. Os índios </w:t>
      </w:r>
      <w:proofErr w:type="spellStart"/>
      <w:r w:rsidRPr="006253E3">
        <w:rPr>
          <w:rFonts w:ascii="Verdana" w:hAnsi="Verdana"/>
          <w:sz w:val="20"/>
          <w:szCs w:val="20"/>
        </w:rPr>
        <w:t>kaapor</w:t>
      </w:r>
      <w:proofErr w:type="spellEnd"/>
      <w:r w:rsidRPr="006253E3">
        <w:rPr>
          <w:rFonts w:ascii="Verdana" w:hAnsi="Verdana"/>
          <w:sz w:val="20"/>
          <w:szCs w:val="20"/>
        </w:rPr>
        <w:t xml:space="preserve"> discriminam os timbiras chamando-os pejorativamente de “comedores de cobra”. E a palavra potiguara pode significar realmente “comedores de camarão”. As pessoas não se chocam apenas porque as outras comem coisas variadas, mas também pela maneira que agem à mesa. Como utilizamos garfos, surpreendemo-nos com o uso dos palitos pelos japoneses e das mãos por certos segmentos de nossa sociedade.</w:t>
      </w:r>
    </w:p>
    <w:p w14:paraId="3DF24619" w14:textId="77777777" w:rsidR="006253E3" w:rsidRPr="006253E3" w:rsidRDefault="006253E3" w:rsidP="006253E3">
      <w:pPr>
        <w:spacing w:after="0"/>
        <w:ind w:left="-567" w:right="425"/>
        <w:jc w:val="right"/>
        <w:rPr>
          <w:rFonts w:ascii="Verdana" w:hAnsi="Verdana"/>
          <w:sz w:val="16"/>
          <w:szCs w:val="16"/>
        </w:rPr>
      </w:pPr>
      <w:r w:rsidRPr="006253E3">
        <w:rPr>
          <w:rFonts w:ascii="Verdana" w:hAnsi="Verdana"/>
          <w:sz w:val="16"/>
          <w:szCs w:val="16"/>
        </w:rPr>
        <w:t>LARAIA, R. Cultura: um conceito antropológico. São Paulo: Jorge Zahar, 2001 (adaptado).</w:t>
      </w:r>
    </w:p>
    <w:p w14:paraId="12780FD7" w14:textId="77777777" w:rsidR="006253E3" w:rsidRPr="006253E3" w:rsidRDefault="006253E3" w:rsidP="006253E3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</w:p>
    <w:p w14:paraId="23046E05" w14:textId="77777777" w:rsidR="006253E3" w:rsidRPr="006253E3" w:rsidRDefault="006253E3" w:rsidP="006253E3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  <w:r w:rsidRPr="006253E3">
        <w:rPr>
          <w:rFonts w:ascii="Verdana" w:hAnsi="Verdana"/>
          <w:sz w:val="20"/>
          <w:szCs w:val="20"/>
        </w:rPr>
        <w:t>O processo de estranhamento citado, com base em um conjunto de representações que grupos ou indivíduos formam sobre outros, tem como causa o(a)</w:t>
      </w:r>
    </w:p>
    <w:p w14:paraId="7BFD7128" w14:textId="77777777" w:rsidR="006253E3" w:rsidRPr="006253E3" w:rsidRDefault="006253E3" w:rsidP="006253E3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</w:p>
    <w:p w14:paraId="4CB33190" w14:textId="5F320240" w:rsidR="006253E3" w:rsidRPr="006253E3" w:rsidRDefault="006253E3" w:rsidP="006253E3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  <w:r w:rsidRPr="006253E3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6253E3">
        <w:rPr>
          <w:rFonts w:ascii="Verdana" w:hAnsi="Verdana"/>
          <w:sz w:val="20"/>
          <w:szCs w:val="20"/>
        </w:rPr>
        <w:t>reconhecimento mútuo entre povos.</w:t>
      </w:r>
    </w:p>
    <w:p w14:paraId="738C2563" w14:textId="219D433B" w:rsidR="006253E3" w:rsidRPr="006253E3" w:rsidRDefault="006253E3" w:rsidP="006253E3">
      <w:pPr>
        <w:spacing w:after="0"/>
        <w:ind w:left="-567" w:right="425"/>
        <w:jc w:val="both"/>
        <w:rPr>
          <w:rFonts w:ascii="Verdana" w:hAnsi="Verdana"/>
          <w:b/>
          <w:bCs/>
          <w:sz w:val="20"/>
          <w:szCs w:val="20"/>
        </w:rPr>
      </w:pPr>
      <w:r w:rsidRPr="006253E3">
        <w:rPr>
          <w:rFonts w:ascii="Verdana" w:hAnsi="Verdana"/>
          <w:b/>
          <w:bCs/>
          <w:sz w:val="20"/>
          <w:szCs w:val="20"/>
        </w:rPr>
        <w:t>b)</w:t>
      </w:r>
      <w:r w:rsidRPr="006253E3">
        <w:rPr>
          <w:rFonts w:ascii="Verdana" w:hAnsi="Verdana"/>
          <w:b/>
          <w:bCs/>
          <w:sz w:val="20"/>
          <w:szCs w:val="20"/>
        </w:rPr>
        <w:t xml:space="preserve"> </w:t>
      </w:r>
      <w:r w:rsidRPr="006253E3">
        <w:rPr>
          <w:rFonts w:ascii="Verdana" w:hAnsi="Verdana"/>
          <w:b/>
          <w:bCs/>
          <w:sz w:val="20"/>
          <w:szCs w:val="20"/>
        </w:rPr>
        <w:t>etnocentrismo recorrente entre populações.</w:t>
      </w:r>
    </w:p>
    <w:p w14:paraId="247FBCDF" w14:textId="3D936615" w:rsidR="006253E3" w:rsidRPr="006253E3" w:rsidRDefault="006253E3" w:rsidP="006253E3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  <w:r w:rsidRPr="006253E3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6253E3">
        <w:rPr>
          <w:rFonts w:ascii="Verdana" w:hAnsi="Verdana"/>
          <w:sz w:val="20"/>
          <w:szCs w:val="20"/>
        </w:rPr>
        <w:t>comportamento hostil em zonas de conflito.</w:t>
      </w:r>
    </w:p>
    <w:p w14:paraId="71E72CC7" w14:textId="5342C049" w:rsidR="006253E3" w:rsidRPr="006253E3" w:rsidRDefault="006253E3" w:rsidP="006253E3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  <w:r w:rsidRPr="006253E3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6253E3">
        <w:rPr>
          <w:rFonts w:ascii="Verdana" w:hAnsi="Verdana"/>
          <w:sz w:val="20"/>
          <w:szCs w:val="20"/>
        </w:rPr>
        <w:t>constatação de agressividade no estado de natureza.</w:t>
      </w:r>
    </w:p>
    <w:p w14:paraId="400B0345" w14:textId="097835F7" w:rsidR="006253E3" w:rsidRDefault="006253E3" w:rsidP="00EC4ECF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  <w:r w:rsidRPr="006253E3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6253E3">
        <w:rPr>
          <w:rFonts w:ascii="Verdana" w:hAnsi="Verdana"/>
          <w:sz w:val="20"/>
          <w:szCs w:val="20"/>
        </w:rPr>
        <w:t>transmutação de valores no contexto da modernidade.</w:t>
      </w:r>
    </w:p>
    <w:p w14:paraId="63BB03AB" w14:textId="1888A724" w:rsidR="00EC4ECF" w:rsidRDefault="00EC4ECF" w:rsidP="00EC4ECF">
      <w:pPr>
        <w:spacing w:after="0"/>
        <w:ind w:left="-567" w:right="425"/>
        <w:jc w:val="both"/>
        <w:rPr>
          <w:rFonts w:ascii="Verdana" w:hAnsi="Verdana"/>
          <w:sz w:val="20"/>
          <w:szCs w:val="20"/>
        </w:rPr>
      </w:pPr>
    </w:p>
    <w:p w14:paraId="37919DA7" w14:textId="366F2F94" w:rsidR="00EC4ECF" w:rsidRPr="00140DBA" w:rsidRDefault="00EC4ECF" w:rsidP="00140DBA">
      <w:pPr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140DBA">
        <w:rPr>
          <w:rFonts w:ascii="Verdana" w:hAnsi="Verdana"/>
          <w:sz w:val="20"/>
          <w:szCs w:val="20"/>
        </w:rPr>
        <w:t>02 –</w:t>
      </w:r>
    </w:p>
    <w:p w14:paraId="4D80D8C2" w14:textId="3743931A" w:rsidR="00EC4ECF" w:rsidRPr="00140DBA" w:rsidRDefault="00EC4ECF" w:rsidP="00140DBA">
      <w:pPr>
        <w:spacing w:after="0" w:line="240" w:lineRule="auto"/>
        <w:ind w:left="-567" w:right="425"/>
        <w:jc w:val="center"/>
        <w:rPr>
          <w:rFonts w:ascii="Verdana" w:hAnsi="Verdana"/>
          <w:sz w:val="20"/>
          <w:szCs w:val="20"/>
        </w:rPr>
      </w:pPr>
      <w:r w:rsidRPr="00140DBA">
        <w:rPr>
          <w:noProof/>
          <w:sz w:val="20"/>
          <w:szCs w:val="20"/>
        </w:rPr>
        <w:drawing>
          <wp:inline distT="0" distB="0" distL="0" distR="0" wp14:anchorId="2413A1E1" wp14:editId="1DDDDF58">
            <wp:extent cx="1520106" cy="1580806"/>
            <wp:effectExtent l="0" t="0" r="4445" b="635"/>
            <wp:docPr id="1" name="Imagem 1" descr="Foto em preto e branco de pessoas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 de pessoas posando para fo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190" cy="159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1E7A" w14:textId="4F63DC2B" w:rsidR="00D62933" w:rsidRPr="00140DBA" w:rsidRDefault="00EC4ECF" w:rsidP="00140DBA">
      <w:pPr>
        <w:tabs>
          <w:tab w:val="left" w:pos="1125"/>
        </w:tabs>
        <w:spacing w:after="0" w:line="240" w:lineRule="auto"/>
        <w:jc w:val="center"/>
        <w:rPr>
          <w:rFonts w:ascii="Verdana" w:hAnsi="Verdana"/>
          <w:sz w:val="12"/>
          <w:szCs w:val="12"/>
        </w:rPr>
      </w:pPr>
      <w:r w:rsidRPr="00140DBA">
        <w:rPr>
          <w:rFonts w:ascii="Verdana" w:hAnsi="Verdana"/>
          <w:sz w:val="12"/>
          <w:szCs w:val="12"/>
        </w:rPr>
        <w:t xml:space="preserve">PICASSO, P. </w:t>
      </w:r>
      <w:proofErr w:type="spellStart"/>
      <w:r w:rsidRPr="00140DBA">
        <w:rPr>
          <w:rFonts w:ascii="Verdana" w:hAnsi="Verdana"/>
          <w:sz w:val="12"/>
          <w:szCs w:val="12"/>
        </w:rPr>
        <w:t>Les</w:t>
      </w:r>
      <w:proofErr w:type="spellEnd"/>
      <w:r w:rsidRPr="00140DBA">
        <w:rPr>
          <w:rFonts w:ascii="Verdana" w:hAnsi="Verdana"/>
          <w:sz w:val="12"/>
          <w:szCs w:val="12"/>
        </w:rPr>
        <w:t xml:space="preserve"> </w:t>
      </w:r>
      <w:proofErr w:type="spellStart"/>
      <w:r w:rsidRPr="00140DBA">
        <w:rPr>
          <w:rFonts w:ascii="Verdana" w:hAnsi="Verdana"/>
          <w:sz w:val="12"/>
          <w:szCs w:val="12"/>
        </w:rPr>
        <w:t>desmoiselles</w:t>
      </w:r>
      <w:proofErr w:type="spellEnd"/>
      <w:r w:rsidRPr="00140DBA">
        <w:rPr>
          <w:rFonts w:ascii="Verdana" w:hAnsi="Verdana"/>
          <w:sz w:val="12"/>
          <w:szCs w:val="12"/>
        </w:rPr>
        <w:t xml:space="preserve"> d’Avignon. Óleo sobre tela, 243,9 x 233,7 cm. Museu de Arte Moderna, Nova Iorque, 1907.</w:t>
      </w:r>
    </w:p>
    <w:p w14:paraId="697F333E" w14:textId="77777777" w:rsidR="00D62933" w:rsidRPr="00140DBA" w:rsidRDefault="00D62933" w:rsidP="00140DB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7B3E731" w14:textId="4BCE772B" w:rsidR="00140DBA" w:rsidRPr="00140DBA" w:rsidRDefault="00140DBA" w:rsidP="00140DB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40DBA">
        <w:rPr>
          <w:rFonts w:ascii="Verdana" w:hAnsi="Verdana"/>
          <w:sz w:val="20"/>
          <w:szCs w:val="20"/>
        </w:rPr>
        <w:t xml:space="preserve">A obra </w:t>
      </w:r>
      <w:proofErr w:type="spellStart"/>
      <w:r w:rsidRPr="00140DBA">
        <w:rPr>
          <w:rFonts w:ascii="Verdana" w:hAnsi="Verdana"/>
          <w:sz w:val="20"/>
          <w:szCs w:val="20"/>
        </w:rPr>
        <w:t>Les</w:t>
      </w:r>
      <w:proofErr w:type="spellEnd"/>
      <w:r w:rsidRPr="00140DBA">
        <w:rPr>
          <w:rFonts w:ascii="Verdana" w:hAnsi="Verdana"/>
          <w:sz w:val="20"/>
          <w:szCs w:val="20"/>
        </w:rPr>
        <w:t xml:space="preserve"> </w:t>
      </w:r>
      <w:proofErr w:type="spellStart"/>
      <w:r w:rsidRPr="00140DBA">
        <w:rPr>
          <w:rFonts w:ascii="Verdana" w:hAnsi="Verdana"/>
          <w:sz w:val="20"/>
          <w:szCs w:val="20"/>
        </w:rPr>
        <w:t>desmoiselles</w:t>
      </w:r>
      <w:proofErr w:type="spellEnd"/>
      <w:r w:rsidRPr="00140DBA">
        <w:rPr>
          <w:rFonts w:ascii="Verdana" w:hAnsi="Verdana"/>
          <w:sz w:val="20"/>
          <w:szCs w:val="20"/>
        </w:rPr>
        <w:t xml:space="preserve"> </w:t>
      </w:r>
      <w:proofErr w:type="spellStart"/>
      <w:r w:rsidRPr="00140DBA">
        <w:rPr>
          <w:rFonts w:ascii="Verdana" w:hAnsi="Verdana"/>
          <w:sz w:val="20"/>
          <w:szCs w:val="20"/>
        </w:rPr>
        <w:t>dAvignon</w:t>
      </w:r>
      <w:proofErr w:type="spellEnd"/>
      <w:r w:rsidRPr="00140DBA">
        <w:rPr>
          <w:rFonts w:ascii="Verdana" w:hAnsi="Verdana"/>
          <w:sz w:val="20"/>
          <w:szCs w:val="20"/>
        </w:rPr>
        <w:t>, do pintor espanhol Pablo Picasso, é um dos marcos iniciais do movimento cubista.</w:t>
      </w:r>
      <w:r>
        <w:rPr>
          <w:rFonts w:ascii="Verdana" w:hAnsi="Verdana"/>
          <w:sz w:val="20"/>
          <w:szCs w:val="20"/>
        </w:rPr>
        <w:t xml:space="preserve"> </w:t>
      </w:r>
      <w:r w:rsidRPr="00140DBA">
        <w:rPr>
          <w:rFonts w:ascii="Verdana" w:hAnsi="Verdana"/>
          <w:sz w:val="20"/>
          <w:szCs w:val="20"/>
        </w:rPr>
        <w:t>Essa obra filia-se também ao Primitivismo, uma vez que sua composição recorre à manifestação cultural de um determinado grupo étnico, que se caracteriza por</w:t>
      </w:r>
    </w:p>
    <w:p w14:paraId="5BB923D5" w14:textId="77777777" w:rsidR="00140DBA" w:rsidRPr="00140DBA" w:rsidRDefault="00140DBA" w:rsidP="00140DB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6F4FE45" w14:textId="640812B2" w:rsidR="00140DBA" w:rsidRPr="00140DBA" w:rsidRDefault="00140DBA" w:rsidP="00140DBA">
      <w:pPr>
        <w:tabs>
          <w:tab w:val="left" w:pos="1125"/>
        </w:tabs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140DBA">
        <w:rPr>
          <w:rFonts w:ascii="Verdana" w:hAnsi="Verdana"/>
          <w:b/>
          <w:bCs/>
          <w:sz w:val="20"/>
          <w:szCs w:val="20"/>
        </w:rPr>
        <w:t>a)</w:t>
      </w:r>
      <w:r w:rsidRPr="00140DBA">
        <w:rPr>
          <w:rFonts w:ascii="Verdana" w:hAnsi="Verdana"/>
          <w:b/>
          <w:bCs/>
          <w:sz w:val="20"/>
          <w:szCs w:val="20"/>
        </w:rPr>
        <w:t xml:space="preserve"> </w:t>
      </w:r>
      <w:r w:rsidRPr="00140DBA">
        <w:rPr>
          <w:rFonts w:ascii="Verdana" w:hAnsi="Verdana"/>
          <w:b/>
          <w:bCs/>
          <w:sz w:val="20"/>
          <w:szCs w:val="20"/>
        </w:rPr>
        <w:t>produção de máscaras ritualísticas africanas.</w:t>
      </w:r>
    </w:p>
    <w:p w14:paraId="3BD6FB8D" w14:textId="1B881652" w:rsidR="00140DBA" w:rsidRPr="00140DBA" w:rsidRDefault="00140DBA" w:rsidP="00140DB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40DBA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140DBA">
        <w:rPr>
          <w:rFonts w:ascii="Verdana" w:hAnsi="Verdana"/>
          <w:sz w:val="20"/>
          <w:szCs w:val="20"/>
        </w:rPr>
        <w:t>rituais de fertilidade das comunidades celtas.</w:t>
      </w:r>
    </w:p>
    <w:p w14:paraId="08513909" w14:textId="63917FEC" w:rsidR="00140DBA" w:rsidRPr="00140DBA" w:rsidRDefault="00140DBA" w:rsidP="00140DB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40DBA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140DBA">
        <w:rPr>
          <w:rFonts w:ascii="Verdana" w:hAnsi="Verdana"/>
          <w:sz w:val="20"/>
          <w:szCs w:val="20"/>
        </w:rPr>
        <w:t>festas profanas dos povos mediterrâneos.</w:t>
      </w:r>
    </w:p>
    <w:p w14:paraId="7D96163A" w14:textId="669A658B" w:rsidR="00140DBA" w:rsidRPr="00140DBA" w:rsidRDefault="00140DBA" w:rsidP="00140DB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40DBA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140DBA">
        <w:rPr>
          <w:rFonts w:ascii="Verdana" w:hAnsi="Verdana"/>
          <w:sz w:val="20"/>
          <w:szCs w:val="20"/>
        </w:rPr>
        <w:t>culto à nudez de populações aborígenes.</w:t>
      </w:r>
    </w:p>
    <w:p w14:paraId="4FDDB45A" w14:textId="275225D3" w:rsidR="00D62933" w:rsidRPr="00140DBA" w:rsidRDefault="00140DBA" w:rsidP="00140DB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40DBA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140DBA">
        <w:rPr>
          <w:rFonts w:ascii="Verdana" w:hAnsi="Verdana"/>
          <w:sz w:val="20"/>
          <w:szCs w:val="20"/>
        </w:rPr>
        <w:t>danças ciganas do sul da Espanha.</w:t>
      </w: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C648" w14:textId="77777777" w:rsidR="00F50470" w:rsidRDefault="00F50470" w:rsidP="009851F2">
      <w:pPr>
        <w:spacing w:after="0" w:line="240" w:lineRule="auto"/>
      </w:pPr>
      <w:r>
        <w:separator/>
      </w:r>
    </w:p>
  </w:endnote>
  <w:endnote w:type="continuationSeparator" w:id="0">
    <w:p w14:paraId="32EF12BA" w14:textId="77777777" w:rsidR="00F50470" w:rsidRDefault="00F5047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E713" w14:textId="77777777" w:rsidR="00F50470" w:rsidRDefault="00F50470" w:rsidP="009851F2">
      <w:pPr>
        <w:spacing w:after="0" w:line="240" w:lineRule="auto"/>
      </w:pPr>
      <w:r>
        <w:separator/>
      </w:r>
    </w:p>
  </w:footnote>
  <w:footnote w:type="continuationSeparator" w:id="0">
    <w:p w14:paraId="39C2A599" w14:textId="77777777" w:rsidR="00F50470" w:rsidRDefault="00F5047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0DBA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253E3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4ECF"/>
    <w:rsid w:val="00ED1EBE"/>
    <w:rsid w:val="00ED64D8"/>
    <w:rsid w:val="00F034E6"/>
    <w:rsid w:val="00F03E24"/>
    <w:rsid w:val="00F16B25"/>
    <w:rsid w:val="00F44BF8"/>
    <w:rsid w:val="00F50470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2022-03-06T22:53:00Z</dcterms:created>
  <dcterms:modified xsi:type="dcterms:W3CDTF">2022-03-06T22:53:00Z</dcterms:modified>
</cp:coreProperties>
</file>