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079B" w14:textId="15FEB061" w:rsidR="00DA622D" w:rsidRDefault="00DA622D" w:rsidP="00DA622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Simulado </w:t>
      </w:r>
      <w:r w:rsidR="00680348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ª Série 3º Bimestre</w:t>
      </w:r>
    </w:p>
    <w:p w14:paraId="45B85F07" w14:textId="1BA208C4" w:rsidR="00680348" w:rsidRPr="00680348" w:rsidRDefault="00E86BF4" w:rsidP="00680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680348" w:rsidRPr="00680348">
        <w:rPr>
          <w:rFonts w:ascii="Arial" w:hAnsi="Arial" w:cs="Arial"/>
          <w:sz w:val="20"/>
          <w:szCs w:val="20"/>
        </w:rPr>
        <w:t>A estética nas diferentes sociedades vem geralmente acompanhada de marcas corporais que individualizam seus sujeitos e sua coletividade. Discos labiais, piercings, tatuagens, mutilações, pinturas, vestimentas, penteados e cortes de cabelo são algumas marcas reconhecíveis de um inventário possível das técnicas corporais em toda sua riqueza e diversidade. Embora universal, as formas das quais se valem os grupos e indivíduos para se marcarem corporalmente são vistas, às vezes, como estranhas a indivíduos que pertencem a outros grupos.</w:t>
      </w:r>
    </w:p>
    <w:p w14:paraId="4D2260FD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</w:p>
    <w:p w14:paraId="3AEFB4C2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 xml:space="preserve">Essa atitude de estranhamento em relação ao diferente é considerada conceitualmente como </w:t>
      </w:r>
    </w:p>
    <w:p w14:paraId="3C90C3CE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 xml:space="preserve">a) preconceito: reconhece no valor das raças o que é correto ou não na estética corporal. </w:t>
      </w:r>
    </w:p>
    <w:p w14:paraId="617A3735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 xml:space="preserve">b) relativização: o outro é entendido nos seus próprios termos. </w:t>
      </w:r>
    </w:p>
    <w:p w14:paraId="586C690E" w14:textId="77777777" w:rsidR="00680348" w:rsidRPr="00680348" w:rsidRDefault="00680348" w:rsidP="00680348">
      <w:pPr>
        <w:rPr>
          <w:rFonts w:ascii="Arial" w:hAnsi="Arial" w:cs="Arial"/>
          <w:color w:val="FF0000"/>
          <w:sz w:val="20"/>
          <w:szCs w:val="20"/>
        </w:rPr>
      </w:pPr>
      <w:r w:rsidRPr="00680348">
        <w:rPr>
          <w:rFonts w:ascii="Arial" w:hAnsi="Arial" w:cs="Arial"/>
          <w:color w:val="FF0000"/>
          <w:sz w:val="20"/>
          <w:szCs w:val="20"/>
        </w:rPr>
        <w:t xml:space="preserve">c) etnocentrismo: só reconhece valor nos seus próprios elementos culturais. </w:t>
      </w:r>
    </w:p>
    <w:p w14:paraId="790A8447" w14:textId="2F4AB40F" w:rsid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 xml:space="preserve">d) etnocídio: afasta o diferente e procura transformá-lo num igual. </w:t>
      </w:r>
    </w:p>
    <w:p w14:paraId="5FEA6C81" w14:textId="6CCF41DF" w:rsidR="00E86BF4" w:rsidRPr="00680348" w:rsidRDefault="00E86BF4" w:rsidP="00680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NDA</w:t>
      </w:r>
    </w:p>
    <w:p w14:paraId="2B45791F" w14:textId="7F9A157A" w:rsidR="00680348" w:rsidRPr="00680348" w:rsidRDefault="00E86BF4" w:rsidP="00680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="00680348" w:rsidRPr="00680348">
        <w:rPr>
          <w:rFonts w:ascii="Arial" w:hAnsi="Arial" w:cs="Arial"/>
          <w:sz w:val="20"/>
          <w:szCs w:val="20"/>
        </w:rPr>
        <w:t xml:space="preserve"> Muitos países se caracterizam por terem populações multiétnicas. Com frequência, evoluíram desse modo ao longo de séculos. Outras sociedades se tornaram multiétnicas mais rapidamente, como resultado de políticas incentivando a migração, ou por conta de legados coloniais e imperiais.</w:t>
      </w:r>
    </w:p>
    <w:p w14:paraId="234473BA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</w:p>
    <w:p w14:paraId="14187BC4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>GIDDENS. A. Sociologia. Porto Alegre: Penso, 2012 (adaptado).</w:t>
      </w:r>
    </w:p>
    <w:p w14:paraId="0A50D5D7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</w:p>
    <w:p w14:paraId="5A283F18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>Do ponto de vista do funcionamento das democracias contemporâneas, o modelo de sociedade descrito demanda, simultaneamente,</w:t>
      </w:r>
    </w:p>
    <w:p w14:paraId="55095914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</w:p>
    <w:p w14:paraId="62AB3A8A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 xml:space="preserve">a) defesa do patriotismo e rejeição ao hibridismo.    </w:t>
      </w:r>
    </w:p>
    <w:p w14:paraId="1E1358ED" w14:textId="77777777" w:rsidR="00680348" w:rsidRPr="00680348" w:rsidRDefault="00680348" w:rsidP="00680348">
      <w:pPr>
        <w:rPr>
          <w:rFonts w:ascii="Arial" w:hAnsi="Arial" w:cs="Arial"/>
          <w:color w:val="FF0000"/>
          <w:sz w:val="20"/>
          <w:szCs w:val="20"/>
        </w:rPr>
      </w:pPr>
      <w:r w:rsidRPr="00680348">
        <w:rPr>
          <w:rFonts w:ascii="Arial" w:hAnsi="Arial" w:cs="Arial"/>
          <w:color w:val="FF0000"/>
          <w:sz w:val="20"/>
          <w:szCs w:val="20"/>
        </w:rPr>
        <w:t xml:space="preserve">b) universalização de direitos e respeito à diversidade.    </w:t>
      </w:r>
    </w:p>
    <w:p w14:paraId="32CD76FF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 xml:space="preserve">c) segregação do território e estímulo ao autogoverno.    </w:t>
      </w:r>
    </w:p>
    <w:p w14:paraId="2B7C1286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 xml:space="preserve">d) políticas de compensação e homogeneização do idioma.    </w:t>
      </w:r>
    </w:p>
    <w:p w14:paraId="03398DD9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 xml:space="preserve">e) padronização da cultura e repressão aos particularismos.  </w:t>
      </w:r>
    </w:p>
    <w:p w14:paraId="69F08BEE" w14:textId="18709D88" w:rsidR="00680348" w:rsidRPr="00680348" w:rsidRDefault="00E86BF4" w:rsidP="00680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="00680348" w:rsidRPr="00680348">
        <w:rPr>
          <w:rFonts w:ascii="Arial" w:hAnsi="Arial" w:cs="Arial"/>
          <w:sz w:val="20"/>
          <w:szCs w:val="20"/>
        </w:rPr>
        <w:t xml:space="preserve"> Outra importante manifestação das crenças e tradições africanas na Colônia eram os objetos conhecidos como “bolsas de mandinga”. A insegurança tanto física como espiritual gerava uma necessidade generalizada de proteção: das catástrofes da natureza, das doenças, da má sorte, da violência dos núcleos urbanos, dos roubos, das brigas, dos malefícios de feiticeiros etc. Também para trazer sorte, dinheiro e até atrair mulheres, o costume era corrente nas primeiras décadas do século XVIII, envolvendo não apenas escravos, mas também homens brancos.</w:t>
      </w:r>
    </w:p>
    <w:p w14:paraId="4C351FEC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</w:p>
    <w:p w14:paraId="2D16813E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>CALAINHO, D. B. Feitiços e feiticeiros. In: FIGUEIREDO, L. História do Brasil para ocupados. Rio de Janeiro: Casa da Palavra, 2013 (adaptado).</w:t>
      </w:r>
    </w:p>
    <w:p w14:paraId="5368FF90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</w:p>
    <w:p w14:paraId="7E21218F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>A prática histórico-cultural de matriz africana descrita no texto representava um(a)</w:t>
      </w:r>
    </w:p>
    <w:p w14:paraId="2CCA65A0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lastRenderedPageBreak/>
        <w:t xml:space="preserve">a) expressão do valor das festividades da população pobre.   </w:t>
      </w:r>
    </w:p>
    <w:p w14:paraId="6178A83D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 xml:space="preserve">b) ferramenta para submeter os cativos ao trabalho forçado.    </w:t>
      </w:r>
    </w:p>
    <w:p w14:paraId="29A47E1F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 xml:space="preserve">c) estratégia de subversão do poder da monarquia portuguesa.    </w:t>
      </w:r>
    </w:p>
    <w:p w14:paraId="7BEC4649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 xml:space="preserve">d) elemento de conversão dos escravos ao catolicismo romano.    </w:t>
      </w:r>
    </w:p>
    <w:p w14:paraId="744A4C5E" w14:textId="77777777" w:rsidR="00680348" w:rsidRPr="00680348" w:rsidRDefault="00680348" w:rsidP="00680348">
      <w:pPr>
        <w:rPr>
          <w:rFonts w:ascii="Arial" w:hAnsi="Arial" w:cs="Arial"/>
          <w:color w:val="FF0000"/>
          <w:sz w:val="20"/>
          <w:szCs w:val="20"/>
        </w:rPr>
      </w:pPr>
      <w:r w:rsidRPr="00680348">
        <w:rPr>
          <w:rFonts w:ascii="Arial" w:hAnsi="Arial" w:cs="Arial"/>
          <w:color w:val="FF0000"/>
          <w:sz w:val="20"/>
          <w:szCs w:val="20"/>
        </w:rPr>
        <w:t xml:space="preserve">e) instrumento para minimizar o sentimento de desamparo social.  </w:t>
      </w:r>
    </w:p>
    <w:p w14:paraId="6160B02D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</w:p>
    <w:p w14:paraId="55539C44" w14:textId="42781022" w:rsidR="00680348" w:rsidRPr="00680348" w:rsidRDefault="00E86BF4" w:rsidP="00680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="00680348" w:rsidRPr="00680348">
        <w:rPr>
          <w:rFonts w:ascii="Arial" w:hAnsi="Arial" w:cs="Arial"/>
          <w:sz w:val="20"/>
          <w:szCs w:val="20"/>
        </w:rPr>
        <w:t>Na antiga Vila de São José del Rei, a atual cidade de Tiradentes (MG), na primeira metade do século XVIII, mais de cinco mil escravos trabalhavam na mineração aurífera. Construíram sua capela, dedicada a Nossa Senhora do Rosário. Na fachada, colocaram um oratório com a imagem de São Benedito. A comunidade do século XVIII era organizada mediante a cor, por isso cada grupo tinha sua irmandade: a dos brancos, dos crioulos, dos mulatos, dos pardos. Em cada localidade se construía uma igreja dedicada a Nossa Senhora do Rosário. Com a decadência da mineração, a população negra foi levada para arraiais com atividades lucrativas diversas. Eles se foram e ficou a igreja. Mas, hoje, está sendo resgatada a festa do Rosário e o Terno de Congado.</w:t>
      </w:r>
    </w:p>
    <w:p w14:paraId="039EC874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</w:p>
    <w:p w14:paraId="7D7CC541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>CRUZ, L. Fé e identidade cultural. Disponível em: www.revistadehistoria.com.br. Acesso em: 4 jul. 2012.</w:t>
      </w:r>
    </w:p>
    <w:p w14:paraId="73B344C6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>Na lógica analisada, as duas festividades retomadas recentemente, na cidade mineira de Tiradentes, têm como propósito</w:t>
      </w:r>
    </w:p>
    <w:p w14:paraId="3F62545E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</w:p>
    <w:p w14:paraId="3A4B7E7A" w14:textId="77777777" w:rsidR="00680348" w:rsidRPr="00680348" w:rsidRDefault="00680348" w:rsidP="00680348">
      <w:pPr>
        <w:rPr>
          <w:rFonts w:ascii="Arial" w:hAnsi="Arial" w:cs="Arial"/>
          <w:color w:val="FF0000"/>
          <w:sz w:val="20"/>
          <w:szCs w:val="20"/>
        </w:rPr>
      </w:pPr>
      <w:r w:rsidRPr="00680348">
        <w:rPr>
          <w:rFonts w:ascii="Arial" w:hAnsi="Arial" w:cs="Arial"/>
          <w:color w:val="FF0000"/>
          <w:sz w:val="20"/>
          <w:szCs w:val="20"/>
        </w:rPr>
        <w:t xml:space="preserve">a) valorizar a cultura afrodescendente e suas tradições religiosas.    </w:t>
      </w:r>
    </w:p>
    <w:p w14:paraId="18F95037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 xml:space="preserve">b) retomar a veneração católica aos valores do passado colonial.    </w:t>
      </w:r>
    </w:p>
    <w:p w14:paraId="69B172C7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 xml:space="preserve">c) reunir os elementos constitutivos da história econômica regional.    </w:t>
      </w:r>
    </w:p>
    <w:p w14:paraId="5C8551C7" w14:textId="77777777" w:rsidR="00680348" w:rsidRP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 xml:space="preserve">d) combater o preconceito contra os adeptos do catolicismo popular.    </w:t>
      </w:r>
    </w:p>
    <w:p w14:paraId="66C131FF" w14:textId="52851D24" w:rsidR="00680348" w:rsidRDefault="00680348" w:rsidP="00680348">
      <w:pPr>
        <w:rPr>
          <w:rFonts w:ascii="Arial" w:hAnsi="Arial" w:cs="Arial"/>
          <w:sz w:val="20"/>
          <w:szCs w:val="20"/>
        </w:rPr>
      </w:pPr>
      <w:r w:rsidRPr="00680348">
        <w:rPr>
          <w:rFonts w:ascii="Arial" w:hAnsi="Arial" w:cs="Arial"/>
          <w:sz w:val="20"/>
          <w:szCs w:val="20"/>
        </w:rPr>
        <w:t xml:space="preserve">e) produzir eventos turísticos voltados a religiões de origem africana.  </w:t>
      </w:r>
    </w:p>
    <w:sectPr w:rsidR="00680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2D"/>
    <w:rsid w:val="00680348"/>
    <w:rsid w:val="00706434"/>
    <w:rsid w:val="00DA622D"/>
    <w:rsid w:val="00E8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935F"/>
  <w15:chartTrackingRefBased/>
  <w15:docId w15:val="{5B7E501B-2452-47C7-BEF5-B8324C1F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652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3</cp:revision>
  <dcterms:created xsi:type="dcterms:W3CDTF">2021-09-09T17:15:00Z</dcterms:created>
  <dcterms:modified xsi:type="dcterms:W3CDTF">2021-09-09T17:16:00Z</dcterms:modified>
</cp:coreProperties>
</file>