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34A8C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342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7A3C5B3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420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E2932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42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3CB912E" w14:textId="430848CD" w:rsidR="004F6266" w:rsidRPr="004F6266" w:rsidRDefault="004F6266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F61085">
        <w:rPr>
          <w:rFonts w:ascii="Verdana" w:eastAsia="Times New Roman" w:hAnsi="Verdana" w:cs="Helvetica"/>
          <w:bCs/>
          <w:color w:val="111111"/>
          <w:spacing w:val="-12"/>
          <w:sz w:val="20"/>
          <w:szCs w:val="20"/>
          <w:lang w:eastAsia="pt-BR"/>
        </w:rPr>
        <w:t>1. (IBMECRJ)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 A chamada Nova Ordem Mundial, que marcou o final do século XX, é caracterizada por uma série de importantes acontecimentos, EXCETO:</w:t>
      </w:r>
    </w:p>
    <w:p w14:paraId="238D4DF5" w14:textId="77777777" w:rsidR="004F6266" w:rsidRPr="00F61085" w:rsidRDefault="004F6266" w:rsidP="00011329">
      <w:pPr>
        <w:shd w:val="clear" w:color="auto" w:fill="FFFFFF"/>
        <w:spacing w:before="100" w:beforeAutospacing="1" w:after="100" w:afterAutospacing="1" w:line="240" w:lineRule="auto"/>
        <w:ind w:left="-992"/>
        <w:contextualSpacing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4F6266">
        <w:rPr>
          <w:rFonts w:ascii="Verdana" w:eastAsia="Times New Roman" w:hAnsi="Verdana" w:cs="Helvetica"/>
          <w:b/>
          <w:color w:val="111111"/>
          <w:spacing w:val="-12"/>
          <w:sz w:val="20"/>
          <w:szCs w:val="20"/>
          <w:lang w:eastAsia="pt-BR"/>
        </w:rPr>
        <w:t>a) A queda do Muro de Berlim.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b) A implosão da União Sovié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c) A redemocratização da Europa Oriental.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d) A reunificação da Coré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br/>
        <w:t>e) O fim da Guerra Fria.</w:t>
      </w:r>
    </w:p>
    <w:p w14:paraId="6B3085BA" w14:textId="710D8C2A" w:rsidR="004F6266" w:rsidRPr="004F6266" w:rsidRDefault="004F6266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Helvetica"/>
          <w:spacing w:val="-12"/>
          <w:sz w:val="20"/>
          <w:szCs w:val="20"/>
          <w:lang w:eastAsia="pt-BR"/>
        </w:rPr>
        <w:t>2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(UNESP) Leia com atenção os textos</w:t>
      </w:r>
    </w:p>
    <w:p w14:paraId="3F872B3A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“A política internacional do pós-guerra apresenta duas características que a distinguem de todos os períodos anteriores: a universalidade das relações entre Estados e a bipolarização do poder planetário. A universalidade das relações entre Estados é fruto da desagregação definitiva dos impérios coloniais. A descolonização da Ásia e da África, que e iniciara no entreguerras, praticamente se completa na década de 60. O aparecimento de dezenas de novos países independentes cria, pela primeira vez, uma diplomacia efetivamente mundial”.</w:t>
      </w:r>
    </w:p>
    <w:p w14:paraId="3F9237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“A bipolarização do poder planetário é resultado do enfraquecimento geopolítico das antigas potências e da emergência de duas superpotências capazes de desencadear a destruição de todo o sistema mundial de Estados”.</w:t>
      </w:r>
    </w:p>
    <w:p w14:paraId="675E4A4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“Comandando direta ou indiretamente dezenas de Estados abrigados em suas áreas de influência, as superpotências encetam uma disputa pela hegemonia mundial que tem repercussões nos planos político, econômico e propagandístico.</w:t>
      </w:r>
    </w:p>
    <w:p w14:paraId="27551A5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[…] A diplomacia contemporânea se desenvolve em circunstâncias sem precedentes. Raras vezes existiu base menor de entendimento entre as grandes potências, mas tampouco jamais foi tão coibido o uso da força”.</w:t>
      </w:r>
    </w:p>
    <w:p w14:paraId="06E0D9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(Demétrio Magnoli, O mundo contemporâneo, Relações Internacionais 1945 a 2000. São Paulo: Moderna, 2002. Adaptado.)</w:t>
      </w:r>
    </w:p>
    <w:p w14:paraId="7AFB0499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>Os textos referem-se, respectivamente, a:</w:t>
      </w:r>
    </w:p>
    <w:p w14:paraId="0C1F00B6" w14:textId="6DECD1B8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a)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Organização das Nações Unidas (ONU);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Inglaterra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Monroe.</w:t>
      </w:r>
    </w:p>
    <w:p w14:paraId="7BD696AE" w14:textId="0C78560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b)I. Organização das Nações Unidas (ONU);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II. Estados Unidos e a União Soviética;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III. Guerra Fria.</w:t>
      </w:r>
    </w:p>
    <w:p w14:paraId="140395C3" w14:textId="5BA2B7F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c)I. Organização dos Estados Americanos (OEA);II. Reino Unido e Japão;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Plano Marshall.</w:t>
      </w:r>
    </w:p>
    <w:p w14:paraId="28F2E6A0" w14:textId="1798CAA4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d)I. União Europeia;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Canadá e EUA;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Truman.</w:t>
      </w:r>
    </w:p>
    <w:p w14:paraId="789257BF" w14:textId="7F149BF7" w:rsid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e)I. Organização do Tratado do Atlântico Norte (OTAN);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Alemanha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Conferência de Potsdam.</w:t>
      </w:r>
    </w:p>
    <w:p w14:paraId="23A60A35" w14:textId="77777777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2031924" w14:textId="77777777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3. (IFSP) A partir dos anos de 1990, o fim do mundo bipolar e da Guerra Fria significou a criação de uma nova ordem que pode ser definida como multipolar. Esta nova ordem</w:t>
      </w:r>
    </w:p>
    <w:p w14:paraId="0BE85A97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significou a eliminação automática dos atritos geopolíticos entre as nações.</w:t>
      </w:r>
    </w:p>
    <w:p w14:paraId="6BE80488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promoveu a retomada das divergências ideológicas entre a Europa e os Estados Unidos.</w:t>
      </w:r>
    </w:p>
    <w:p w14:paraId="3F02BFA8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c) fez surgir vários centros de poder político e econômico no cenário mundial.</w:t>
      </w:r>
    </w:p>
    <w:p w14:paraId="677F5962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d) somou novas lideranças políticas às duas antigas: Estados Unidos e Reino Unido.</w:t>
      </w:r>
    </w:p>
    <w:p w14:paraId="1B94FE23" w14:textId="77777777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e) impediu que países do Sul ascendessem economicamente à condição de emergentes.</w:t>
      </w:r>
    </w:p>
    <w:p w14:paraId="56ABE6F3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4746522" w14:textId="77777777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4. </w:t>
      </w: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(Enem) Do ponto de vista geopolítico, a Guerra Fria dividiu a Europa em dois blocos. Essa divisão propiciou a formação de alianças antagônicas de caráter militar, como a OTAN, que aglutinava os países do bloco ocidental, e o Pacto de Varsóvia, que concentrava os do bloco oriental. É importante destacar que, na formação da OTAN, estão presentes, além dos países do oeste europeu, os EUA e o Canadá. Essa divisão histórica atingiu igualmente os âmbitos político e econômico que se reﬂetia pela opção entre os modelos capitalista e socialista. Essa divisão europeia ficou conhecida como</w:t>
      </w:r>
    </w:p>
    <w:p w14:paraId="40589016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a) Cortina de Ferro.</w:t>
      </w:r>
    </w:p>
    <w:p w14:paraId="209C6174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Muro de Berlim.</w:t>
      </w:r>
    </w:p>
    <w:p w14:paraId="2A53613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União Europeia.</w:t>
      </w:r>
    </w:p>
    <w:p w14:paraId="5BC5CFDA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d) Convenção de Ramsar.</w:t>
      </w:r>
    </w:p>
    <w:p w14:paraId="4EC3B99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e) Conferência de Estocolmo.</w:t>
      </w:r>
    </w:p>
    <w:p w14:paraId="1BC7DBC9" w14:textId="5D4769E3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A1F4F0E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88DE875" w14:textId="77777777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5. (UERJ) Acabaram a União Soviética e a Guerra Fria e todos suspiramos aliviados. Mas em vez de espíritos desarmados proliferaram novos fantasmas nucleares e perdemos até a primeira condição para um  tranquilizador equilíbrio de terror que é saber de que lado virão os mísseis. A crise atual no mundo é uma crise de nitidez (…). Os que insistem em reduzir tudo a um choque de civilizações querem, na verdade, reduzir tudo a outra Guerra Fria, recuperar a simplicidade de um confronto entre potências com a simplificação adicional de que desta vez só um lado é uma potência…</w:t>
      </w:r>
    </w:p>
    <w:p w14:paraId="03F0F963" w14:textId="336FDB00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Luiz Fernando Veríssimo “O Globo”, 13/08/2006. </w:t>
      </w:r>
    </w:p>
    <w:p w14:paraId="4E9C0675" w14:textId="77777777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As características da atual geopolítica mundial que justificam o ponto de vista expresso pelo autor são:</w:t>
      </w:r>
    </w:p>
    <w:p w14:paraId="52B098E2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assimetria política – corrida espacial – dispersão mundial do poder bélico</w:t>
      </w:r>
    </w:p>
    <w:p w14:paraId="5BE602E5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sectarismo religioso – corrida armamentista – constituição de blocos militares</w:t>
      </w:r>
    </w:p>
    <w:p w14:paraId="220A0181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bipolaridade cultural – proliferação nuclear – militarização dos países islâmicos</w:t>
      </w:r>
    </w:p>
    <w:p w14:paraId="74E8846E" w14:textId="1F9FD4AD" w:rsidR="00F61085" w:rsidRPr="00DD3A52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d) multipolaridade econômica – unipolaridade militar – multi</w:t>
      </w:r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>plicação dos conﬂitos regionais</w:t>
      </w:r>
    </w:p>
    <w:p w14:paraId="6DC9DD10" w14:textId="1AB58B8A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e) </w:t>
      </w:r>
      <w:r w:rsidR="00DD3A52">
        <w:rPr>
          <w:rFonts w:ascii="Verdana" w:eastAsia="Times New Roman" w:hAnsi="Verdana" w:cs="Segoe UI"/>
          <w:sz w:val="20"/>
          <w:szCs w:val="20"/>
          <w:lang w:eastAsia="pt-BR"/>
        </w:rPr>
        <w:t>identidade nacional – sectarismo religioso – alianças militares</w:t>
      </w:r>
    </w:p>
    <w:p w14:paraId="2C06404B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6DD3CB7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706EE62F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2133D007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 xml:space="preserve">6. </w:t>
      </w:r>
      <w:r w:rsidRPr="00DD3A52">
        <w:rPr>
          <w:rFonts w:ascii="Verdana" w:hAnsi="Verdana"/>
          <w:sz w:val="20"/>
          <w:szCs w:val="20"/>
        </w:rPr>
        <w:t xml:space="preserve">O índio do Xingu, que ainda acredita em Tupã, assiste pela televisão a uma partida de futebol que acontece em Barcelona ou a um show dos Rolling Stones na praia de Copacabana. Não obstante, não há que se iludir: o índio não vive na mesma realidade em que um morador do Harlem ou de Hong Kong, uma vez que são distintas as relações dessas diferentes pessoas com a realidade do mundo moderno; isso porque o homem é um ser cultural, que se apoia nos valores da sua comunidade, que, de fato, são os seus. </w:t>
      </w:r>
    </w:p>
    <w:p w14:paraId="2CBDF155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E74C291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Ao comparar essas diferentes sociedades em seu contexto histórico, verifica-se que</w:t>
      </w:r>
      <w:r w:rsidRPr="00DD3A52">
        <w:rPr>
          <w:rFonts w:ascii="Verdana" w:hAnsi="Verdana"/>
          <w:sz w:val="20"/>
          <w:szCs w:val="20"/>
        </w:rPr>
        <w:t>:</w:t>
      </w:r>
    </w:p>
    <w:p w14:paraId="5FD8696D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BC641B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 xml:space="preserve">a) </w:t>
      </w:r>
      <w:r w:rsidRPr="00DD3A52">
        <w:rPr>
          <w:rFonts w:ascii="Verdana" w:hAnsi="Verdana"/>
          <w:sz w:val="20"/>
          <w:szCs w:val="20"/>
        </w:rPr>
        <w:t>Pessoas de diferentes lugares, por fazerem uso de tecnologias de vanguarda, desfrut</w:t>
      </w:r>
      <w:r w:rsidRPr="00DD3A52">
        <w:rPr>
          <w:rFonts w:ascii="Verdana" w:hAnsi="Verdana"/>
          <w:sz w:val="20"/>
          <w:szCs w:val="20"/>
        </w:rPr>
        <w:t>am da mesma realidade cultural.</w:t>
      </w:r>
    </w:p>
    <w:p w14:paraId="1586E36F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b</w:t>
      </w:r>
      <w:r w:rsidRPr="00DD3A52">
        <w:rPr>
          <w:rFonts w:ascii="Verdana" w:hAnsi="Verdana"/>
          <w:sz w:val="20"/>
          <w:szCs w:val="20"/>
        </w:rPr>
        <w:t>) O índio assiste do futebol ao show, mas não é capaz de entendê-los, porque não pertencem à sua cultura.</w:t>
      </w:r>
    </w:p>
    <w:p w14:paraId="3C83B86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DD3A52">
        <w:rPr>
          <w:rFonts w:ascii="Verdana" w:hAnsi="Verdana"/>
          <w:b/>
          <w:sz w:val="20"/>
          <w:szCs w:val="20"/>
        </w:rPr>
        <w:t>c</w:t>
      </w:r>
      <w:r w:rsidRPr="00DD3A52">
        <w:rPr>
          <w:rFonts w:ascii="Verdana" w:hAnsi="Verdana"/>
          <w:b/>
          <w:sz w:val="20"/>
          <w:szCs w:val="20"/>
        </w:rPr>
        <w:t xml:space="preserve">) Pessoas com culturas, valores e relações diversas têm, hoje em dia, acesso às mesmas informações. </w:t>
      </w:r>
    </w:p>
    <w:p w14:paraId="324E8171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d</w:t>
      </w:r>
      <w:r w:rsidRPr="00DD3A52">
        <w:rPr>
          <w:rFonts w:ascii="Verdana" w:hAnsi="Verdana"/>
          <w:sz w:val="20"/>
          <w:szCs w:val="20"/>
        </w:rPr>
        <w:t>) Os moradores do Harlem e de Hong Kong, devido à riqueza de sua História, têm uma visã</w:t>
      </w:r>
      <w:r w:rsidRPr="00DD3A52">
        <w:rPr>
          <w:rFonts w:ascii="Verdana" w:hAnsi="Verdana"/>
          <w:sz w:val="20"/>
          <w:szCs w:val="20"/>
        </w:rPr>
        <w:t>o mais aprimorada da realidade.</w:t>
      </w:r>
    </w:p>
    <w:p w14:paraId="698191A2" w14:textId="30C5BBAF" w:rsid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e</w:t>
      </w:r>
      <w:r w:rsidRPr="00DD3A52">
        <w:rPr>
          <w:rFonts w:ascii="Verdana" w:hAnsi="Verdana"/>
          <w:sz w:val="20"/>
          <w:szCs w:val="20"/>
        </w:rPr>
        <w:t>) A crença em Tupã revela um povo atrasado, enquanto os moradores do Harlem e de Hong Kong, mais ricos, vivem de acordo com o presente.</w:t>
      </w:r>
    </w:p>
    <w:p w14:paraId="6CA0561D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7CDB47D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7. </w:t>
      </w:r>
      <w:r w:rsidRPr="00011329">
        <w:rPr>
          <w:rFonts w:ascii="Verdana" w:hAnsi="Verdana"/>
          <w:sz w:val="20"/>
          <w:szCs w:val="20"/>
        </w:rPr>
        <w:t xml:space="preserve">Um carro esportivo é financiado pelo Japão, projetado na Itália e montado em Indiana, México e França, usando os mais avançados componentes eletrônicos, que foram inventados em Nova Jérsei e fabricados na Coreia. A campanha publicitária é desenvolvida na Inglaterra, filmada no Canadá, a edição e as cópias, feitas em Nova York para serem veiculadas no mundo todo. Teias globais disfarçam-se com o uniforme nacional que lhes for mais conveniente. </w:t>
      </w:r>
    </w:p>
    <w:p w14:paraId="774E5A4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13EAFA04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REICH, R. O trabalho das nações: preparando-nos para o capitalismo no século XXI. São Paulo: Educator, 1994 (adaptado). </w:t>
      </w:r>
    </w:p>
    <w:p w14:paraId="0EA7C7C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55A6ED6F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 viabilidade do processo de produção ilustrado pelo texto pressupõe o uso de:</w:t>
      </w:r>
    </w:p>
    <w:p w14:paraId="2930F048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DE97E8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</w:t>
      </w:r>
      <w:r w:rsidRPr="00011329">
        <w:rPr>
          <w:rFonts w:ascii="Verdana" w:hAnsi="Verdana"/>
          <w:sz w:val="20"/>
          <w:szCs w:val="20"/>
        </w:rPr>
        <w:t>) linhas de m</w:t>
      </w:r>
      <w:r w:rsidRPr="00011329">
        <w:rPr>
          <w:rFonts w:ascii="Verdana" w:hAnsi="Verdana"/>
          <w:sz w:val="20"/>
          <w:szCs w:val="20"/>
        </w:rPr>
        <w:t>ontagem e formação de estoques.</w:t>
      </w:r>
    </w:p>
    <w:p w14:paraId="44FC272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b</w:t>
      </w:r>
      <w:r w:rsidRPr="00011329">
        <w:rPr>
          <w:rFonts w:ascii="Verdana" w:hAnsi="Verdana"/>
          <w:sz w:val="20"/>
          <w:szCs w:val="20"/>
        </w:rPr>
        <w:t>) empresas bur</w:t>
      </w:r>
      <w:r w:rsidRPr="00011329">
        <w:rPr>
          <w:rFonts w:ascii="Verdana" w:hAnsi="Verdana"/>
          <w:sz w:val="20"/>
          <w:szCs w:val="20"/>
        </w:rPr>
        <w:t>ocráticas e mão de obra barata.</w:t>
      </w:r>
    </w:p>
    <w:p w14:paraId="43289CB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</w:t>
      </w:r>
      <w:r w:rsidRPr="00011329">
        <w:rPr>
          <w:rFonts w:ascii="Verdana" w:hAnsi="Verdana"/>
          <w:sz w:val="20"/>
          <w:szCs w:val="20"/>
        </w:rPr>
        <w:t>) controle estata</w:t>
      </w:r>
      <w:r w:rsidRPr="00011329">
        <w:rPr>
          <w:rFonts w:ascii="Verdana" w:hAnsi="Verdana"/>
          <w:sz w:val="20"/>
          <w:szCs w:val="20"/>
        </w:rPr>
        <w:t>l e infraestrutura consolidada.</w:t>
      </w:r>
    </w:p>
    <w:p w14:paraId="51834A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d</w:t>
      </w:r>
      <w:r w:rsidRPr="00011329">
        <w:rPr>
          <w:rFonts w:ascii="Verdana" w:hAnsi="Verdana"/>
          <w:b/>
          <w:sz w:val="20"/>
          <w:szCs w:val="20"/>
        </w:rPr>
        <w:t>) organização em r</w:t>
      </w:r>
      <w:r w:rsidRPr="00011329">
        <w:rPr>
          <w:rFonts w:ascii="Verdana" w:hAnsi="Verdana"/>
          <w:b/>
          <w:sz w:val="20"/>
          <w:szCs w:val="20"/>
        </w:rPr>
        <w:t>ede e tecnologia de informação.</w:t>
      </w:r>
    </w:p>
    <w:p w14:paraId="5E1480C8" w14:textId="0BA3A7CF" w:rsidR="00DD3A52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e</w:t>
      </w:r>
      <w:r w:rsidRPr="00011329">
        <w:rPr>
          <w:rFonts w:ascii="Verdana" w:hAnsi="Verdana"/>
          <w:sz w:val="20"/>
          <w:szCs w:val="20"/>
        </w:rPr>
        <w:t>) gestão centralizada e protecionismo econômico.</w:t>
      </w:r>
    </w:p>
    <w:p w14:paraId="04082D03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8B37E5E" w14:textId="7D2DD9B8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8. </w:t>
      </w:r>
      <w:r w:rsidRPr="00011329">
        <w:rPr>
          <w:rFonts w:ascii="Verdana" w:hAnsi="Verdana"/>
          <w:sz w:val="20"/>
          <w:szCs w:val="20"/>
        </w:rPr>
        <w:t>Para o geógrafo Milton Santos, existiriam três mundos num só: a globalização como fábula, a globalização como perversidade e uma outra globalização.</w:t>
      </w:r>
    </w:p>
    <w:p w14:paraId="630658C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</w:pPr>
    </w:p>
    <w:p w14:paraId="0588007E" w14:textId="0C574C08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0C878E" wp14:editId="57B91259">
            <wp:extent cx="3857625" cy="2181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046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0EBB0F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</w:pPr>
    </w:p>
    <w:p w14:paraId="705549B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Com base na afirmação e na imagem, pode-se compreender que o processo de globalização:</w:t>
      </w:r>
    </w:p>
    <w:p w14:paraId="63D6579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5CF0135F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317C06A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 I. Possibilita que se viva numa aldeia global. </w:t>
      </w:r>
    </w:p>
    <w:p w14:paraId="122A02F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lastRenderedPageBreak/>
        <w:t xml:space="preserve">II. Permite que as fronteiras desapareçam. </w:t>
      </w:r>
    </w:p>
    <w:p w14:paraId="2413F5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III. Inclui e une todos os povos. </w:t>
      </w:r>
    </w:p>
    <w:p w14:paraId="5478636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IV. É benefício exclusivo de alguns. </w:t>
      </w:r>
    </w:p>
    <w:p w14:paraId="3BF785CC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21D4C63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Está correto o que se afirma em: </w:t>
      </w:r>
    </w:p>
    <w:p w14:paraId="17C4991D" w14:textId="7467BD6C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</w:t>
      </w:r>
      <w:r w:rsidRPr="00011329">
        <w:rPr>
          <w:rFonts w:ascii="Verdana" w:hAnsi="Verdana"/>
          <w:sz w:val="20"/>
          <w:szCs w:val="20"/>
        </w:rPr>
        <w:t xml:space="preserve">) I e III </w:t>
      </w:r>
    </w:p>
    <w:p w14:paraId="6CD387B5" w14:textId="4954CAEF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b</w:t>
      </w:r>
      <w:r w:rsidRPr="00011329">
        <w:rPr>
          <w:rFonts w:ascii="Verdana" w:hAnsi="Verdana"/>
          <w:sz w:val="20"/>
          <w:szCs w:val="20"/>
        </w:rPr>
        <w:t xml:space="preserve">) II e IV </w:t>
      </w:r>
    </w:p>
    <w:p w14:paraId="42B74F68" w14:textId="176B8B71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</w:t>
      </w:r>
      <w:r w:rsidRPr="00011329">
        <w:rPr>
          <w:rFonts w:ascii="Verdana" w:hAnsi="Verdana"/>
          <w:sz w:val="20"/>
          <w:szCs w:val="20"/>
        </w:rPr>
        <w:t xml:space="preserve">) I, II e IV </w:t>
      </w:r>
    </w:p>
    <w:p w14:paraId="55699CFA" w14:textId="5AD494A2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d</w:t>
      </w:r>
      <w:r w:rsidRPr="00011329">
        <w:rPr>
          <w:rFonts w:ascii="Verdana" w:hAnsi="Verdana"/>
          <w:sz w:val="20"/>
          <w:szCs w:val="20"/>
        </w:rPr>
        <w:t>) apenas I</w:t>
      </w:r>
    </w:p>
    <w:p w14:paraId="4A9FF581" w14:textId="2B506C4A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e</w:t>
      </w:r>
      <w:r w:rsidRPr="00011329">
        <w:rPr>
          <w:rFonts w:ascii="Verdana" w:hAnsi="Verdana"/>
          <w:b/>
          <w:sz w:val="20"/>
          <w:szCs w:val="20"/>
        </w:rPr>
        <w:t>) apenas IV</w:t>
      </w:r>
    </w:p>
    <w:p w14:paraId="34DD345E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</w:p>
    <w:p w14:paraId="4097A8A4" w14:textId="77777777" w:rsid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hAnsi="Verdana"/>
          <w:sz w:val="20"/>
          <w:szCs w:val="20"/>
        </w:rPr>
        <w:t xml:space="preserve">9. 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(UFAL) Um dos temas mais debatidos na Geografia Humana da atualidade é o da globalização. Sobre esse tema, é </w:t>
      </w:r>
      <w:r w:rsidRPr="00011329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incorreto 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afirmar o que segue:</w:t>
      </w:r>
    </w:p>
    <w:p w14:paraId="560A602C" w14:textId="77777777" w:rsidR="00011329" w:rsidRP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52D6FBA" w14:textId="77777777" w:rsidR="00011329" w:rsidRDefault="00011329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a) Sua origem pode ser identificada no período mercantilista iniciado, aproximadamente, no século XV.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b) A globalização das comunicações tem sua face mais destacada na rede mundial de computadores, que permite um intenso fluxo de troca de ideias e informações.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11329">
        <w:rPr>
          <w:rFonts w:ascii="Verdana" w:eastAsia="Times New Roman" w:hAnsi="Verdana" w:cs="Arial"/>
          <w:b/>
          <w:sz w:val="20"/>
          <w:szCs w:val="20"/>
          <w:lang w:eastAsia="pt-BR"/>
        </w:rPr>
        <w:t>c) A globalização das comunicações, paradoxalmente, diminuiu a universalização do acesso a meios de comunicação, apesar da inovação tecnológica. Isso se deve à lógica de mercado do Sistema Capitalista.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d) Os efeitos da globalização no mercado de trabalho são evidentes com a criação de modalidades de emprego para países com mão de obra mais barata voltada à execução de serviços que não exigem alta qualificação.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e) A globalização intensifica o ritmo das mudanças nos meios de produção, tendendo a um aumento de tecnologias limpas e sustentáveis.</w:t>
      </w:r>
    </w:p>
    <w:p w14:paraId="0812C27D" w14:textId="77777777" w:rsidR="008D1AF3" w:rsidRDefault="008D1AF3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BBECDBC" w14:textId="56844E2D" w:rsidR="008D1AF3" w:rsidRPr="008D1AF3" w:rsidRDefault="008D1AF3" w:rsidP="008D1AF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D1AF3">
        <w:rPr>
          <w:rFonts w:ascii="Verdana" w:eastAsia="Times New Roman" w:hAnsi="Verdana" w:cs="Arial"/>
          <w:sz w:val="20"/>
          <w:szCs w:val="20"/>
          <w:lang w:eastAsia="pt-BR"/>
        </w:rPr>
        <w:t xml:space="preserve">10. </w:t>
      </w:r>
      <w:r w:rsidRPr="008D1AF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(UNIMONTES MG)</w:t>
      </w:r>
      <w:r w:rsidRPr="008D1AF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Sobre a crise dos mísseis em Cuba, em 1962, é INCORRETO afirmar que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:</w:t>
      </w:r>
    </w:p>
    <w:p w14:paraId="71E77FBC" w14:textId="77777777" w:rsidR="008D1AF3" w:rsidRPr="008D1AF3" w:rsidRDefault="008D1AF3" w:rsidP="008D1AF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D1AF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8D1AF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foi responsável pelo afastamento de Che Guevara da cúpula do governo cubano, que discordava da solução dada pelos soviéticos a essa crise.</w:t>
      </w:r>
    </w:p>
    <w:p w14:paraId="591C325A" w14:textId="77777777" w:rsidR="008D1AF3" w:rsidRPr="008D1AF3" w:rsidRDefault="008D1AF3" w:rsidP="008D1AF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D1AF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8D1AF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foi um dos momentos em que mais se temeu o holocausto nuclear, devido à intransigência inicial das superpotências em negociar uma solução pacífica.</w:t>
      </w:r>
    </w:p>
    <w:p w14:paraId="29C485A2" w14:textId="77777777" w:rsidR="008D1AF3" w:rsidRPr="008D1AF3" w:rsidRDefault="008D1AF3" w:rsidP="008D1AF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D1AF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8D1AF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serviu para demonstrar a submissão cubana ao governo de Moscou, já que Fidel Castro foi excluído das negociações.</w:t>
      </w:r>
    </w:p>
    <w:p w14:paraId="734750A5" w14:textId="77777777" w:rsidR="008D1AF3" w:rsidRPr="008D1AF3" w:rsidRDefault="008D1AF3" w:rsidP="008D1AF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D1AF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8D1AF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 deveu à descoberta, por aviões de espionagem, de plataformas para lançamento de mísseis de origem soviética em território cubano.</w:t>
      </w:r>
    </w:p>
    <w:p w14:paraId="52BBEF8E" w14:textId="6191C065" w:rsidR="008D1AF3" w:rsidRDefault="008D1AF3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e) </w:t>
      </w:r>
      <w:r w:rsidR="0033216E">
        <w:rPr>
          <w:rFonts w:ascii="Verdana" w:eastAsia="Times New Roman" w:hAnsi="Verdana" w:cs="Arial"/>
          <w:sz w:val="20"/>
          <w:szCs w:val="20"/>
          <w:lang w:eastAsia="pt-BR"/>
        </w:rPr>
        <w:t>Todas as afirmativas estão incorretas.</w:t>
      </w:r>
    </w:p>
    <w:p w14:paraId="147B845E" w14:textId="77777777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9F9556" w14:textId="2F987C0D" w:rsidR="0033216E" w:rsidRPr="0033216E" w:rsidRDefault="0033216E" w:rsidP="0033216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sz w:val="20"/>
          <w:szCs w:val="20"/>
          <w:lang w:eastAsia="pt-BR"/>
        </w:rPr>
        <w:t xml:space="preserve">11. </w:t>
      </w:r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(PUCCamp SP</w:t>
      </w: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 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Na década de 1970, os conhecimentos adquiridos com a corrida espacial foram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utilizados, principalmente:</w:t>
      </w:r>
    </w:p>
    <w:p w14:paraId="5930FC80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33216E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  <w:lang w:eastAsia="pt-BR"/>
        </w:rPr>
        <w:t> no desenvolvimento dos satélites artificiais que, nos dias atuais, servem a diversas áreas, como: telecomunicações, meteorologia e observação militar.</w:t>
      </w:r>
    </w:p>
    <w:p w14:paraId="4753A8CB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desenvolvimento de inovações tecnológicas responsáveis pela robotização de diversas áreas, como: as de bioquímica, de microeletrônica e de mecânica.</w:t>
      </w:r>
    </w:p>
    <w:p w14:paraId="6F7F5BF8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produção de artefatos bélicos capazes de destruir a humanidade, como a bomba atômica que destruiu Hiroshima e mísseis nucleares de longo alcance.</w:t>
      </w:r>
    </w:p>
    <w:p w14:paraId="03F82C56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processo de produção de mercadorias que, nos dias atuais, proporcionam transformações técnicas e tecnológicas como as da indústria automobilística.</w:t>
      </w:r>
    </w:p>
    <w:p w14:paraId="62C9A0CD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e)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mecanização da produção de bens de base que, nos dias atuais, servem para libertar o trabalho da força braçal excessiva em diversas áreas industriais.</w:t>
      </w:r>
    </w:p>
    <w:p w14:paraId="07DBBD37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13F6AD31" w14:textId="3E5ADB86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12. A segunda Guerra Mundial ainda não havia acabado, mas líderes de 44 países já estavam decidindo, em junho de 1944, o futuro do planeta. Na conferência de Bretton Woods, realizada há sete décadas, no estado de New Hampsire, nos Estados Unidos, os representantes das nações, incluindo o Brasil, estabeleceram as diretrizes de uma nova ordem econômica global.</w:t>
      </w:r>
    </w:p>
    <w:p w14:paraId="52D79039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F8ED003" w14:textId="20D54B1F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Para muitos analistas, a Conferência de Bretton Woods retificou o poder econômico dos Estados Unidos na oedem mundial. Entre suas ações que confirmam esse poder, podemos definir:</w:t>
      </w:r>
    </w:p>
    <w:p w14:paraId="5679FC6A" w14:textId="436F4F03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a) o estabelecimento do padrão Euro-Dólar.</w:t>
      </w:r>
    </w:p>
    <w:p w14:paraId="623FC4D7" w14:textId="238691DD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b/>
          <w:sz w:val="20"/>
          <w:szCs w:val="20"/>
          <w:lang w:eastAsia="pt-BR"/>
        </w:rPr>
        <w:t>b) o estabelecimento do padrão Ouro-dólar.</w:t>
      </w:r>
    </w:p>
    <w:p w14:paraId="7C9692FD" w14:textId="715BA427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c) estabelecimento do padrão Euro.</w:t>
      </w:r>
    </w:p>
    <w:p w14:paraId="7454B975" w14:textId="171650EA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d) o estabelecimento do padr</w:t>
      </w:r>
      <w:r w:rsidR="00AC44EA">
        <w:rPr>
          <w:rFonts w:ascii="Verdana" w:eastAsia="Times New Roman" w:hAnsi="Verdana" w:cs="Arial"/>
          <w:sz w:val="20"/>
          <w:szCs w:val="20"/>
          <w:lang w:eastAsia="pt-BR"/>
        </w:rPr>
        <w:t>ão ouro</w:t>
      </w:r>
      <w:r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130D416" w14:textId="25539C4A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e) o estabelecimento do padrão </w:t>
      </w:r>
      <w:r w:rsidR="00AC44EA">
        <w:rPr>
          <w:rFonts w:ascii="Verdana" w:eastAsia="Times New Roman" w:hAnsi="Verdana" w:cs="Arial"/>
          <w:sz w:val="20"/>
          <w:szCs w:val="20"/>
          <w:lang w:eastAsia="pt-BR"/>
        </w:rPr>
        <w:t>dólar.</w:t>
      </w:r>
    </w:p>
    <w:p w14:paraId="4E2AE1F8" w14:textId="77777777" w:rsidR="00AC44EA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B2F2256" w14:textId="77777777" w:rsidR="00AC44EA" w:rsidRPr="00AC44EA" w:rsidRDefault="00AC44EA" w:rsidP="00AC44EA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lang w:eastAsia="pt-BR"/>
        </w:rPr>
        <w:t xml:space="preserve">13. </w:t>
      </w: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(Enem/2011)</w:t>
      </w:r>
    </w:p>
    <w:p w14:paraId="4A44FC7B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No mundo árabe, países governados há décadas por regimes políticos centralizadores contabilizam metade da população com menos de 30 anos; desses, 56% têm acesso à internet. Sentindo-se sem perspectivas de futuro e diante da estagnação da economia, esses jovens incubam vírus sedentos por modernidade e democracia. Em meados de dezembro, um tunisiano de 26 anos, vendedor de frutas, põe fogo no próprio corpo em protesto por trabalho, justiça e liberdade. Uma série de manifestações eclode na Tunísia e, como uma epidemia, o vírus libertário começa a se espalhar pelos países vizinhos, derrubando em seguida o presidente do Egito, Hosni Mubarak. Sites e redes sociais – como o Facebook e o Twitter - ajudaram a mobilizar manifestantes do norte da África a ilhas do Golfo Pérsico.</w:t>
      </w:r>
    </w:p>
    <w:p w14:paraId="5396E036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SEQUEIRA, C. D.; VILLAMÉA, L. A epidemia da Liberdade. Istoé Internacional. 2 mar. 2011 (adaptado).</w:t>
      </w:r>
    </w:p>
    <w:p w14:paraId="5E24562D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Considerando os movimentos políticos mencionados no texto, o acesso à internet permitiu aos jovens árabes</w:t>
      </w:r>
    </w:p>
    <w:p w14:paraId="330ADF0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a) reforçar a atuação dos regimes políticos existentes.</w:t>
      </w:r>
    </w:p>
    <w:p w14:paraId="431AF1D9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b) tomar conhecimento dos fatos sem se envolver.</w:t>
      </w:r>
    </w:p>
    <w:p w14:paraId="7BBCF7A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c) manter o distanciamento necessário à sua segurança.</w:t>
      </w:r>
    </w:p>
    <w:p w14:paraId="1B75E277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d) disseminar vírus capazes de destruir programas dos computadores.</w:t>
      </w:r>
    </w:p>
    <w:p w14:paraId="147DC194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b/>
          <w:sz w:val="20"/>
          <w:szCs w:val="20"/>
          <w:lang w:eastAsia="pt-BR"/>
        </w:rPr>
        <w:t>e) difundir ideias revolucionárias que mobilizaram a população.</w:t>
      </w:r>
    </w:p>
    <w:p w14:paraId="5E2BD370" w14:textId="525B628D" w:rsidR="00AC44EA" w:rsidRPr="00011329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52ED6B0" w14:textId="6BECB521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C9FF8C0" w14:textId="24B393BA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14.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 (UERJ)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Os líderes dos países que integram os BRICS – Brasil, Rússia, Índia, China e África do Sul – encerraram seu terceiro encontro com um comunicado em que pedem conjunta e explicitamente, pela primeira vez, mudanças no Conselho de Segurança das Nações Unidas. O texto defende reformas na ONU para aumentar a representatividade na instituição, além de alterações no Fundo Monetário Internacional e no Banco Mundial. Para os líderes dos BRICS, a reforma da ONU é essencial, pois não é mais possível manter as formas institucionais erguidas logo após a Segunda Guerra Mundial.</w:t>
      </w:r>
    </w:p>
    <w:p w14:paraId="40169785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(Adaptado de O Globo, 15/04/2011).</w:t>
      </w:r>
    </w:p>
    <w:p w14:paraId="3DBFA4E1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das principais mudanças no contexto internacional contemporâneo que se relaciona com as reformas propostas pelos BRICS está indicada em:</w:t>
      </w:r>
    </w:p>
    <w:p w14:paraId="7C25243A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afirmação da multipolaridade</w:t>
      </w:r>
    </w:p>
    <w:p w14:paraId="37EBB2C4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proliferação de armas atômicas</w:t>
      </w:r>
    </w:p>
    <w:p w14:paraId="6835E00B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hegemonia econômica dos EUA</w:t>
      </w:r>
    </w:p>
    <w:p w14:paraId="75E0F3D7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diversificação dos fluxos de capitais</w:t>
      </w:r>
    </w:p>
    <w:p w14:paraId="51F763E2" w14:textId="18ACB1EA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diferenças econômicas superiores aos membros da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EU</w:t>
      </w:r>
    </w:p>
    <w:p w14:paraId="18371BD7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158A2C4" w14:textId="365205E8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(ENEM)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O G-20 é o grupo que reúne os países do G-7, os mais industrializados do mundo (EUA, Japão, Alemanha, França, Reino Unido, Itália e Canadá), a União Europeia e os principais emergentes (Brasil, Rússia, Índia, China, África do Sul, Arábia Saudita, Argentina, Austrália, Coreia do Sul, Indonésia, México e Turquia). Esse grupo de países vem ganhando força nos fóruns internacionais de decisão e consulta.</w:t>
      </w:r>
    </w:p>
    <w:p w14:paraId="20692507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(ALLAN, R. Crise global. Disponível em: http://conteudoclippingmp.planejamento.gov.br. Acesso em: 31 jul. 2010).</w:t>
      </w:r>
    </w:p>
    <w:p w14:paraId="7CBE3FA0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Entre os países emergentes que formam o G-20, estão os chamados BRIC (Brasil, Rússia, Índia e China), termo criado em 2001 para referir-se aos países que:</w:t>
      </w:r>
    </w:p>
    <w:p w14:paraId="2C5CCAB2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299BE545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lastRenderedPageBreak/>
        <w:t>a)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apresentam características econômicas promissoras para as próximas décadas.</w:t>
      </w:r>
    </w:p>
    <w:p w14:paraId="5CB7638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base tecnológica mais elevada.</w:t>
      </w:r>
    </w:p>
    <w:p w14:paraId="0273101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índices de igualdade social e econômica mais acentuados.</w:t>
      </w:r>
      <w:bookmarkStart w:id="0" w:name="_GoBack"/>
      <w:bookmarkEnd w:id="0"/>
    </w:p>
    <w:p w14:paraId="133DCDA1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diversidade ambiental suficiente para impulsionar a economia global.</w:t>
      </w:r>
    </w:p>
    <w:p w14:paraId="45064998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similaridades culturais capazes de alavancar a economia mundial.</w:t>
      </w:r>
    </w:p>
    <w:p w14:paraId="7CDFAF80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322C62" w14:textId="03DD854B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2EAD92" w14:textId="03C5A4F7" w:rsidR="00AC44EA" w:rsidRPr="00011329" w:rsidRDefault="00AC44EA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sectPr w:rsidR="00AC44EA" w:rsidRPr="00011329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AB566" w14:textId="77777777" w:rsidR="00FA534B" w:rsidRDefault="00FA534B" w:rsidP="009851F2">
      <w:pPr>
        <w:spacing w:after="0" w:line="240" w:lineRule="auto"/>
      </w:pPr>
      <w:r>
        <w:separator/>
      </w:r>
    </w:p>
  </w:endnote>
  <w:endnote w:type="continuationSeparator" w:id="0">
    <w:p w14:paraId="4C35F1EB" w14:textId="77777777" w:rsidR="00FA534B" w:rsidRDefault="00FA534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F5A23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C44E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0C99A" w14:textId="77777777" w:rsidR="00FA534B" w:rsidRDefault="00FA534B" w:rsidP="009851F2">
      <w:pPr>
        <w:spacing w:after="0" w:line="240" w:lineRule="auto"/>
      </w:pPr>
      <w:r>
        <w:separator/>
      </w:r>
    </w:p>
  </w:footnote>
  <w:footnote w:type="continuationSeparator" w:id="0">
    <w:p w14:paraId="0D528E05" w14:textId="77777777" w:rsidR="00FA534B" w:rsidRDefault="00FA534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1329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16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4200"/>
    <w:rsid w:val="00446779"/>
    <w:rsid w:val="00466D7A"/>
    <w:rsid w:val="00473C96"/>
    <w:rsid w:val="004A1876"/>
    <w:rsid w:val="004B5FAA"/>
    <w:rsid w:val="004F0ABD"/>
    <w:rsid w:val="004F5938"/>
    <w:rsid w:val="004F6266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1AF3"/>
    <w:rsid w:val="008D6898"/>
    <w:rsid w:val="008E3648"/>
    <w:rsid w:val="008F5A23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44E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3A5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1085"/>
    <w:rsid w:val="00F62009"/>
    <w:rsid w:val="00F75909"/>
    <w:rsid w:val="00F95273"/>
    <w:rsid w:val="00FA534B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EA41-6927-4CCD-9DB9-79E2240C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2333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2021-03-05T22:27:00Z</dcterms:created>
  <dcterms:modified xsi:type="dcterms:W3CDTF">2021-03-05T22:27:00Z</dcterms:modified>
</cp:coreProperties>
</file>