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F19" w:rsidRPr="000A6F19" w:rsidRDefault="000A6F19" w:rsidP="000A6F19">
      <w:pPr>
        <w:shd w:val="clear" w:color="auto" w:fill="FFFFFF"/>
        <w:spacing w:after="125" w:line="360" w:lineRule="atLeast"/>
        <w:outlineLvl w:val="0"/>
        <w:rPr>
          <w:rFonts w:ascii="Arial" w:eastAsia="Times New Roman" w:hAnsi="Arial" w:cs="Arial"/>
          <w:b/>
          <w:bCs/>
          <w:color w:val="444444"/>
          <w:spacing w:val="-13"/>
          <w:kern w:val="36"/>
          <w:sz w:val="63"/>
          <w:szCs w:val="63"/>
          <w:vertAlign w:val="subscript"/>
          <w:lang w:eastAsia="ru-RU"/>
        </w:rPr>
      </w:pPr>
      <w:r w:rsidRPr="000A6F19">
        <w:rPr>
          <w:rFonts w:ascii="Arial" w:eastAsia="Times New Roman" w:hAnsi="Arial" w:cs="Arial"/>
          <w:b/>
          <w:bCs/>
          <w:color w:val="444444"/>
          <w:spacing w:val="-13"/>
          <w:kern w:val="36"/>
          <w:sz w:val="63"/>
          <w:szCs w:val="63"/>
          <w:vertAlign w:val="subscript"/>
          <w:lang w:eastAsia="ru-RU"/>
        </w:rPr>
        <w:t>Универсальный подход (почти) к любой задаче машинного обучения</w:t>
      </w:r>
    </w:p>
    <w:p w:rsidR="000A6F19" w:rsidRPr="000A6F19" w:rsidRDefault="000A6F19" w:rsidP="000A6F19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aps/>
          <w:color w:val="AAAAAA"/>
          <w:sz w:val="21"/>
          <w:szCs w:val="21"/>
          <w:lang w:eastAsia="ru-RU"/>
        </w:rPr>
      </w:pPr>
      <w:r w:rsidRPr="000A6F19">
        <w:rPr>
          <w:rFonts w:ascii="Arial" w:eastAsia="Times New Roman" w:hAnsi="Arial" w:cs="Arial"/>
          <w:caps/>
          <w:color w:val="AAAAAA"/>
          <w:sz w:val="21"/>
          <w:szCs w:val="21"/>
          <w:lang w:eastAsia="ru-RU"/>
        </w:rPr>
        <w:t>03.08.2016</w:t>
      </w:r>
    </w:p>
    <w:p w:rsidR="000A6F19" w:rsidRPr="000A6F19" w:rsidRDefault="000A6F19" w:rsidP="000A6F1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999999"/>
          <w:sz w:val="18"/>
          <w:szCs w:val="18"/>
          <w:bdr w:val="none" w:sz="0" w:space="0" w:color="auto" w:frame="1"/>
          <w:lang w:eastAsia="ru-RU"/>
        </w:rPr>
        <w:t>Теги:</w:t>
      </w:r>
      <w:r w:rsidRPr="000A6F19">
        <w:rPr>
          <w:rFonts w:ascii="Arial" w:eastAsia="Times New Roman" w:hAnsi="Arial" w:cs="Arial"/>
          <w:color w:val="666666"/>
          <w:sz w:val="20"/>
          <w:szCs w:val="20"/>
          <w:lang w:eastAsia="ru-RU"/>
        </w:rPr>
        <w:t> </w:t>
      </w:r>
      <w:hyperlink r:id="rId5" w:history="1">
        <w:r w:rsidRPr="000A6F19">
          <w:rPr>
            <w:rFonts w:ascii="inherit" w:eastAsia="Times New Roman" w:hAnsi="inherit" w:cs="Arial"/>
            <w:color w:val="999999"/>
            <w:sz w:val="15"/>
            <w:u w:val="single"/>
            <w:lang w:eastAsia="ru-RU"/>
          </w:rPr>
          <w:t>машинное обучение</w:t>
        </w:r>
      </w:hyperlink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Любой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scientist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ежедневно работает с большими объемами данных. Считается, что около 60% – 70% времени занимает первый этап рабочего процесса: очистка, фильтрация и преобразование данных в формат, подходящий для применения алгоритмов машинного обучения. На втором этапе выполняется предобработка и непосредственное обучение моделей. В сегодняшней статье мы сконцентрируемся на втором этапе процесса и рассмотрим различные техники и рекомендации, являющиеся результатом моего участия более чем в 100 соревнованиях по машинному обучению. Несмотря на то, что описанные концепции имеют достаточно общий характер, они будут полезны при решении многих конкретных задач.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Все примеры кода написаны на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Python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!</w:t>
      </w:r>
    </w:p>
    <w:p w:rsidR="000A6F19" w:rsidRPr="000A6F19" w:rsidRDefault="000A6F19" w:rsidP="000A6F19">
      <w:pPr>
        <w:shd w:val="clear" w:color="auto" w:fill="FFFFFF"/>
        <w:spacing w:after="175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</w:pPr>
      <w:r w:rsidRPr="000A6F19"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  <w:t>Данные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Перед тем, как применять алгоритмы машинного обучения, данные необходимо преобразовать в табличное представление. Этот процесс, представленный на рисунке ниже, является наиболее сложным и трудоемким.</w:t>
      </w:r>
    </w:p>
    <w:p w:rsidR="000A6F19" w:rsidRPr="000A6F19" w:rsidRDefault="000A6F19" w:rsidP="000A6F19">
      <w:pPr>
        <w:shd w:val="clear" w:color="auto" w:fill="F1F1F1"/>
        <w:spacing w:after="0" w:line="408" w:lineRule="atLeast"/>
        <w:jc w:val="center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99.8pt;height:166.55pt"/>
        </w:pict>
      </w:r>
    </w:p>
    <w:p w:rsidR="000A6F19" w:rsidRPr="000A6F19" w:rsidRDefault="000A6F19" w:rsidP="000A6F19">
      <w:pPr>
        <w:shd w:val="clear" w:color="auto" w:fill="F1F1F1"/>
        <w:spacing w:after="175" w:line="408" w:lineRule="atLeast"/>
        <w:jc w:val="center"/>
        <w:textAlignment w:val="baseline"/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in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Database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данные в базе данных.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Munging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фильтрация данных.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Useful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полезные данные.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Conversion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преобразование данных.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Tabular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табличные данные.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Data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независимые переменные (признаки). </w:t>
      </w:r>
      <w:proofErr w:type="spellStart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>Labels</w:t>
      </w:r>
      <w:proofErr w:type="spellEnd"/>
      <w:r w:rsidRPr="000A6F19">
        <w:rPr>
          <w:rFonts w:ascii="inherit" w:eastAsia="Times New Roman" w:hAnsi="inherit" w:cs="Arial"/>
          <w:i/>
          <w:iCs/>
          <w:color w:val="999999"/>
          <w:sz w:val="16"/>
          <w:szCs w:val="16"/>
          <w:lang w:eastAsia="ru-RU"/>
        </w:rPr>
        <w:t xml:space="preserve"> – зависимые переменные (целевые переменные).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После того, как данные преобразованы в табличное представление, их можно использовать для обучения моделей. Табличное представление является наиболее распространенным представлением данных в сфере машинного обучения и интеллектуального анализа данных. Строки таблицы являются отдельными объектами (наблюдениями). Столбцы таблицы, содержат независимые переменные (признаки),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обозначаемые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и зависимые (целевые) переменные, обозначаемые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В зависимости от класса задачи, целевые переменные могут быть представлены как одним, так и несколькими столбцами.</w:t>
      </w:r>
    </w:p>
    <w:p w:rsidR="000A6F19" w:rsidRPr="000A6F19" w:rsidRDefault="000A6F19" w:rsidP="000A6F19">
      <w:pPr>
        <w:shd w:val="clear" w:color="auto" w:fill="FFFFFF"/>
        <w:spacing w:after="175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</w:pPr>
      <w:r w:rsidRPr="000A6F19"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  <w:t>Типы целевых переменных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Целевые переменные определяют класс задачи и могут быть представлены одним из следующих вариантов:</w:t>
      </w:r>
    </w:p>
    <w:p w:rsidR="000A6F19" w:rsidRPr="000A6F19" w:rsidRDefault="000A6F19" w:rsidP="000A6F19">
      <w:pPr>
        <w:numPr>
          <w:ilvl w:val="0"/>
          <w:numId w:val="1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Один столбец с двоичными значениями: задача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двухклассовой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классификации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binary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classification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), каждый объект принадлежит только одному классу.</w:t>
      </w:r>
    </w:p>
    <w:p w:rsidR="000A6F19" w:rsidRPr="000A6F19" w:rsidRDefault="000A6F19" w:rsidP="000A6F19">
      <w:pPr>
        <w:numPr>
          <w:ilvl w:val="0"/>
          <w:numId w:val="1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Один столбец с действительными значениями: задача регрессии, прогнозируется одна величина.</w:t>
      </w:r>
    </w:p>
    <w:p w:rsidR="000A6F19" w:rsidRPr="000A6F19" w:rsidRDefault="000A6F19" w:rsidP="000A6F19">
      <w:pPr>
        <w:numPr>
          <w:ilvl w:val="0"/>
          <w:numId w:val="1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Несколько столбцов с двоичными значениями: задача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многоклассовой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классификации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multi-class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classification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), каждый объект принадлежит только одному классу.</w:t>
      </w:r>
    </w:p>
    <w:p w:rsidR="000A6F19" w:rsidRPr="000A6F19" w:rsidRDefault="000A6F19" w:rsidP="000A6F19">
      <w:pPr>
        <w:numPr>
          <w:ilvl w:val="0"/>
          <w:numId w:val="1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Несколько столбцов с действительными значениями: задача регрессии, прогнозируется несколько величин.</w:t>
      </w:r>
    </w:p>
    <w:p w:rsidR="000A6F19" w:rsidRPr="000A6F19" w:rsidRDefault="000A6F19" w:rsidP="000A6F19">
      <w:pPr>
        <w:numPr>
          <w:ilvl w:val="0"/>
          <w:numId w:val="1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Несколько столбцов с двоичными значениями: задача классификации с пересекающимися классами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multi-label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classification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), один объект может принадлежать нескольким классам.</w:t>
      </w:r>
    </w:p>
    <w:p w:rsidR="000A6F19" w:rsidRPr="000A6F19" w:rsidRDefault="000A6F19" w:rsidP="000A6F19">
      <w:pPr>
        <w:shd w:val="clear" w:color="auto" w:fill="FFFFFF"/>
        <w:spacing w:after="175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</w:pPr>
      <w:r w:rsidRPr="000A6F19"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  <w:t>Метрика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При решении любой задачи машинного обучения, необходимо иметь возможность оценивать результат, то есть, необходима метрика. Например, для задачи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двухклассовой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классификации в качестве метрики обычно используется площадь под ROC-кривой (ROC AUC). В случае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многоклассовой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классификации обычно применяется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категорийная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кросс-энтропия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categorical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cross-entropy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В случае регрессии – среднее квадратов отклонений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mean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squared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error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MSE).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Мы не будем подробно рассматривать метрики, поскольку они могут быть достаточно разнообразны и выбираются под конкретную задачу.</w:t>
      </w:r>
    </w:p>
    <w:p w:rsidR="000A6F19" w:rsidRPr="000A6F19" w:rsidRDefault="000A6F19" w:rsidP="000A6F19">
      <w:pPr>
        <w:shd w:val="clear" w:color="auto" w:fill="FFFFFF"/>
        <w:spacing w:after="175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</w:pPr>
      <w:r w:rsidRPr="000A6F19"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  <w:t>Библиотеки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Первым делом необходимо установить базовые библиотеки, необходимые для выполнения вычислений, такие как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numpy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scipy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Затем можно приступить к установке наиболее популярных библиотек для анализа данных и машинного обучения: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Исследование и преобразование данных: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pandas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6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http://pandas.pydata.org/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Широкий спектр различных алгоритмов машинного обучения: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7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http://scikit-learn.org/stable/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Лучшая реализация градиентного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бустинга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gradient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boosting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xgboost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8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https://github.com/dmlc/xgboost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Нейронные сети: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keras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9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http://keras.io/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Визуализация: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matplotlib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10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http://matplotlib.org/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0"/>
          <w:numId w:val="2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Индикатор прогресса выполнения: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tqdm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11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https://pypi.python.org/pypi/tqdm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Следует сказать, что я не использую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Anaconda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</w:t>
      </w:r>
      <w:hyperlink r:id="rId12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https://www.continuum.io/downloads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Anaconda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объединяет в себе большинство популярных библиотек и существенно упрощает процесс установки, но мне необходимо больше свободы. Решать вам. 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26" type="#_x0000_t75" alt="🙂" style="width:23.8pt;height:23.8pt"/>
        </w:pict>
      </w:r>
    </w:p>
    <w:p w:rsidR="000A6F19" w:rsidRPr="000A6F19" w:rsidRDefault="000A6F19" w:rsidP="000A6F19">
      <w:pPr>
        <w:shd w:val="clear" w:color="auto" w:fill="FFFFFF"/>
        <w:spacing w:after="175" w:line="312" w:lineRule="atLeast"/>
        <w:textAlignment w:val="baseline"/>
        <w:outlineLvl w:val="1"/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</w:pPr>
      <w:r w:rsidRPr="000A6F19">
        <w:rPr>
          <w:rFonts w:ascii="inherit" w:eastAsia="Times New Roman" w:hAnsi="inherit" w:cs="Arial"/>
          <w:color w:val="444444"/>
          <w:spacing w:val="-9"/>
          <w:sz w:val="43"/>
          <w:szCs w:val="43"/>
          <w:lang w:eastAsia="ru-RU"/>
        </w:rPr>
        <w:t>Фреймворк для машинного обучения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В 2015 году я представил концепцию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фреймворка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для автоматического машинного обучения. Система еще находится в стадии разработки, но скоро будет сделан релиз. Структура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фреймворка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которая послужит основой для дальнейшего изложения, представлена на рисунке ниже.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27" type="#_x0000_t75" alt="" style="width:599.8pt;height:453.9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Рисунок из публикации: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Такур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А.,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Крон-Гримберге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А.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AutoCompete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: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для соревнований по машинному обучению.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>(</w:t>
      </w:r>
      <w:hyperlink r:id="rId13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val="en-US" w:eastAsia="ru-RU"/>
          </w:rPr>
          <w:t>A. Thakur and A. Krohn-Grimberghe, AutoCompete: A Framework for Machine Learning Competitions.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>)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 xml:space="preserve">На входе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получает данные, предварительно преобразованные в табличное представление.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Розовые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линии показывают направление для простейшего случая.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На первом шаге определяется класс задачи. Это можно сделать, проанализировав целевую переменную. Задача может представлять собой классификацию или регрессию, классификация может быть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двухклассовой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или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многоклассовой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классы могут пересекаться или не пересекаться. После того, как класс задачи определен, мы разделяем исходный набор данных на две части и получаем обучающий набор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training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set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) и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валидационный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validation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set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), как показано на рисунке ниже.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28" type="#_x0000_t75" alt="" style="width:599.8pt;height:304.3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том случае, если мы имеем дело с классификацией, разделение данных необходимо выполнить таким образом, чтобы в полученных наборах соотношение количеств объектов, относящихся к разным классам, соответствовало этому соотношению для исходного набора данных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stratified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splitting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Это легко можно сделать с помощью класса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StratifiedKFold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29" type="#_x0000_t75" alt="" style="width:506.5pt;height:120.8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Для задачи регрессии подойдет обычное разделение с помощью класса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KFold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который также доступен в библиотеке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</w:t>
      </w:r>
      <w:proofErr w:type="spellEnd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—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0" type="#_x0000_t75" alt="" style="width:503.35pt;height:115.8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Кроме того, для задачи регрессии существуют более сложные методы разделения данных, обеспечивающие одинаковое распределение целевой переменной в полученных наборах. Эти подходы остаются на самостоятельное рассмотрение читателю.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В примере кода выше размер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валидационного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набора (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eval_size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составляет 10% от исходного набора данных. Это значение следует выбирать, ориентируясь на объем исходных данных.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После разделения данных все операции, применяемые к обучающему набору, необходимо сохранять, а затем применять к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валидационному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набору.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Валидационный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 ни в коем случае нельзя объединять с обучающим набором. Если это сделать, мы будем получать очень хорошие оценки, при этом наши модели будут бесполезны в виду сильного переобучения.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На следующем шаге мы определяем типы признаков. Наиболее распространены три типа: числовой,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категорийный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и текстовый. Давайте рассмотрим набор данных из популярной задачи о пассажирах «Титаника» (</w:t>
      </w:r>
      <w:hyperlink r:id="rId14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https://www.kaggle.com/c/titanic/data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tbl>
      <w:tblPr>
        <w:tblW w:w="10681" w:type="dxa"/>
        <w:tblCellMar>
          <w:left w:w="0" w:type="dxa"/>
          <w:right w:w="0" w:type="dxa"/>
        </w:tblCellMar>
        <w:tblLook w:val="04A0"/>
      </w:tblPr>
      <w:tblGrid>
        <w:gridCol w:w="1635"/>
        <w:gridCol w:w="9046"/>
      </w:tblGrid>
      <w:tr w:rsidR="000A6F19" w:rsidRPr="000A6F19" w:rsidTr="000A6F19">
        <w:tc>
          <w:tcPr>
            <w:tcW w:w="9900" w:type="dxa"/>
            <w:gridSpan w:val="2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Описание переменных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survival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Выжил ли пассажир (0 – нет, 1 – да)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pclass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Класс (1 – первый, 2 – второй, 3 – третий)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name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Имя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sex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Пол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age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Возраст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sibsp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Количество братьев, сестер, супругов на борту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parch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Количество родителей, детей на борту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ticket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Номер билета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fare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Стоимость билета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cabin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Каюта</w:t>
            </w:r>
          </w:p>
        </w:tc>
      </w:tr>
      <w:tr w:rsidR="000A6F19" w:rsidRPr="000A6F19" w:rsidTr="000A6F19">
        <w:tc>
          <w:tcPr>
            <w:tcW w:w="151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proofErr w:type="spellStart"/>
            <w:r w:rsidRPr="000A6F19">
              <w:rPr>
                <w:rFonts w:ascii="inherit" w:eastAsia="Times New Roman" w:hAnsi="inherit" w:cs="Times New Roman"/>
                <w:i/>
                <w:iCs/>
                <w:sz w:val="21"/>
                <w:lang w:eastAsia="ru-RU"/>
              </w:rPr>
              <w:t>embarked</w:t>
            </w:r>
            <w:proofErr w:type="spellEnd"/>
          </w:p>
        </w:tc>
        <w:tc>
          <w:tcPr>
            <w:tcW w:w="8385" w:type="dxa"/>
            <w:tcBorders>
              <w:top w:val="nil"/>
              <w:left w:val="nil"/>
              <w:bottom w:val="single" w:sz="4" w:space="0" w:color="F1F1F1"/>
              <w:right w:val="nil"/>
            </w:tcBorders>
            <w:shd w:val="clear" w:color="auto" w:fill="F1F1F1"/>
            <w:tcMar>
              <w:top w:w="63" w:type="dxa"/>
              <w:left w:w="63" w:type="dxa"/>
              <w:bottom w:w="63" w:type="dxa"/>
              <w:right w:w="63" w:type="dxa"/>
            </w:tcMar>
            <w:vAlign w:val="center"/>
            <w:hideMark/>
          </w:tcPr>
          <w:p w:rsidR="000A6F19" w:rsidRPr="000A6F19" w:rsidRDefault="000A6F19" w:rsidP="000A6F1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</w:pPr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 xml:space="preserve">Место посадки (C – Шербур, Q – </w:t>
            </w:r>
            <w:proofErr w:type="spellStart"/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Куинстаун</w:t>
            </w:r>
            <w:proofErr w:type="spellEnd"/>
            <w:r w:rsidRPr="000A6F19">
              <w:rPr>
                <w:rFonts w:ascii="inherit" w:eastAsia="Times New Roman" w:hAnsi="inherit" w:cs="Times New Roman"/>
                <w:sz w:val="21"/>
                <w:szCs w:val="21"/>
                <w:lang w:eastAsia="ru-RU"/>
              </w:rPr>
              <w:t>, S – Саутгемптон)</w:t>
            </w:r>
          </w:p>
        </w:tc>
      </w:tr>
    </w:tbl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этом наборе данных столбец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survival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содержит целевую переменную. На предыдущем шаге мы уже отделили целевую переменную от признаков. Признаки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pclass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sex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embarked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 являются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категорийными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.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Признаки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age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sibsp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parch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 подобные являются числовыми. Признак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name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является текстовым. Впрочем, я не думаю, что имя пассажира будет полезно при прогнозировании, выжил этот пассажир или нет.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Числовые признаки не нуждаются в преобразовании. Такие признаки в исходном виде готовы к нормализации и обучению моделей.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Категорийные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признаки можно преобразовать двумя способами:</w:t>
      </w:r>
    </w:p>
    <w:p w:rsidR="000A6F19" w:rsidRPr="000A6F19" w:rsidRDefault="000A6F19" w:rsidP="000A6F19">
      <w:pPr>
        <w:numPr>
          <w:ilvl w:val="0"/>
          <w:numId w:val="3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Присвоить каждой уникальной категории уникальное целое число. Это можно сделать с помощью класса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LabelEncoder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</w:t>
      </w:r>
      <w:proofErr w:type="spellEnd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—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1" type="#_x0000_t75" alt="" style="width:599.8pt;height:129.6pt"/>
        </w:pict>
      </w:r>
    </w:p>
    <w:p w:rsidR="000A6F19" w:rsidRPr="000A6F19" w:rsidRDefault="000A6F19" w:rsidP="000A6F19">
      <w:pPr>
        <w:numPr>
          <w:ilvl w:val="0"/>
          <w:numId w:val="3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Результат предыдущего преобразования далее можно преобразовать в двоичные признаки, то есть в унитарный код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one-hot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encoding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Это можно сделать с помощью класса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OneHotEncoder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</w:t>
      </w:r>
      <w:proofErr w:type="spellEnd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—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hyperlink r:id="rId15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[Рисунок]</w:t>
        </w:r>
      </w:hyperlink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 забудьте, что перед применением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OneHotEncoder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необходимо преобразовать категории в числа с помощью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LabelEncoder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Поскольку данные из соревнования «Титаник» не содержат хорошего примера текстового признака, давайте сформулируем общее правило преобразование текстовых признаков. Мы можем объединить все текстовые признаки в один, а затем применить соответствующие алгоритмы, позволяющие преобразовать текст в числовое представление.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Текстовые признаки можно объединить следующим образом: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2" type="#_x0000_t75" alt="" style="width:599.8pt;height:22.5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Затем мы можем выполнить преобразование с помощью класса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CountVectorizer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или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TfidfVectorizer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библиотеки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3" type="#_x0000_t75" alt="" style="width:574.75pt;height:83.2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4" type="#_x0000_t75" alt="" style="width:566.6pt;height:84.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Как правило,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TfidfVectorizer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обеспечивает лучший результат, чем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CountVectorizer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На практике я выяснил, что следующие значения параметров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TfidfVectorizer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являются оптимальными в большинстве случаев: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5" type="#_x0000_t75" alt="" style="width:599.8pt;height:124.6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Если вы применяете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векторизатор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только к обучающему набору, не забудьте сохранить его на диске, чтобы в последствии применить к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валидационному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набору.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6" type="#_x0000_t75" alt="" style="width:555.95pt;height:46.3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На следующем шаге признаки, полученные в результате описанных выше преобразований, передаются в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стекер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stacker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). Этот узел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фреймворка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объединяет все преобразованные признаки в одну матрицу. Обратите внимание, в нашем случае речь идет о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стекере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признаков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feature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stacker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), который не следует путать со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стекером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моделей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model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stacker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), представляющим другую популярную технологию.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7" type="#_x0000_t75" alt="" style="width:458.3pt;height:100.1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Объединение признаков можно выполнить с помощью функции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hstack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numpy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 (в случае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неразреженных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dense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признаков) или с помощью функции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hstack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из модуля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sparse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scipy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(в случае разреженных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sparse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признаков).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8" type="#_x0000_t75" alt="" style="width:299.9pt;height:182.2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том случае, если выполняются другие этапы предобработки, например, уменьшение размерности или отбор признаков (будут рассмотрены далее), объединение полученных признаков можно эффективно выполнить с помощью класса 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FeatureUnion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</w:t>
      </w:r>
      <w:proofErr w:type="spellEnd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—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39" type="#_x0000_t75" alt="" style="width:599.8pt;height:170.9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После того, как все признаки объединены в одну матрицу, мы можем приступать к обучению моделей. Поскольку признаки не нормализованы, на данном этапе следует применять только ансамблевые алгоритмы на основе деревьев решений:</w:t>
      </w:r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RandomForestClassifier</w:t>
      </w:r>
      <w:proofErr w:type="spellEnd"/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RandomForestRegressor</w:t>
      </w:r>
      <w:proofErr w:type="spellEnd"/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ExtraTreesClassifier</w:t>
      </w:r>
      <w:proofErr w:type="spellEnd"/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ExtraTreesRegressor</w:t>
      </w:r>
      <w:proofErr w:type="spellEnd"/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XGBClassifier</w:t>
      </w:r>
      <w:proofErr w:type="spellEnd"/>
    </w:p>
    <w:p w:rsidR="000A6F19" w:rsidRPr="000A6F19" w:rsidRDefault="000A6F19" w:rsidP="000A6F19">
      <w:pPr>
        <w:numPr>
          <w:ilvl w:val="0"/>
          <w:numId w:val="4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XGBRegressor</w:t>
      </w:r>
      <w:proofErr w:type="spellEnd"/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Чтобы применять линейные модели, необходимо выполнить нормализацию признаков с помощью классов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Normalizer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или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StandardScaler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библиотеки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 xml:space="preserve">Данные методы нормализации обеспечивают хороший результат только в случае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неразреженных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dense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признаков. Чтобы применить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StandardScaler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к разреженным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sparse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признакам, в качестве параметра необходимо указать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with_mean=False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Если описанные выше шаги обеспечили для нас «хорошую» модель, можно переходить к настройке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гиперпараметров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Если же модель нас не удовлетворяет, мы можем продолжить работу с признаками. В частности, в качестве дополнительных шагов мы можем применить различные методы уменьшения размерности.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0" type="#_x0000_t75" alt="" style="width:410.1pt;height:118.3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Чтобы не усложнять, мы не будем рассматривать линейный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дискриминантный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анализ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linear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discriminant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analysis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, LDA) и квадратичный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дискриминантный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анализ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quadratic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discriminant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analysis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QDA). В общем случае, для уменьшения размерности данных применяется метод главных компонент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principal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component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analysis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PCA). При работе с изображениями следует начинать с 10 – 15 компонент и увеличивать это значение до тех пор, пока результат существенно улучшается. При работе с другими видами данных можно начинать с 50 – 60 компонент.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1" type="#_x0000_t75" alt="" style="width:299.9pt;height:100.1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случае текстовых данных, после преобразования текста в разреженную матрицу можно применить сингулярное разложение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singular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value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decomposition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SVD). Реализация сингулярного разложения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TruncatedSVD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доступна в библиотеке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2" type="#_x0000_t75" alt="" style="width:510.9pt;height:135.2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Количество компонент сингулярного разложения, которое, как правило, обеспечивает хороший результат в случае признаков, полученных в результате преобразования с помощью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CountVectorizer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или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TfidfVectorizer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составляет 120 – 200. Большее количество компонент позволяет незначительно улучшить результат ценой существенных вычислительных затрат.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Выполнив описанные шаги, не забываем нормализовать признаки, чтобы иметь возможность применять линейные модели. Далее мы можем либо использовать подготовленные признаки для обучения моделей, либо выполнить отбор признаков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feature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selection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3" type="#_x0000_t75" alt="" style="width:406.95pt;height:117.1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Существуют различные методы отбора признаков. Одним из популярных методов является жадный алгоритм отбора признаков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greedy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feature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selection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Жадный алгоритм имеет описанную далее схему. Шаг 1: обучаем и оцениваем модель на каждом из исходных признаков; отбираем один признак, обеспечивший лучшую оценку. Шаг 2: обучаем и оцениваем модель на парах признаков, состоящих из лучшего признака, отобранного на предыдущем шаге, и каждого из оставшихся признаков; отбираем лучший признак из оставшихся. Повторяем аналогичные шаги, пока не отберем нужное количество признаков, или пока не будет выполнен какой-либо другой критерий. Вариант реализации данного алгоритма, где в качестве метрики используется площадь под ROC-кривой, доступен по следующей ссылке: </w:t>
      </w:r>
      <w:hyperlink r:id="rId16" w:history="1">
        <w:r w:rsidRPr="000A6F19">
          <w:rPr>
            <w:rFonts w:ascii="inherit" w:eastAsia="Times New Roman" w:hAnsi="inherit" w:cs="Arial"/>
            <w:color w:val="3B8DBD"/>
            <w:sz w:val="20"/>
            <w:u w:val="single"/>
            <w:lang w:eastAsia="ru-RU"/>
          </w:rPr>
          <w:t>https://github.com/abhishekkrthakur/greedyFeatureSelection</w:t>
        </w:r>
      </w:hyperlink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Следует отметить, что данная реализация неидеальна и требует определенных модификаций под конкретную задачу.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Другим более быстрым методом отбора признаков является отбор с помощью одного из алгоритмов машинного обучения, которые оценивают важность признаков. Например, можно использовать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логистическую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регрессию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logistic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regression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 или случайный лес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random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forest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В дальнейшем отобранные признаки можно использовать для обучения других алгоритмов.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4" type="#_x0000_t75" alt="" style="width:599.8pt;height:132.7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 xml:space="preserve">Выполняя отбор признаков с помощью случайного леса, помните, что количество деревьев должно быть небольшим, кроме того, не следует выполнять серьезную настройку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гиперпараметров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иначе возможно переобучение.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Отбор признаков также можно выполнить с помощью алгоритмов на основе градиентного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бустинга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 Рекомендуется использовать библиотеку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xgboost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вместо соответствующей реализации из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поскольку реализация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xgboost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намного более быстрая и масштабируемая.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5" type="#_x0000_t75" alt="" style="width:599.8pt;height:159.65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Алгоритмы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RandomForestClassifier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RandomForestRegressor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и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xgboost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также позволяют выполнять отбор признаков в случае разреженных данных.</w: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Другой популярной техникой отбора неотрицательных признаков является отбор на основе критерия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хи-квадрат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chi-squared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 Реализация этого метода также доступна в библиотеке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scikit-learn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6" type="#_x0000_t75" alt="" style="width:541.55pt;height:137.1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коде выше мы применяем класс </w:t>
      </w:r>
      <w:proofErr w:type="spellStart"/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SelectKBest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 совместно с критерием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хи-квадрат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chi2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), чтобы отобрать 20 лучших признаков. Количество отбираемых признаков, по сути, является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гиперпараметром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, который необходимо оптимизировать, чтобы улучшить результат модели.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Не забывайте сохранять все преобразователи, которые вы применяли к обучающему набору. Они понадобятся, чтобы оценить модели на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валидационном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наборе.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Следующим шагом является выбор алгоритма машинного обучения и настройка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гиперпараметров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7" type="#_x0000_t75" alt="" style="width:290.5pt;height:299.9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 общем случае, выбирая алгоритм машинного обучения, необходимо рассмотреть следующие варианты:</w:t>
      </w:r>
    </w:p>
    <w:p w:rsidR="000A6F19" w:rsidRPr="000A6F19" w:rsidRDefault="000A6F19" w:rsidP="000A6F19">
      <w:pPr>
        <w:numPr>
          <w:ilvl w:val="0"/>
          <w:numId w:val="5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Классификация: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Случайный лес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random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forest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Градиентный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бустинг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gradient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boosting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Логистическая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регрессия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logistic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regression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Наивный Байес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naive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Bayes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Метод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опорных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векторов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(support vector machine).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Метод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k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ближайших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соседей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(k-nearest neighbors).</w:t>
      </w:r>
    </w:p>
    <w:p w:rsidR="000A6F19" w:rsidRPr="000A6F19" w:rsidRDefault="000A6F19" w:rsidP="000A6F19">
      <w:pPr>
        <w:numPr>
          <w:ilvl w:val="0"/>
          <w:numId w:val="5"/>
        </w:numPr>
        <w:shd w:val="clear" w:color="auto" w:fill="FFFFFF"/>
        <w:spacing w:after="0" w:line="408" w:lineRule="atLeast"/>
        <w:ind w:left="376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Регрессия: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Случайный лес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random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forest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Градиентный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бустинг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gradient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boosting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Линейная регрессия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linear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regression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Гребневая регрессия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ridge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regression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Lasso-регрессия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lasso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regression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numPr>
          <w:ilvl w:val="1"/>
          <w:numId w:val="5"/>
        </w:numPr>
        <w:shd w:val="clear" w:color="auto" w:fill="FFFFFF"/>
        <w:spacing w:after="0" w:line="408" w:lineRule="atLeast"/>
        <w:ind w:left="752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Метод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опорных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векторов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val="en-US" w:eastAsia="ru-RU"/>
        </w:rPr>
        <w:t xml:space="preserve"> (support vector machine).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Какие же параметры следует оптимизировать? Как подобрать оптимальные значения параметров? Это наиболее распространенные вопросы, возникающие на этапе настройки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гиперпараметров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. Ответы на эти вопросы можно получить, только приобретая опыт работы с различными алгоритмами и комбинациями параметров на различных наборах данных. Следует также отметить, что не все опытные специалисты 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готовы поделиться своими секретами. К счастью, я имею достаточно большой опыт и охотно покажу вам свои наработки.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В таблице ниже представлены основные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гиперпараметры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каждого алгоритма и диапазоны их оптимальных значений.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8" type="#_x0000_t75" alt="" style="width:588.5pt;height:599.8pt"/>
        </w:pict>
      </w:r>
    </w:p>
    <w:p w:rsidR="000A6F19" w:rsidRPr="000A6F19" w:rsidRDefault="000A6F19" w:rsidP="000A6F19">
      <w:pPr>
        <w:shd w:val="clear" w:color="auto" w:fill="FFFFFF"/>
        <w:spacing w:after="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lastRenderedPageBreak/>
        <w:t>Метка </w:t>
      </w:r>
      <w:r w:rsidRPr="000A6F19">
        <w:rPr>
          <w:rFonts w:ascii="inherit" w:eastAsia="Times New Roman" w:hAnsi="inherit" w:cs="Arial"/>
          <w:i/>
          <w:iCs/>
          <w:color w:val="666666"/>
          <w:sz w:val="20"/>
          <w:lang w:eastAsia="ru-RU"/>
        </w:rPr>
        <w:t>RS*</w:t>
      </w: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 в таблице означает, что невозможно указать оптимальные значения и следует выполнить случайный поиск (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random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search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).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Еще раз напомню, не забывайте сохранять все примененные преобразователи: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49" type="#_x0000_t75" alt="" style="width:599.8pt;height:333.1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И не забывайте применять их к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валидационному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набору:</w: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pict>
          <v:shape id="_x0000_i1050" type="#_x0000_t75" alt="" style="width:599.8pt;height:137.75pt"/>
        </w:pict>
      </w:r>
    </w:p>
    <w:p w:rsidR="000A6F19" w:rsidRPr="000A6F19" w:rsidRDefault="000A6F19" w:rsidP="000A6F19">
      <w:pPr>
        <w:shd w:val="clear" w:color="auto" w:fill="FFFFFF"/>
        <w:spacing w:after="240" w:line="408" w:lineRule="atLeast"/>
        <w:textAlignment w:val="baseline"/>
        <w:rPr>
          <w:rFonts w:ascii="inherit" w:eastAsia="Times New Roman" w:hAnsi="inherit" w:cs="Arial"/>
          <w:color w:val="666666"/>
          <w:sz w:val="20"/>
          <w:szCs w:val="20"/>
          <w:lang w:eastAsia="ru-RU"/>
        </w:rPr>
      </w:pPr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Рассмотренный нами подход и основанный на нем </w:t>
      </w:r>
      <w:proofErr w:type="spellStart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>фреймворк</w:t>
      </w:r>
      <w:proofErr w:type="spellEnd"/>
      <w:r w:rsidRPr="000A6F19">
        <w:rPr>
          <w:rFonts w:ascii="inherit" w:eastAsia="Times New Roman" w:hAnsi="inherit" w:cs="Arial"/>
          <w:color w:val="666666"/>
          <w:sz w:val="20"/>
          <w:szCs w:val="20"/>
          <w:lang w:eastAsia="ru-RU"/>
        </w:rPr>
        <w:t xml:space="preserve"> продемонстрировали хорошие результаты на большинстве наборов данных, с которыми мне приходилось работать. Безусловно, при решении очень сложных задач, эта методика не всегда дает хороший результат. Ничто не совершенно, но, обучаясь, мы совершенствуемся. Точно так же, как это происходит в машинном обучении.</w:t>
      </w:r>
    </w:p>
    <w:p w:rsidR="00DA7679" w:rsidRDefault="00DA7679"/>
    <w:sectPr w:rsidR="00DA7679" w:rsidSect="00DA76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23C9"/>
    <w:multiLevelType w:val="multilevel"/>
    <w:tmpl w:val="3110B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143969"/>
    <w:multiLevelType w:val="multilevel"/>
    <w:tmpl w:val="7706C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373532"/>
    <w:multiLevelType w:val="multilevel"/>
    <w:tmpl w:val="D6D08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F265660"/>
    <w:multiLevelType w:val="multilevel"/>
    <w:tmpl w:val="D284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FC6B17"/>
    <w:multiLevelType w:val="multilevel"/>
    <w:tmpl w:val="2F76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0A6F19"/>
    <w:rsid w:val="000A6F19"/>
    <w:rsid w:val="00DA7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679"/>
  </w:style>
  <w:style w:type="paragraph" w:styleId="1">
    <w:name w:val="heading 1"/>
    <w:basedOn w:val="a"/>
    <w:link w:val="10"/>
    <w:uiPriority w:val="9"/>
    <w:qFormat/>
    <w:rsid w:val="000A6F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A6F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6F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6F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ost-byline">
    <w:name w:val="post-byline"/>
    <w:basedOn w:val="a"/>
    <w:rsid w:val="000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ost-tags">
    <w:name w:val="post-tags"/>
    <w:basedOn w:val="a"/>
    <w:rsid w:val="000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A6F1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0A6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0A6F1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4358">
                  <w:marLeft w:val="0"/>
                  <w:marRight w:val="0"/>
                  <w:marTop w:val="0"/>
                  <w:marBottom w:val="1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lc/xgboost" TargetMode="External"/><Relationship Id="rId13" Type="http://schemas.openxmlformats.org/officeDocument/2006/relationships/hyperlink" Target="https://arxiv.org/abs/1507.02188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cikit-learn.org/stable/" TargetMode="External"/><Relationship Id="rId12" Type="http://schemas.openxmlformats.org/officeDocument/2006/relationships/hyperlink" Target="https://www.continuum.io/downloa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bhishekkrthakur/greedyFeatureSelec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andas.pydata.org/" TargetMode="External"/><Relationship Id="rId11" Type="http://schemas.openxmlformats.org/officeDocument/2006/relationships/hyperlink" Target="https://pypi.python.org/pypi/tqdm" TargetMode="External"/><Relationship Id="rId5" Type="http://schemas.openxmlformats.org/officeDocument/2006/relationships/hyperlink" Target="http://datareview.info/tag/mashinnoe-obuchenie/" TargetMode="External"/><Relationship Id="rId15" Type="http://schemas.openxmlformats.org/officeDocument/2006/relationships/hyperlink" Target="https://media.licdn.com/mpr/mpr/shrinknp_800_800/AAEAAQAAAAAAAAiTAAAAJDQ4NmQ5NzM4LTMyOTctNDBlNS1iYWQ3LWU3NGUzZDE5ODQ5Ng.png" TargetMode="External"/><Relationship Id="rId10" Type="http://schemas.openxmlformats.org/officeDocument/2006/relationships/hyperlink" Target="http://matplotlib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eras.io/" TargetMode="External"/><Relationship Id="rId14" Type="http://schemas.openxmlformats.org/officeDocument/2006/relationships/hyperlink" Target="https://www.kaggle.com/c/titanic/dat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3205</Words>
  <Characters>18274</Characters>
  <Application>Microsoft Office Word</Application>
  <DocSecurity>0</DocSecurity>
  <Lines>152</Lines>
  <Paragraphs>42</Paragraphs>
  <ScaleCrop>false</ScaleCrop>
  <Company/>
  <LinksUpToDate>false</LinksUpToDate>
  <CharactersWithSpaces>21437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</dc:creator>
  <cp:lastModifiedBy>Maxim</cp:lastModifiedBy>
  <cp:revision>1</cp:revision>
  <dcterms:created xsi:type="dcterms:W3CDTF">2018-03-28T13:14:00Z</dcterms:created>
  <dcterms:modified xsi:type="dcterms:W3CDTF">2018-03-28T13:14:00Z</dcterms:modified>
</cp:coreProperties>
</file>