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  <w:jc w:val="left"/>
      </w:pPr>
      <w:r>
        <w:rPr>
          <w:rFonts w:ascii="Calibri" w:cs="Calibri" w:eastAsia="Calibri" w:hAnsi="Calibri"/>
          <w:b/>
          <w:bCs/>
          <w:color w:val="C79A3B"/>
          <w:spacing w:val="60"/>
          <w:sz w:val="22"/>
          <w:szCs w:val="22"/>
        </w:rPr>
        <w:t xml:space="preserve">PROJETO ESTRATÉGICO</w:t>
      </w:r>
    </w:p>
    <w:p>
      <w:pPr>
        <w:pBdr>
          <w:bottom w:val="single" w:color="C79A3B" w:sz="18" w:space="8"/>
        </w:pBdr>
        <w:spacing w:after="0" w:before="120"/>
      </w:pPr>
      <w:r>
        <w:rPr>
          <w:rFonts w:ascii="Calibri" w:cs="Calibri" w:eastAsia="Calibri" w:hAnsi="Calibri"/>
          <w:b/>
          <w:bCs/>
          <w:color w:val="1F2D5A"/>
          <w:sz w:val="56"/>
          <w:szCs w:val="56"/>
        </w:rPr>
        <w:t xml:space="preserve">Abertura de Canal de Parceria</w:t>
      </w:r>
    </w:p>
    <w:p>
      <w:pPr>
        <w:spacing w:after="0" w:before="220"/>
      </w:pPr>
      <w:r>
        <w:rPr>
          <w:rFonts w:ascii="Calibri" w:cs="Calibri" w:eastAsia="Calibri" w:hAnsi="Calibri"/>
          <w:color w:val="595959"/>
          <w:sz w:val="26"/>
          <w:szCs w:val="26"/>
        </w:rPr>
        <w:t xml:space="preserve">Estruturação, ativação e gestão de uma rede de parceiros comerciais</w:t>
      </w:r>
    </w:p>
    <w:p>
      <w:pPr>
        <w:spacing w:after="0" w:before="40"/>
      </w:pPr>
      <w:r>
        <w:rPr>
          <w:rFonts w:ascii="Calibri" w:cs="Calibri" w:eastAsia="Calibri" w:hAnsi="Calibri"/>
          <w:color w:val="595959"/>
          <w:sz w:val="26"/>
          <w:szCs w:val="26"/>
        </w:rPr>
        <w:t xml:space="preserve">para expansão da distribuição do Consórcio Recon</w:t>
      </w:r>
    </w:p>
    <w:p>
      <w:pPr>
        <w:spacing w:after="0" w:before="1400"/>
      </w:pPr>
      <w:r>
        <w:rPr>
          <w:rFonts w:ascii="Calibri" w:cs="Calibri" w:eastAsia="Calibri" w:hAnsi="Calibri"/>
          <w:b/>
          <w:bCs/>
          <w:color w:val="8A8A8A"/>
          <w:spacing w:val="40"/>
          <w:sz w:val="18"/>
          <w:szCs w:val="18"/>
        </w:rPr>
        <w:t xml:space="preserve">PREPARADO PARA</w:t>
      </w:r>
    </w:p>
    <w:p>
      <w:pPr>
        <w:spacing w:after="0" w:before="40"/>
      </w:pPr>
      <w:r>
        <w:rPr>
          <w:rFonts w:ascii="Calibri" w:cs="Calibri" w:eastAsia="Calibri" w:hAnsi="Calibri"/>
          <w:b/>
          <w:bCs/>
          <w:color w:val="1F2D5A"/>
          <w:sz w:val="26"/>
          <w:szCs w:val="26"/>
        </w:rPr>
        <w:t xml:space="preserve">Recon Administradora de Consórcios Ltda.</w:t>
      </w:r>
    </w:p>
    <w:p>
      <w:pPr>
        <w:spacing w:after="0" w:before="20"/>
      </w:pPr>
      <w:r>
        <w:rPr>
          <w:rFonts w:ascii="Calibri" w:cs="Calibri" w:eastAsia="Calibri" w:hAnsi="Calibri"/>
          <w:color w:val="595959"/>
          <w:sz w:val="19"/>
          <w:szCs w:val="19"/>
        </w:rPr>
        <w:t xml:space="preserve">CNPJ 23.767.155/0001-53  ·  São Sebastião do Paraíso — MG</w:t>
      </w:r>
    </w:p>
    <w:p>
      <w:pPr>
        <w:spacing w:after="0" w:before="360"/>
      </w:pPr>
      <w:r>
        <w:rPr>
          <w:rFonts w:ascii="Calibri" w:cs="Calibri" w:eastAsia="Calibri" w:hAnsi="Calibri"/>
          <w:b/>
          <w:bCs/>
          <w:color w:val="8A8A8A"/>
          <w:spacing w:val="40"/>
          <w:sz w:val="18"/>
          <w:szCs w:val="18"/>
        </w:rPr>
        <w:t xml:space="preserve">APRESENTADO POR</w:t>
      </w:r>
    </w:p>
    <w:p>
      <w:pPr>
        <w:spacing w:after="0" w:before="40"/>
      </w:pPr>
      <w:r>
        <w:rPr>
          <w:rFonts w:ascii="Calibri" w:cs="Calibri" w:eastAsia="Calibri" w:hAnsi="Calibri"/>
          <w:b/>
          <w:bCs/>
          <w:color w:val="1F2D5A"/>
          <w:sz w:val="24"/>
          <w:szCs w:val="24"/>
        </w:rPr>
        <w:t xml:space="preserve">[Sua Empresa] — Sócio Estratégico de Canais &amp; Distribuição</w:t>
      </w:r>
    </w:p>
    <w:p>
      <w:pPr>
        <w:spacing w:after="0" w:before="1000"/>
      </w:pPr>
      <w:r>
        <w:rPr>
          <w:rFonts w:ascii="Calibri" w:cs="Calibri" w:eastAsia="Calibri" w:hAnsi="Calibri"/>
          <w:i/>
          <w:iCs/>
          <w:color w:val="8A8A8A"/>
          <w:sz w:val="18"/>
          <w:szCs w:val="18"/>
        </w:rPr>
        <w:t xml:space="preserve">Documento confidencial · Versão 1.0 · Agosto de 2026</w:t>
      </w:r>
    </w:p>
    <w:p>
      <w:r>
        <w:br w:type="page"/>
      </w:r>
    </w:p>
    <w:p>
      <w:pPr>
        <w:sectPr>
          <w:pgSz w:w="11906" w:h="16838" w:orient="portrait"/>
          <w:pgMar w:top="1000" w:right="1200" w:bottom="1000" w:left="120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C79A3B" w:sz="12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2D5A"/>
          <w:sz w:val="30"/>
          <w:szCs w:val="30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C79A3B" w:sz="12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2D5A"/>
          <w:sz w:val="30"/>
          <w:szCs w:val="30"/>
        </w:rPr>
        <w:t xml:space="preserve">1. Sumário Executivo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 Recon Administradora de Consórcios Ltda. é uma instituição madura, autorizada e fiscalizada pelo Banco Central do Brasil (BACEN), com quase quatro décadas de atuação no segmento de autofinanciamento, mais de 100 mil bens entregues e uma rede já composta por mais de 200 parceiros comerciais e filiais. Este documento propõe a estruturação de um Canal de Parceria formal, escalável e governado, destinado a acelerar a captação de novas cotas por meio de terceiros credenciados — concessionárias, corretoras, correspondentes, varejo, contadores e produtores digitais.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O projeto posiciona a </w:t>
      </w:r>
      <w:r>
        <w:rPr>
          <w:rFonts w:ascii="Calibri" w:cs="Calibri" w:eastAsia="Calibri" w:hAnsi="Calibri"/>
          <w:b/>
          <w:bCs/>
          <w:color w:val="1F2D5A"/>
          <w:sz w:val="21"/>
          <w:szCs w:val="21"/>
        </w:rPr>
        <w:t xml:space="preserve">[Sua Empresa]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como sócio estratégico responsável por desenhar, implantar e operar o canal — do modelo de credenciamento e comissionamento à tecnologia de gestão de parceiros, treinamento e governança de compliance. A meta é transformar a rede de distribuição hoje difusa em um canal padronizado, mensurável e aderente à Lei nº 11.795/2008, ao Código de Defesa do Consumidor e à LGPD.</w:t>
      </w:r>
    </w:p>
    <w:p>
      <w:pPr>
        <w:spacing w:after="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C79A3B" w:sz="24"/>
              <w:bottom w:val="none"/>
              <w:right w:val="none"/>
            </w:tcBorders>
            <w:shd w:fill="FBF6E9" w:color="auto" w:val="clear"/>
            <w:tcMar>
              <w:top w:type="dxa" w:w="130"/>
              <w:left w:type="dxa" w:w="180"/>
              <w:bottom w:type="dxa" w:w="13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2D5A"/>
                <w:sz w:val="20"/>
                <w:szCs w:val="20"/>
              </w:rPr>
              <w:t xml:space="preserve">Proposta de valor em uma frase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2A2A2A"/>
                <w:sz w:val="20"/>
                <w:szCs w:val="20"/>
              </w:rPr>
              <w:t xml:space="preserve">Um canal de parceiros previsível e auditável que aumenta a venda de cotas sem comprometer a conformidade regulatória nem a reputação da Recon — hoje ausente do ranking de reclamações do BACEN.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2E5AAC"/>
          <w:sz w:val="24"/>
          <w:szCs w:val="24"/>
        </w:rPr>
        <w:t xml:space="preserve">Metas de referência (12 meses)</w:t>
      </w:r>
    </w:p>
    <w:tbl>
      <w:tblPr>
        <w:tblW w:type="dxa" w:w="9360"/>
        <w:tblBorders>
          <w:top w:val="single" w:color="D6DCE8" w:sz="2"/>
          <w:left w:val="none"/>
          <w:bottom w:val="single" w:color="D6DCE8" w:sz="2"/>
          <w:right w:val="none"/>
          <w:insideH w:val="single" w:color="E3E7F0" w:sz="2"/>
          <w:insideV w:val="none"/>
        </w:tblBorders>
      </w:tblPr>
      <w:tblGrid>
        <w:gridCol w:w="3300"/>
        <w:gridCol w:w="3030"/>
        <w:gridCol w:w="3030"/>
      </w:tblGrid>
      <w:tr>
        <w:trPr>
          <w:tblHeader/>
        </w:trPr>
        <w:tc>
          <w:tcPr>
            <w:tcW w:type="dxa" w:w="3300"/>
            <w:shd w:fill="1F2D5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Indicador</w:t>
            </w:r>
          </w:p>
        </w:tc>
        <w:tc>
          <w:tcPr>
            <w:tcW w:type="dxa" w:w="3030"/>
            <w:shd w:fill="1F2D5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Situação atual (base)</w:t>
            </w:r>
          </w:p>
        </w:tc>
        <w:tc>
          <w:tcPr>
            <w:tcW w:type="dxa" w:w="3030"/>
            <w:shd w:fill="1F2D5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Meta 12 meses</w:t>
            </w:r>
          </w:p>
        </w:tc>
      </w:tr>
      <w:tr>
        <w:tc>
          <w:tcPr>
            <w:tcW w:type="dxa" w:w="33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Parceiros ativos credenciados</w:t>
            </w:r>
          </w:p>
        </w:tc>
        <w:tc>
          <w:tcPr>
            <w:tcW w:type="dxa" w:w="303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&gt; 200 (rede difusa)</w:t>
            </w:r>
          </w:p>
        </w:tc>
        <w:tc>
          <w:tcPr>
            <w:tcW w:type="dxa" w:w="303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+150 novos, 100% no padrão</w:t>
            </w:r>
          </w:p>
        </w:tc>
      </w:tr>
      <w:tr>
        <w:tc>
          <w:tcPr>
            <w:tcW w:type="dxa" w:w="3300"/>
            <w:shd w:fill="F2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Cotas vendidas via canal / mês</w:t>
            </w:r>
          </w:p>
        </w:tc>
        <w:tc>
          <w:tcPr>
            <w:tcW w:type="dxa" w:w="3030"/>
            <w:shd w:fill="F2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Não segmentado</w:t>
            </w:r>
          </w:p>
        </w:tc>
        <w:tc>
          <w:tcPr>
            <w:tcW w:type="dxa" w:w="3030"/>
            <w:shd w:fill="F2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Crescimento de 25–40%</w:t>
            </w:r>
          </w:p>
        </w:tc>
      </w:tr>
      <w:tr>
        <w:tc>
          <w:tcPr>
            <w:tcW w:type="dxa" w:w="33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Tempo de onboarding do parceiro</w:t>
            </w:r>
          </w:p>
        </w:tc>
        <w:tc>
          <w:tcPr>
            <w:tcW w:type="dxa" w:w="303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Manual / variável</w:t>
            </w:r>
          </w:p>
        </w:tc>
        <w:tc>
          <w:tcPr>
            <w:tcW w:type="dxa" w:w="303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≤ 7 dias úteis</w:t>
            </w:r>
          </w:p>
        </w:tc>
      </w:tr>
      <w:tr>
        <w:tc>
          <w:tcPr>
            <w:tcW w:type="dxa" w:w="3300"/>
            <w:shd w:fill="F2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Índice de solução (Reclame Aqui)</w:t>
            </w:r>
          </w:p>
        </w:tc>
        <w:tc>
          <w:tcPr>
            <w:tcW w:type="dxa" w:w="3030"/>
            <w:shd w:fill="F2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75,8%</w:t>
            </w:r>
          </w:p>
        </w:tc>
        <w:tc>
          <w:tcPr>
            <w:tcW w:type="dxa" w:w="3030"/>
            <w:shd w:fill="F2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≥ 85%</w:t>
            </w:r>
          </w:p>
        </w:tc>
      </w:tr>
      <w:tr>
        <w:tc>
          <w:tcPr>
            <w:tcW w:type="dxa" w:w="33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Padronização documental do canal</w:t>
            </w:r>
          </w:p>
        </w:tc>
        <w:tc>
          <w:tcPr>
            <w:tcW w:type="dxa" w:w="303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Parcial</w:t>
            </w:r>
          </w:p>
        </w:tc>
        <w:tc>
          <w:tcPr>
            <w:tcW w:type="dxa" w:w="303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100% digital e rastreável</w:t>
            </w:r>
          </w:p>
        </w:tc>
      </w:tr>
    </w:tbl>
    <w:p>
      <w:pPr>
        <w:spacing w:after="40"/>
      </w:pPr>
      <w:r>
        <w:rPr>
          <w:rFonts w:ascii="Calibri" w:cs="Calibri" w:eastAsia="Calibri" w:hAnsi="Calibri"/>
        </w:rPr>
        <w:t xml:space="preserve"/>
      </w:r>
    </w:p>
    <w:p>
      <w:pPr>
        <w:spacing w:after="120" w:line="276"/>
        <w:jc w:val="both"/>
      </w:pPr>
      <w:r>
        <w:rPr>
          <w:rFonts w:ascii="Calibri" w:cs="Calibri" w:eastAsia="Calibri" w:hAnsi="Calibri"/>
          <w:b/>
          <w:bCs/>
          <w:color w:val="595959"/>
          <w:sz w:val="19"/>
          <w:szCs w:val="19"/>
        </w:rPr>
        <w:t xml:space="preserve">Nota: </w:t>
      </w: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as metas acima são referências de planejamento a serem calibradas com os dados internos da Recon na Fase 0 (Diagnóstico).</w:t>
      </w:r>
    </w:p>
    <w:p>
      <w:r>
        <w:br w:type="page"/>
      </w:r>
    </w:p>
    <w:p>
      <w:pPr>
        <w:pStyle w:val="Heading1"/>
        <w:pBdr>
          <w:bottom w:val="single" w:color="C79A3B" w:sz="12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2D5A"/>
          <w:sz w:val="30"/>
          <w:szCs w:val="30"/>
        </w:rPr>
        <w:t xml:space="preserve">2. Contexto e Diagnóstico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2E5AAC"/>
          <w:sz w:val="24"/>
          <w:szCs w:val="24"/>
        </w:rPr>
        <w:t xml:space="preserve">2.1. A instituição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 Recon opera as modalidades de Imóveis, Automóveis, Motocicletas e Serviços, com sede própria em São Sebastião do Paraíso (MG) e abrangência nacional. A empresa apoia-se em segregação patrimonial mandatória entre o patrimônio da administradora e os fundos dos grupos, submissão ao CDC, registro de contratos em cartório, autorização para gravames junto a órgãos de trânsito e estrutura de governança de dados (DPO nomeado, canais de SAC e Ouvidoria).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2E5AAC"/>
          <w:sz w:val="24"/>
          <w:szCs w:val="24"/>
        </w:rPr>
        <w:t xml:space="preserve">2.2. Por que um canal formal agora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 distribuição atual é ampla, porém heterogênea: cada parceiro opera com práticas, materiais e argumentos de venda distintos, o que aumenta o risco de desalinhamento de expectativas na ponta.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As queixas públicas concentram-se justamente em expectativas de prazo de contemplação geradas por intermediários na venda — um risco reputacional endereçável por padronização de canal.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 vedação regulatória à promessa de contemplação imediata exige controle rigoroso do discurso comercial de cada parceiro.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 ausência da Recon no ranking de reclamações do BACEN é um ativo reputacional que precisa ser protegido à medida que o canal escala.</w:t>
      </w:r>
    </w:p>
    <w:p>
      <w:pPr>
        <w:spacing w:after="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E5AAC" w:sz="24"/>
              <w:bottom w:val="none"/>
              <w:right w:val="none"/>
            </w:tcBorders>
            <w:shd w:fill="EEF2FB" w:color="auto" w:val="clear"/>
            <w:tcMar>
              <w:top w:type="dxa" w:w="130"/>
              <w:left w:type="dxa" w:w="180"/>
              <w:bottom w:type="dxa" w:w="13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2D5A"/>
                <w:sz w:val="20"/>
                <w:szCs w:val="20"/>
              </w:rPr>
              <w:t xml:space="preserve">Diagnóstico-síntese</w:t>
            </w:r>
          </w:p>
          <w:p>
            <w:p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color w:val="1F2D5A"/>
                <w:sz w:val="20"/>
                <w:szCs w:val="20"/>
              </w:rPr>
              <w:t xml:space="preserve">Oportunidade: </w:t>
            </w:r>
            <w:r>
              <w:rPr>
                <w:rFonts w:ascii="Calibri" w:cs="Calibri" w:eastAsia="Calibri" w:hAnsi="Calibri"/>
                <w:color w:val="2A2A2A"/>
                <w:sz w:val="20"/>
                <w:szCs w:val="20"/>
              </w:rPr>
              <w:t xml:space="preserve">escalar a distribuição multiplicando parceiros credenciados.</w:t>
            </w:r>
          </w:p>
          <w:p>
            <w:p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color w:val="1F2D5A"/>
                <w:sz w:val="20"/>
                <w:szCs w:val="20"/>
              </w:rPr>
              <w:t xml:space="preserve">Restrição: </w:t>
            </w:r>
            <w:r>
              <w:rPr>
                <w:rFonts w:ascii="Calibri" w:cs="Calibri" w:eastAsia="Calibri" w:hAnsi="Calibri"/>
                <w:color w:val="2A2A2A"/>
                <w:sz w:val="20"/>
                <w:szCs w:val="20"/>
              </w:rPr>
              <w:t xml:space="preserve">crescer sem diluir a conformidade e a reputação.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F2D5A"/>
                <w:sz w:val="20"/>
                <w:szCs w:val="20"/>
              </w:rPr>
              <w:t xml:space="preserve">Resposta: </w:t>
            </w:r>
            <w:r>
              <w:rPr>
                <w:rFonts w:ascii="Calibri" w:cs="Calibri" w:eastAsia="Calibri" w:hAnsi="Calibri"/>
                <w:color w:val="2A2A2A"/>
                <w:sz w:val="20"/>
                <w:szCs w:val="20"/>
              </w:rPr>
              <w:t xml:space="preserve">um canal padronizado, tecnológico e auditável — o objeto deste projeto.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79A3B" w:sz="12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2D5A"/>
          <w:sz w:val="30"/>
          <w:szCs w:val="30"/>
        </w:rPr>
        <w:t xml:space="preserve">3. Objetivos do Projeto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2E5AAC"/>
          <w:sz w:val="24"/>
          <w:szCs w:val="24"/>
        </w:rPr>
        <w:t xml:space="preserve">3.1. Objetivo geral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Estruturar, implantar e operar um Canal de Parceria nacional para a Recon, padronizando o credenciamento, a remuneração, o treinamento e a governança dos parceiros comerciais, de forma a ampliar a venda de cotas com plena aderência regulatória e preservação da reputação da marca.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2E5AAC"/>
          <w:sz w:val="24"/>
          <w:szCs w:val="24"/>
        </w:rPr>
        <w:t xml:space="preserve">3.2. Objetivos específicos (SMART)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Definir a arquitetura do canal (tipos de parceiro e níveis de parceria) em até 30 dias.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Publicar a política de comissionamento e o manual do parceiro em até 45 dias.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Implantar a esteira digital de credenciamento e gestão de parceiros em até 90 dias.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Credenciar e ativar os primeiros 50 parceiros no novo padrão em até 120 dias.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Atingir 100% de rastreabilidade documental e de comissões do canal ao final do 6º mês.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2E5AAC"/>
          <w:sz w:val="24"/>
          <w:szCs w:val="24"/>
        </w:rPr>
        <w:t xml:space="preserve">3.3. Fora de escopo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Alteração de regras de produto, taxas de administração ou regulamentos de grupo (competência exclusiva da Recon).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Atividades privativas da administradora perante o BACEN, cuja titularidade permanece integralmente com a Recon.</w:t>
      </w:r>
    </w:p>
    <w:p>
      <w:r>
        <w:br w:type="page"/>
      </w:r>
    </w:p>
    <w:p>
      <w:pPr>
        <w:pStyle w:val="Heading1"/>
        <w:pBdr>
          <w:bottom w:val="single" w:color="C79A3B" w:sz="12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2D5A"/>
          <w:sz w:val="30"/>
          <w:szCs w:val="30"/>
        </w:rPr>
        <w:t xml:space="preserve">4. Modelo do Canal de Parceria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2E5AAC"/>
          <w:sz w:val="24"/>
          <w:szCs w:val="24"/>
        </w:rPr>
        <w:t xml:space="preserve">4.1. Tipologia de parceiros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O canal é organizado por perfis de parceiro, cada um com fluxo de venda, materiais e alçadas próprias, aproveitando as modalidades existentes da Recon (Imóveis, Automóveis, Motos e Serviços).</w:t>
      </w:r>
    </w:p>
    <w:tbl>
      <w:tblPr>
        <w:tblW w:type="dxa" w:w="9360"/>
        <w:tblBorders>
          <w:top w:val="single" w:color="D6DCE8" w:sz="2"/>
          <w:left w:val="none"/>
          <w:bottom w:val="single" w:color="D6DCE8" w:sz="2"/>
          <w:right w:val="none"/>
          <w:insideH w:val="single" w:color="E3E7F0" w:sz="2"/>
          <w:insideV w:val="none"/>
        </w:tblBorders>
      </w:tblPr>
      <w:tblGrid>
        <w:gridCol w:w="3120"/>
        <w:gridCol w:w="2760"/>
        <w:gridCol w:w="3480"/>
      </w:tblGrid>
      <w:tr>
        <w:trPr>
          <w:tblHeader/>
        </w:trPr>
        <w:tc>
          <w:tcPr>
            <w:tcW w:type="dxa" w:w="3120"/>
            <w:shd w:fill="1F2D5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Perfil de parceiro</w:t>
            </w:r>
          </w:p>
        </w:tc>
        <w:tc>
          <w:tcPr>
            <w:tcW w:type="dxa" w:w="2760"/>
            <w:shd w:fill="1F2D5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Modalidades-foco</w:t>
            </w:r>
          </w:p>
        </w:tc>
        <w:tc>
          <w:tcPr>
            <w:tcW w:type="dxa" w:w="3480"/>
            <w:shd w:fill="1F2D5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Papel no canal</w:t>
            </w:r>
          </w:p>
        </w:tc>
      </w:tr>
      <w:tr>
        <w:tc>
          <w:tcPr>
            <w:tcW w:type="dxa" w:w="312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Concessionárias e revendas</w:t>
            </w:r>
          </w:p>
        </w:tc>
        <w:tc>
          <w:tcPr>
            <w:tcW w:type="dxa" w:w="27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Automóveis, Motos</w:t>
            </w:r>
          </w:p>
        </w:tc>
        <w:tc>
          <w:tcPr>
            <w:tcW w:type="dxa" w:w="348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Oferta no ponto de venda do bem</w:t>
            </w:r>
          </w:p>
        </w:tc>
      </w:tr>
      <w:tr>
        <w:tc>
          <w:tcPr>
            <w:tcW w:type="dxa" w:w="3120"/>
            <w:shd w:fill="F2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Corretoras e imobiliárias</w:t>
            </w:r>
          </w:p>
        </w:tc>
        <w:tc>
          <w:tcPr>
            <w:tcW w:type="dxa" w:w="2760"/>
            <w:shd w:fill="F2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Imóveis</w:t>
            </w:r>
          </w:p>
        </w:tc>
        <w:tc>
          <w:tcPr>
            <w:tcW w:type="dxa" w:w="3480"/>
            <w:shd w:fill="F2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Planejamento patrimonial e crédito imobiliário</w:t>
            </w:r>
          </w:p>
        </w:tc>
      </w:tr>
      <w:tr>
        <w:tc>
          <w:tcPr>
            <w:tcW w:type="dxa" w:w="312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Correspondentes / PAP</w:t>
            </w:r>
          </w:p>
        </w:tc>
        <w:tc>
          <w:tcPr>
            <w:tcW w:type="dxa" w:w="27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Todas</w:t>
            </w:r>
          </w:p>
        </w:tc>
        <w:tc>
          <w:tcPr>
            <w:tcW w:type="dxa" w:w="348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Prospecção e venda em campo</w:t>
            </w:r>
          </w:p>
        </w:tc>
      </w:tr>
      <w:tr>
        <w:tc>
          <w:tcPr>
            <w:tcW w:type="dxa" w:w="3120"/>
            <w:shd w:fill="F2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Varejo e redes</w:t>
            </w:r>
          </w:p>
        </w:tc>
        <w:tc>
          <w:tcPr>
            <w:tcW w:type="dxa" w:w="2760"/>
            <w:shd w:fill="F2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Serviços, Motos</w:t>
            </w:r>
          </w:p>
        </w:tc>
        <w:tc>
          <w:tcPr>
            <w:tcW w:type="dxa" w:w="3480"/>
            <w:shd w:fill="F2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Venda no fluxo de loja e crediário</w:t>
            </w:r>
          </w:p>
        </w:tc>
      </w:tr>
      <w:tr>
        <w:tc>
          <w:tcPr>
            <w:tcW w:type="dxa" w:w="312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Contadores e consultores</w:t>
            </w:r>
          </w:p>
        </w:tc>
        <w:tc>
          <w:tcPr>
            <w:tcW w:type="dxa" w:w="27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Imóveis, Serviços</w:t>
            </w:r>
          </w:p>
        </w:tc>
        <w:tc>
          <w:tcPr>
            <w:tcW w:type="dxa" w:w="348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Indicação qualificada de carteira</w:t>
            </w:r>
          </w:p>
        </w:tc>
      </w:tr>
      <w:tr>
        <w:tc>
          <w:tcPr>
            <w:tcW w:type="dxa" w:w="3120"/>
            <w:shd w:fill="F2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Produtores e afiliados digitais</w:t>
            </w:r>
          </w:p>
        </w:tc>
        <w:tc>
          <w:tcPr>
            <w:tcW w:type="dxa" w:w="2760"/>
            <w:shd w:fill="F2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Todas</w:t>
            </w:r>
          </w:p>
        </w:tc>
        <w:tc>
          <w:tcPr>
            <w:tcW w:type="dxa" w:w="3480"/>
            <w:shd w:fill="F2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Geração de leads e venda online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2E5AAC"/>
          <w:sz w:val="24"/>
          <w:szCs w:val="24"/>
        </w:rPr>
        <w:t xml:space="preserve">4.2. Níveis de parceria (tiers)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 progressão por níveis recompensa desempenho e conformidade, criando incentivo à qualidade — não apenas ao volume.</w:t>
      </w:r>
    </w:p>
    <w:tbl>
      <w:tblPr>
        <w:tblW w:type="dxa" w:w="9360"/>
        <w:tblBorders>
          <w:top w:val="single" w:color="D6DCE8" w:sz="2"/>
          <w:left w:val="none"/>
          <w:bottom w:val="single" w:color="D6DCE8" w:sz="2"/>
          <w:right w:val="none"/>
          <w:insideH w:val="single" w:color="E3E7F0" w:sz="2"/>
          <w:insideV w:val="none"/>
        </w:tblBorders>
      </w:tblPr>
      <w:tblGrid>
        <w:gridCol w:w="1560"/>
        <w:gridCol w:w="3180"/>
        <w:gridCol w:w="3060"/>
        <w:gridCol w:w="1560"/>
      </w:tblGrid>
      <w:tr>
        <w:trPr>
          <w:tblHeader/>
        </w:trPr>
        <w:tc>
          <w:tcPr>
            <w:tcW w:type="dxa" w:w="1560"/>
            <w:shd w:fill="1F2D5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Nível</w:t>
            </w:r>
          </w:p>
        </w:tc>
        <w:tc>
          <w:tcPr>
            <w:tcW w:type="dxa" w:w="3180"/>
            <w:shd w:fill="1F2D5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Critério de acesso</w:t>
            </w:r>
          </w:p>
        </w:tc>
        <w:tc>
          <w:tcPr>
            <w:tcW w:type="dxa" w:w="3060"/>
            <w:shd w:fill="1F2D5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Benefícios</w:t>
            </w:r>
          </w:p>
        </w:tc>
        <w:tc>
          <w:tcPr>
            <w:tcW w:type="dxa" w:w="1560"/>
            <w:shd w:fill="1F2D5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Comissão base*</w:t>
            </w:r>
          </w:p>
        </w:tc>
      </w:tr>
      <w:tr>
        <w:tc>
          <w:tcPr>
            <w:tcW w:type="dxa" w:w="15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Autorizado</w:t>
            </w:r>
          </w:p>
        </w:tc>
        <w:tc>
          <w:tcPr>
            <w:tcW w:type="dxa" w:w="318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Credenciamento aprovado</w:t>
            </w:r>
          </w:p>
        </w:tc>
        <w:tc>
          <w:tcPr>
            <w:tcW w:type="dxa" w:w="30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Acesso ao portal, materiais e treinamento</w:t>
            </w:r>
          </w:p>
        </w:tc>
        <w:tc>
          <w:tcPr>
            <w:tcW w:type="dxa" w:w="15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Base</w:t>
            </w:r>
          </w:p>
        </w:tc>
      </w:tr>
      <w:tr>
        <w:tc>
          <w:tcPr>
            <w:tcW w:type="dxa" w:w="1560"/>
            <w:shd w:fill="F2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Prata</w:t>
            </w:r>
          </w:p>
        </w:tc>
        <w:tc>
          <w:tcPr>
            <w:tcW w:type="dxa" w:w="3180"/>
            <w:shd w:fill="F2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Meta trimestral + 0 pendência de compliance</w:t>
            </w:r>
          </w:p>
        </w:tc>
        <w:tc>
          <w:tcPr>
            <w:tcW w:type="dxa" w:w="3060"/>
            <w:shd w:fill="F2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Leads compartilhados, prioridade de suporte</w:t>
            </w:r>
          </w:p>
        </w:tc>
        <w:tc>
          <w:tcPr>
            <w:tcW w:type="dxa" w:w="1560"/>
            <w:shd w:fill="F2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Base + bônus</w:t>
            </w:r>
          </w:p>
        </w:tc>
      </w:tr>
      <w:tr>
        <w:tc>
          <w:tcPr>
            <w:tcW w:type="dxa" w:w="15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Ouro</w:t>
            </w:r>
          </w:p>
        </w:tc>
        <w:tc>
          <w:tcPr>
            <w:tcW w:type="dxa" w:w="318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Volume sustentado + índice de qualidade</w:t>
            </w:r>
          </w:p>
        </w:tc>
        <w:tc>
          <w:tcPr>
            <w:tcW w:type="dxa" w:w="30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Campanhas co-branded, gerente dedicado</w:t>
            </w:r>
          </w:p>
        </w:tc>
        <w:tc>
          <w:tcPr>
            <w:tcW w:type="dxa" w:w="15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Base + bônus maior</w:t>
            </w:r>
          </w:p>
        </w:tc>
      </w:tr>
      <w:tr>
        <w:tc>
          <w:tcPr>
            <w:tcW w:type="dxa" w:w="1560"/>
            <w:shd w:fill="F2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Diamante</w:t>
            </w:r>
          </w:p>
        </w:tc>
        <w:tc>
          <w:tcPr>
            <w:tcW w:type="dxa" w:w="3180"/>
            <w:shd w:fill="F2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Top performance + reputação impecável</w:t>
            </w:r>
          </w:p>
        </w:tc>
        <w:tc>
          <w:tcPr>
            <w:tcW w:type="dxa" w:w="3060"/>
            <w:shd w:fill="F2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Condições exclusivas, participação em incentivos</w:t>
            </w:r>
          </w:p>
        </w:tc>
        <w:tc>
          <w:tcPr>
            <w:tcW w:type="dxa" w:w="1560"/>
            <w:shd w:fill="F2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Máxima</w:t>
            </w:r>
          </w:p>
        </w:tc>
      </w:tr>
    </w:tbl>
    <w:p>
      <w:pPr>
        <w:spacing w:after="30"/>
      </w:pPr>
      <w:r>
        <w:rPr>
          <w:rFonts w:ascii="Calibri" w:cs="Calibri" w:eastAsia="Calibri" w:hAnsi="Calibri"/>
        </w:rPr>
        <w:t xml:space="preserve"/>
      </w:r>
    </w:p>
    <w:p>
      <w:pPr>
        <w:spacing w:after="120" w:line="276"/>
        <w:jc w:val="both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* Percentuais efetivos definidos na Fase 1 e homologados pela Recon; ver Seção 5.</w:t>
      </w:r>
    </w:p>
    <w:p>
      <w:r>
        <w:br w:type="page"/>
      </w:r>
    </w:p>
    <w:p>
      <w:pPr>
        <w:pStyle w:val="Heading1"/>
        <w:pBdr>
          <w:bottom w:val="single" w:color="C79A3B" w:sz="12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2D5A"/>
          <w:sz w:val="30"/>
          <w:szCs w:val="30"/>
        </w:rPr>
        <w:t xml:space="preserve">5. Modelo de Remuneração e Comissionamento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 remuneração do canal deve equilibrar atratividade para o parceiro, sustentabilidade para a administradora e total conformidade — nunca vinculando pagamento a qualquer promessa de contemplação. O comissionamento é calculado sobre a adesão efetivada e escalonado por desempenho e permanência.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2E5AAC"/>
          <w:sz w:val="24"/>
          <w:szCs w:val="24"/>
        </w:rPr>
        <w:t xml:space="preserve">5.1. Estrutura de comissões</w:t>
      </w:r>
    </w:p>
    <w:tbl>
      <w:tblPr>
        <w:tblW w:type="dxa" w:w="9360"/>
        <w:tblBorders>
          <w:top w:val="single" w:color="D6DCE8" w:sz="2"/>
          <w:left w:val="none"/>
          <w:bottom w:val="single" w:color="D6DCE8" w:sz="2"/>
          <w:right w:val="none"/>
          <w:insideH w:val="single" w:color="E3E7F0" w:sz="2"/>
          <w:insideV w:val="none"/>
        </w:tblBorders>
      </w:tblPr>
      <w:tblGrid>
        <w:gridCol w:w="2640"/>
        <w:gridCol w:w="3360"/>
        <w:gridCol w:w="3360"/>
      </w:tblGrid>
      <w:tr>
        <w:trPr>
          <w:tblHeader/>
        </w:trPr>
        <w:tc>
          <w:tcPr>
            <w:tcW w:type="dxa" w:w="2640"/>
            <w:shd w:fill="1F2D5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Componente</w:t>
            </w:r>
          </w:p>
        </w:tc>
        <w:tc>
          <w:tcPr>
            <w:tcW w:type="dxa" w:w="3360"/>
            <w:shd w:fill="1F2D5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Base de cálculo</w:t>
            </w:r>
          </w:p>
        </w:tc>
        <w:tc>
          <w:tcPr>
            <w:tcW w:type="dxa" w:w="3360"/>
            <w:shd w:fill="1F2D5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Racional</w:t>
            </w:r>
          </w:p>
        </w:tc>
      </w:tr>
      <w:tr>
        <w:tc>
          <w:tcPr>
            <w:tcW w:type="dxa" w:w="264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Comissão de adesão</w:t>
            </w:r>
          </w:p>
        </w:tc>
        <w:tc>
          <w:tcPr>
            <w:tcW w:type="dxa" w:w="33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% sobre a taxa de administração da cota vendida</w:t>
            </w:r>
          </w:p>
        </w:tc>
        <w:tc>
          <w:tcPr>
            <w:tcW w:type="dxa" w:w="33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Remunera a venda no ato do credenciamento da cota</w:t>
            </w:r>
          </w:p>
        </w:tc>
      </w:tr>
      <w:tr>
        <w:tc>
          <w:tcPr>
            <w:tcW w:type="dxa" w:w="2640"/>
            <w:shd w:fill="F2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Bônus por nível (tier)</w:t>
            </w:r>
          </w:p>
        </w:tc>
        <w:tc>
          <w:tcPr>
            <w:tcW w:type="dxa" w:w="3360"/>
            <w:shd w:fill="F2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Adicional conforme Prata/Ouro/Diamante</w:t>
            </w:r>
          </w:p>
        </w:tc>
        <w:tc>
          <w:tcPr>
            <w:tcW w:type="dxa" w:w="3360"/>
            <w:shd w:fill="F2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Recompensa performance e qualidade</w:t>
            </w:r>
          </w:p>
        </w:tc>
      </w:tr>
      <w:tr>
        <w:tc>
          <w:tcPr>
            <w:tcW w:type="dxa" w:w="264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Bônus de permanência</w:t>
            </w:r>
          </w:p>
        </w:tc>
        <w:tc>
          <w:tcPr>
            <w:tcW w:type="dxa" w:w="33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Vinculado à adimplência da carteira indicada</w:t>
            </w:r>
          </w:p>
        </w:tc>
        <w:tc>
          <w:tcPr>
            <w:tcW w:type="dxa" w:w="33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Alinha o parceiro à retenção, não só à venda</w:t>
            </w:r>
          </w:p>
        </w:tc>
      </w:tr>
      <w:tr>
        <w:tc>
          <w:tcPr>
            <w:tcW w:type="dxa" w:w="2640"/>
            <w:shd w:fill="F2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Campanhas de aceleração</w:t>
            </w:r>
          </w:p>
        </w:tc>
        <w:tc>
          <w:tcPr>
            <w:tcW w:type="dxa" w:w="3360"/>
            <w:shd w:fill="F2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Incentivos por meta e sazonalidade</w:t>
            </w:r>
          </w:p>
        </w:tc>
        <w:tc>
          <w:tcPr>
            <w:tcW w:type="dxa" w:w="3360"/>
            <w:shd w:fill="F2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Impulsiona modalidades e períodos estratégicos</w:t>
            </w:r>
          </w:p>
        </w:tc>
      </w:tr>
    </w:tbl>
    <w:p>
      <w:pPr>
        <w:spacing w:after="5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2E5AAC"/>
          <w:sz w:val="24"/>
          <w:szCs w:val="24"/>
        </w:rPr>
        <w:t xml:space="preserve">5.2. Modelo de exemplo (ilustrativo)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E5AAC" w:sz="24"/>
              <w:bottom w:val="none"/>
              <w:right w:val="none"/>
            </w:tcBorders>
            <w:shd w:fill="EEF2FB" w:color="auto" w:val="clear"/>
            <w:tcMar>
              <w:top w:type="dxa" w:w="130"/>
              <w:left w:type="dxa" w:w="180"/>
              <w:bottom w:type="dxa" w:w="13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2D5A"/>
                <w:sz w:val="20"/>
                <w:szCs w:val="20"/>
              </w:rPr>
              <w:t xml:space="preserve">Exemplo de cálculo — não vinculante</w:t>
            </w:r>
          </w:p>
          <w:p>
            <w:pPr>
              <w:spacing w:after="60" w:line="264"/>
            </w:pPr>
            <w:r>
              <w:rPr>
                <w:rFonts w:ascii="Calibri" w:cs="Calibri" w:eastAsia="Calibri" w:hAnsi="Calibri"/>
                <w:color w:val="2A2A2A"/>
                <w:sz w:val="20"/>
                <w:szCs w:val="20"/>
              </w:rPr>
              <w:t xml:space="preserve">Cota de automóvel vendida por parceiro nível Ouro; comissão de adesão de referência escalonada + bônus de permanência liberado após a 3ª parcela adimplente da carteira indicada.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F2D5A"/>
                <w:sz w:val="20"/>
                <w:szCs w:val="20"/>
              </w:rPr>
              <w:t xml:space="preserve">Regra de ouro: </w:t>
            </w:r>
            <w:r>
              <w:rPr>
                <w:rFonts w:ascii="Calibri" w:cs="Calibri" w:eastAsia="Calibri" w:hAnsi="Calibri"/>
                <w:color w:val="2A2A2A"/>
                <w:sz w:val="20"/>
                <w:szCs w:val="20"/>
              </w:rPr>
              <w:t xml:space="preserve">comissão só é devida sobre adesão regular; nenhum pagamento pode ser condicionado a promessa de contemplação, sob pena de infração regulatória.</w:t>
            </w:r>
          </w:p>
        </w:tc>
      </w:tr>
    </w:tbl>
    <w:p>
      <w:pPr>
        <w:spacing w:after="5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2E5AAC"/>
          <w:sz w:val="24"/>
          <w:szCs w:val="24"/>
        </w:rPr>
        <w:t xml:space="preserve">5.3. Ciclo de pagamento e transparência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Apuração automática no portal, com extrato de comissões por parceiro e por cota.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Regras de estorno (clawback) para adesões canceladas dentro do prazo de arrependimento ou inadimplência precoce.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Emissão fiscal e conciliação integradas ao ERP financeiro da Recon.</w:t>
      </w:r>
    </w:p>
    <w:p>
      <w:r>
        <w:br w:type="page"/>
      </w:r>
    </w:p>
    <w:p>
      <w:pPr>
        <w:pStyle w:val="Heading1"/>
        <w:pBdr>
          <w:bottom w:val="single" w:color="C79A3B" w:sz="12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2D5A"/>
          <w:sz w:val="30"/>
          <w:szCs w:val="30"/>
        </w:rPr>
        <w:t xml:space="preserve">6. Jornada de Onboarding do Parceiro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O credenciamento é 100% digital, com meta de ativação em até 7 dias úteis. Cada etapa combina eficiência comercial com controle de risco e conformidade.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rFonts w:ascii="Calibri" w:cs="Calibri" w:eastAsia="Calibri" w:hAnsi="Calibri"/>
          <w:b/>
          <w:bCs/>
          <w:color w:val="1F2D5A"/>
          <w:sz w:val="21"/>
          <w:szCs w:val="21"/>
        </w:rPr>
        <w:t xml:space="preserve">Cadastro e proposta de parceria —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formulário digital com dados da empresa/pessoa e perfil de atuação.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rFonts w:ascii="Calibri" w:cs="Calibri" w:eastAsia="Calibri" w:hAnsi="Calibri"/>
          <w:b/>
          <w:bCs/>
          <w:color w:val="1F2D5A"/>
          <w:sz w:val="21"/>
          <w:szCs w:val="21"/>
        </w:rPr>
        <w:t xml:space="preserve">Due diligence e compliance —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verificação cadastral, consulta a listas restritivas e validação de idoneidade.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rFonts w:ascii="Calibri" w:cs="Calibri" w:eastAsia="Calibri" w:hAnsi="Calibri"/>
          <w:b/>
          <w:bCs/>
          <w:color w:val="1F2D5A"/>
          <w:sz w:val="21"/>
          <w:szCs w:val="21"/>
        </w:rPr>
        <w:t xml:space="preserve">Assinatura do contrato de parceria —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via assinatura eletrônica, com anexos de política comercial e código de conduta.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rFonts w:ascii="Calibri" w:cs="Calibri" w:eastAsia="Calibri" w:hAnsi="Calibri"/>
          <w:b/>
          <w:bCs/>
          <w:color w:val="1F2D5A"/>
          <w:sz w:val="21"/>
          <w:szCs w:val="21"/>
        </w:rPr>
        <w:t xml:space="preserve">Treinamento e certificação —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trilha obrigatória sobre produto, regras regulatórias e discurso de venda permitido.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rFonts w:ascii="Calibri" w:cs="Calibri" w:eastAsia="Calibri" w:hAnsi="Calibri"/>
          <w:b/>
          <w:bCs/>
          <w:color w:val="1F2D5A"/>
          <w:sz w:val="21"/>
          <w:szCs w:val="21"/>
        </w:rPr>
        <w:t xml:space="preserve">Habilitação no portal —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acesso a materiais aprovados, simuladores e esteira de propostas.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rFonts w:ascii="Calibri" w:cs="Calibri" w:eastAsia="Calibri" w:hAnsi="Calibri"/>
          <w:b/>
          <w:bCs/>
          <w:color w:val="1F2D5A"/>
          <w:sz w:val="21"/>
          <w:szCs w:val="21"/>
        </w:rPr>
        <w:t xml:space="preserve">Ativação e acompanhamento —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primeiras vendas assistidas e revisão de qualidade nos 30 dias iniciais.</w:t>
      </w:r>
    </w:p>
    <w:p>
      <w:pPr>
        <w:spacing w:after="5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C79A3B" w:sz="24"/>
              <w:bottom w:val="none"/>
              <w:right w:val="none"/>
            </w:tcBorders>
            <w:shd w:fill="FBF6E9" w:color="auto" w:val="clear"/>
            <w:tcMar>
              <w:top w:type="dxa" w:w="130"/>
              <w:left w:type="dxa" w:w="180"/>
              <w:bottom w:type="dxa" w:w="13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2D5A"/>
                <w:sz w:val="20"/>
                <w:szCs w:val="20"/>
              </w:rPr>
              <w:t xml:space="preserve">Certificação obrigatória de discurso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2A2A2A"/>
                <w:sz w:val="20"/>
                <w:szCs w:val="20"/>
              </w:rPr>
              <w:t xml:space="preserve">Nenhum parceiro é habilitado a vender sem concluir o módulo que veda promessa de contemplação imediata e padroniza a explicação de sorteio, lance e prazos — a principal causa de queixas do setor.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79A3B" w:sz="12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2D5A"/>
          <w:sz w:val="30"/>
          <w:szCs w:val="30"/>
        </w:rPr>
        <w:t xml:space="preserve">7. Estrutura Operacional e Tecnológica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2E5AAC"/>
          <w:sz w:val="24"/>
          <w:szCs w:val="24"/>
        </w:rPr>
        <w:t xml:space="preserve">7.1. Portal do Parceiro (PRM)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Plataforma central de gestão do relacionamento com parceiros (Partner Relationship Management), integrada aos sistemas da Recon.</w:t>
      </w:r>
    </w:p>
    <w:tbl>
      <w:tblPr>
        <w:tblW w:type="dxa" w:w="9360"/>
        <w:tblBorders>
          <w:top w:val="single" w:color="D6DCE8" w:sz="2"/>
          <w:left w:val="none"/>
          <w:bottom w:val="single" w:color="D6DCE8" w:sz="2"/>
          <w:right w:val="none"/>
          <w:insideH w:val="single" w:color="E3E7F0" w:sz="2"/>
          <w:insideV w:val="none"/>
        </w:tblBorders>
      </w:tblPr>
      <w:tblGrid>
        <w:gridCol w:w="2760"/>
        <w:gridCol w:w="6600"/>
      </w:tblGrid>
      <w:tr>
        <w:trPr>
          <w:tblHeader/>
        </w:trPr>
        <w:tc>
          <w:tcPr>
            <w:tcW w:type="dxa" w:w="2760"/>
            <w:shd w:fill="1F2D5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Módulo</w:t>
            </w:r>
          </w:p>
        </w:tc>
        <w:tc>
          <w:tcPr>
            <w:tcW w:type="dxa" w:w="6600"/>
            <w:shd w:fill="1F2D5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Função</w:t>
            </w:r>
          </w:p>
        </w:tc>
      </w:tr>
      <w:tr>
        <w:tc>
          <w:tcPr>
            <w:tcW w:type="dxa" w:w="27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Credenciamento</w:t>
            </w:r>
          </w:p>
        </w:tc>
        <w:tc>
          <w:tcPr>
            <w:tcW w:type="dxa" w:w="6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Cadastro, due diligence, contrato e certificação digital</w:t>
            </w:r>
          </w:p>
        </w:tc>
      </w:tr>
      <w:tr>
        <w:tc>
          <w:tcPr>
            <w:tcW w:type="dxa" w:w="2760"/>
            <w:shd w:fill="F2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Catálogo &amp; simuladores</w:t>
            </w:r>
          </w:p>
        </w:tc>
        <w:tc>
          <w:tcPr>
            <w:tcW w:type="dxa" w:w="6600"/>
            <w:shd w:fill="F2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Materiais aprovados, tabelas de planos e simulação de parcelas</w:t>
            </w:r>
          </w:p>
        </w:tc>
      </w:tr>
      <w:tr>
        <w:tc>
          <w:tcPr>
            <w:tcW w:type="dxa" w:w="27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Esteira de propostas</w:t>
            </w:r>
          </w:p>
        </w:tc>
        <w:tc>
          <w:tcPr>
            <w:tcW w:type="dxa" w:w="6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Registro de adesões, status e integração com o CRM da Recon</w:t>
            </w:r>
          </w:p>
        </w:tc>
      </w:tr>
      <w:tr>
        <w:tc>
          <w:tcPr>
            <w:tcW w:type="dxa" w:w="2760"/>
            <w:shd w:fill="F2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Comissões</w:t>
            </w:r>
          </w:p>
        </w:tc>
        <w:tc>
          <w:tcPr>
            <w:tcW w:type="dxa" w:w="6600"/>
            <w:shd w:fill="F2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Apuração, extrato, estornos e conciliação fiscal</w:t>
            </w:r>
          </w:p>
        </w:tc>
      </w:tr>
      <w:tr>
        <w:tc>
          <w:tcPr>
            <w:tcW w:type="dxa" w:w="27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Treinamento (LMS)</w:t>
            </w:r>
          </w:p>
        </w:tc>
        <w:tc>
          <w:tcPr>
            <w:tcW w:type="dxa" w:w="6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Trilhas, avaliações e recertificação periódica</w:t>
            </w:r>
          </w:p>
        </w:tc>
      </w:tr>
      <w:tr>
        <w:tc>
          <w:tcPr>
            <w:tcW w:type="dxa" w:w="2760"/>
            <w:shd w:fill="F2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BI &amp; dashboards</w:t>
            </w:r>
          </w:p>
        </w:tc>
        <w:tc>
          <w:tcPr>
            <w:tcW w:type="dxa" w:w="6600"/>
            <w:shd w:fill="F2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Desempenho por parceiro, modalidade, região e qualidade</w:t>
            </w:r>
          </w:p>
        </w:tc>
      </w:tr>
    </w:tbl>
    <w:p>
      <w:pPr>
        <w:spacing w:after="5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2E5AAC"/>
          <w:sz w:val="24"/>
          <w:szCs w:val="24"/>
        </w:rPr>
        <w:t xml:space="preserve">7.2. Integrações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CRM / ERP da Recon para propostas, faturamento e conciliação de comissões.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Assinatura eletrônica e cofre documental para contratos e anexos.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Serviços antifraude/KYC e consulta a listas restritivas no credenciamento.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Trilhas de auditoria e logs para atender BACEN, CDC e LGPD.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2E5AAC"/>
          <w:sz w:val="24"/>
          <w:szCs w:val="24"/>
        </w:rPr>
        <w:t xml:space="preserve">7.3. Estrutura de suporte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Central de suporte ao parceiro (SLA por nível de tier).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Gestores de canal regionais para parceiros Ouro e Diamante.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Base de conhecimento e FAQ com respostas padronizadas e conformes.</w:t>
      </w:r>
    </w:p>
    <w:p>
      <w:r>
        <w:br w:type="page"/>
      </w:r>
    </w:p>
    <w:p>
      <w:pPr>
        <w:pStyle w:val="Heading1"/>
        <w:pBdr>
          <w:bottom w:val="single" w:color="C79A3B" w:sz="12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2D5A"/>
          <w:sz w:val="30"/>
          <w:szCs w:val="30"/>
        </w:rPr>
        <w:t xml:space="preserve">8. Governança, Compliance e Regulação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 conformidade é o alicerce do canal. Todo o desenho preserva as competências privativas da administradora e blinda a Recon contra riscos regulatórios e reputacionais.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2E5AAC"/>
          <w:sz w:val="24"/>
          <w:szCs w:val="24"/>
        </w:rPr>
        <w:t xml:space="preserve">8.1. Marcos regulatórios observados</w:t>
      </w:r>
    </w:p>
    <w:tbl>
      <w:tblPr>
        <w:tblW w:type="dxa" w:w="9360"/>
        <w:tblBorders>
          <w:top w:val="single" w:color="D6DCE8" w:sz="2"/>
          <w:left w:val="none"/>
          <w:bottom w:val="single" w:color="D6DCE8" w:sz="2"/>
          <w:right w:val="none"/>
          <w:insideH w:val="single" w:color="E3E7F0" w:sz="2"/>
          <w:insideV w:val="none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shd w:fill="1F2D5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Norma / marco</w:t>
            </w:r>
          </w:p>
        </w:tc>
        <w:tc>
          <w:tcPr>
            <w:tcW w:type="dxa" w:w="6240"/>
            <w:shd w:fill="1F2D5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Implicação para o canal</w:t>
            </w:r>
          </w:p>
        </w:tc>
      </w:tr>
      <w:tr>
        <w:tc>
          <w:tcPr>
            <w:tcW w:type="dxa" w:w="312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Lei nº 11.795/2008</w:t>
            </w:r>
          </w:p>
        </w:tc>
        <w:tc>
          <w:tcPr>
            <w:tcW w:type="dxa" w:w="624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Segregação patrimonial e regras do sistema de consórcios preservadas</w:t>
            </w:r>
          </w:p>
        </w:tc>
      </w:tr>
      <w:tr>
        <w:tc>
          <w:tcPr>
            <w:tcW w:type="dxa" w:w="3120"/>
            <w:shd w:fill="F2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Circular BACEN nº 3.432/2009</w:t>
            </w:r>
          </w:p>
        </w:tc>
        <w:tc>
          <w:tcPr>
            <w:tcW w:type="dxa" w:w="6240"/>
            <w:shd w:fill="F2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Procedimentos operacionais aderentes à normatização</w:t>
            </w:r>
          </w:p>
        </w:tc>
      </w:tr>
      <w:tr>
        <w:tc>
          <w:tcPr>
            <w:tcW w:type="dxa" w:w="312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Vedação à contemplação prometida</w:t>
            </w:r>
          </w:p>
        </w:tc>
        <w:tc>
          <w:tcPr>
            <w:tcW w:type="dxa" w:w="624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Discurso de venda controlado e certificado por parceiro</w:t>
            </w:r>
          </w:p>
        </w:tc>
      </w:tr>
      <w:tr>
        <w:tc>
          <w:tcPr>
            <w:tcW w:type="dxa" w:w="3120"/>
            <w:shd w:fill="F2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Código de Defesa do Consumidor</w:t>
            </w:r>
          </w:p>
        </w:tc>
        <w:tc>
          <w:tcPr>
            <w:tcW w:type="dxa" w:w="6240"/>
            <w:shd w:fill="F2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Informação clara sobre taxas, reajustes e critérios de lance</w:t>
            </w:r>
          </w:p>
        </w:tc>
      </w:tr>
      <w:tr>
        <w:tc>
          <w:tcPr>
            <w:tcW w:type="dxa" w:w="312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LGPD (Lei nº 13.709/2018)</w:t>
            </w:r>
          </w:p>
        </w:tc>
        <w:tc>
          <w:tcPr>
            <w:tcW w:type="dxa" w:w="624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Tratamento de dados com base legal, DPO e trilha de consentimento</w:t>
            </w:r>
          </w:p>
        </w:tc>
      </w:tr>
    </w:tbl>
    <w:p>
      <w:pPr>
        <w:spacing w:after="5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2E5AAC"/>
          <w:sz w:val="24"/>
          <w:szCs w:val="24"/>
        </w:rPr>
        <w:t xml:space="preserve">8.2. Controles do canal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Contrato de parceria com cláusulas de conduta, confidencialidade e responsabilidade solidária limitada.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Monitoramento de discurso comercial (mystery shopping e revisão de materiais dos parceiros).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Regime de sanções gradativas: advertência, suspensão e descredenciamento por infração.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Relatórios periódicos de conformidade à diretoria e à Ouvidoria da Recon.</w:t>
      </w:r>
    </w:p>
    <w:p>
      <w:pPr>
        <w:spacing w:after="3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1F2D5A" w:sz="24"/>
              <w:bottom w:val="none"/>
              <w:right w:val="none"/>
            </w:tcBorders>
            <w:shd w:fill="EEF2FB" w:color="auto" w:val="clear"/>
            <w:tcMar>
              <w:top w:type="dxa" w:w="130"/>
              <w:left w:type="dxa" w:w="180"/>
              <w:bottom w:type="dxa" w:w="13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2D5A"/>
                <w:sz w:val="20"/>
                <w:szCs w:val="20"/>
              </w:rPr>
              <w:t xml:space="preserve">Princípio inegociável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2A2A2A"/>
                <w:sz w:val="20"/>
                <w:szCs w:val="20"/>
              </w:rPr>
              <w:t xml:space="preserve">O canal existe para vender mais com a mesma reputação. Qualquer conflito entre volume e conformidade resolve-se sempre a favor da conformidade.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79A3B" w:sz="12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2D5A"/>
          <w:sz w:val="30"/>
          <w:szCs w:val="30"/>
        </w:rPr>
        <w:t xml:space="preserve">9. Indicadores de Desempenho (KPIs)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O canal é gerido por indicadores de volume, qualidade e conformidade — nenhum deles isolado. A qualidade e a conformidade atuam como travas do crescimento.</w:t>
      </w:r>
    </w:p>
    <w:tbl>
      <w:tblPr>
        <w:tblW w:type="dxa" w:w="9360"/>
        <w:tblBorders>
          <w:top w:val="single" w:color="D6DCE8" w:sz="2"/>
          <w:left w:val="none"/>
          <w:bottom w:val="single" w:color="D6DCE8" w:sz="2"/>
          <w:right w:val="none"/>
          <w:insideH w:val="single" w:color="E3E7F0" w:sz="2"/>
          <w:insideV w:val="none"/>
        </w:tblBorders>
      </w:tblPr>
      <w:tblGrid>
        <w:gridCol w:w="3960"/>
        <w:gridCol w:w="2340"/>
        <w:gridCol w:w="3060"/>
      </w:tblGrid>
      <w:tr>
        <w:trPr>
          <w:tblHeader/>
        </w:trPr>
        <w:tc>
          <w:tcPr>
            <w:tcW w:type="dxa" w:w="3960"/>
            <w:shd w:fill="1F2D5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KPI</w:t>
            </w:r>
          </w:p>
        </w:tc>
        <w:tc>
          <w:tcPr>
            <w:tcW w:type="dxa" w:w="2340"/>
            <w:shd w:fill="1F2D5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Categoria</w:t>
            </w:r>
          </w:p>
        </w:tc>
        <w:tc>
          <w:tcPr>
            <w:tcW w:type="dxa" w:w="3060"/>
            <w:shd w:fill="1F2D5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Meta de referência</w:t>
            </w:r>
          </w:p>
        </w:tc>
      </w:tr>
      <w:tr>
        <w:tc>
          <w:tcPr>
            <w:tcW w:type="dxa" w:w="39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Novos parceiros ativados / mês</w:t>
            </w:r>
          </w:p>
        </w:tc>
        <w:tc>
          <w:tcPr>
            <w:tcW w:type="dxa" w:w="234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Crescimento</w:t>
            </w:r>
          </w:p>
        </w:tc>
        <w:tc>
          <w:tcPr>
            <w:tcW w:type="dxa" w:w="30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≥ 15</w:t>
            </w:r>
          </w:p>
        </w:tc>
      </w:tr>
      <w:tr>
        <w:tc>
          <w:tcPr>
            <w:tcW w:type="dxa" w:w="3960"/>
            <w:shd w:fill="F2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Cotas vendidas via canal / mês</w:t>
            </w:r>
          </w:p>
        </w:tc>
        <w:tc>
          <w:tcPr>
            <w:tcW w:type="dxa" w:w="2340"/>
            <w:shd w:fill="F2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Volume</w:t>
            </w:r>
          </w:p>
        </w:tc>
        <w:tc>
          <w:tcPr>
            <w:tcW w:type="dxa" w:w="3060"/>
            <w:shd w:fill="F2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+25–40% a.a.</w:t>
            </w:r>
          </w:p>
        </w:tc>
      </w:tr>
      <w:tr>
        <w:tc>
          <w:tcPr>
            <w:tcW w:type="dxa" w:w="39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Ticket médio por parceiro</w:t>
            </w:r>
          </w:p>
        </w:tc>
        <w:tc>
          <w:tcPr>
            <w:tcW w:type="dxa" w:w="234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Volume</w:t>
            </w:r>
          </w:p>
        </w:tc>
        <w:tc>
          <w:tcPr>
            <w:tcW w:type="dxa" w:w="30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Crescente por tier</w:t>
            </w:r>
          </w:p>
        </w:tc>
      </w:tr>
      <w:tr>
        <w:tc>
          <w:tcPr>
            <w:tcW w:type="dxa" w:w="3960"/>
            <w:shd w:fill="F2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Tempo médio de onboarding</w:t>
            </w:r>
          </w:p>
        </w:tc>
        <w:tc>
          <w:tcPr>
            <w:tcW w:type="dxa" w:w="2340"/>
            <w:shd w:fill="F2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Eficiência</w:t>
            </w:r>
          </w:p>
        </w:tc>
        <w:tc>
          <w:tcPr>
            <w:tcW w:type="dxa" w:w="3060"/>
            <w:shd w:fill="F2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≤ 7 dias úteis</w:t>
            </w:r>
          </w:p>
        </w:tc>
      </w:tr>
      <w:tr>
        <w:tc>
          <w:tcPr>
            <w:tcW w:type="dxa" w:w="39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Taxa de conclusão da certificação</w:t>
            </w:r>
          </w:p>
        </w:tc>
        <w:tc>
          <w:tcPr>
            <w:tcW w:type="dxa" w:w="234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Qualidade</w:t>
            </w:r>
          </w:p>
        </w:tc>
        <w:tc>
          <w:tcPr>
            <w:tcW w:type="dxa" w:w="30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100%</w:t>
            </w:r>
          </w:p>
        </w:tc>
      </w:tr>
      <w:tr>
        <w:tc>
          <w:tcPr>
            <w:tcW w:type="dxa" w:w="3960"/>
            <w:shd w:fill="F2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Índice de adimplência da carteira do canal</w:t>
            </w:r>
          </w:p>
        </w:tc>
        <w:tc>
          <w:tcPr>
            <w:tcW w:type="dxa" w:w="2340"/>
            <w:shd w:fill="F2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Qualidade</w:t>
            </w:r>
          </w:p>
        </w:tc>
        <w:tc>
          <w:tcPr>
            <w:tcW w:type="dxa" w:w="3060"/>
            <w:shd w:fill="F2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≥ média da carteira</w:t>
            </w:r>
          </w:p>
        </w:tc>
      </w:tr>
      <w:tr>
        <w:tc>
          <w:tcPr>
            <w:tcW w:type="dxa" w:w="39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Ocorrências de compliance por parceiro</w:t>
            </w:r>
          </w:p>
        </w:tc>
        <w:tc>
          <w:tcPr>
            <w:tcW w:type="dxa" w:w="234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Conformidade</w:t>
            </w:r>
          </w:p>
        </w:tc>
        <w:tc>
          <w:tcPr>
            <w:tcW w:type="dxa" w:w="30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Tendência a zero</w:t>
            </w:r>
          </w:p>
        </w:tc>
      </w:tr>
      <w:tr>
        <w:tc>
          <w:tcPr>
            <w:tcW w:type="dxa" w:w="3960"/>
            <w:shd w:fill="F2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Índice de solução de reclamações</w:t>
            </w:r>
          </w:p>
        </w:tc>
        <w:tc>
          <w:tcPr>
            <w:tcW w:type="dxa" w:w="2340"/>
            <w:shd w:fill="F2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Reputação</w:t>
            </w:r>
          </w:p>
        </w:tc>
        <w:tc>
          <w:tcPr>
            <w:tcW w:type="dxa" w:w="3060"/>
            <w:shd w:fill="F2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≥ 85%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79A3B" w:sz="12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2D5A"/>
          <w:sz w:val="30"/>
          <w:szCs w:val="30"/>
        </w:rPr>
        <w:t xml:space="preserve">10. Cronograma de Implantação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Execução em cinco fases ao longo de 6 meses, com marcos de aprovação (gates) da Recon ao final de cada fase.</w:t>
      </w:r>
    </w:p>
    <w:tbl>
      <w:tblPr>
        <w:tblW w:type="dxa" w:w="9360"/>
        <w:tblBorders>
          <w:top w:val="single" w:color="D6DCE8" w:sz="2"/>
          <w:left w:val="none"/>
          <w:bottom w:val="single" w:color="D6DCE8" w:sz="2"/>
          <w:right w:val="none"/>
          <w:insideH w:val="single" w:color="E3E7F0" w:sz="2"/>
          <w:insideV w:val="none"/>
        </w:tblBorders>
      </w:tblPr>
      <w:tblGrid>
        <w:gridCol w:w="1980"/>
        <w:gridCol w:w="1560"/>
        <w:gridCol w:w="4260"/>
        <w:gridCol w:w="1560"/>
      </w:tblGrid>
      <w:tr>
        <w:trPr>
          <w:tblHeader/>
        </w:trPr>
        <w:tc>
          <w:tcPr>
            <w:tcW w:type="dxa" w:w="1980"/>
            <w:shd w:fill="1F2D5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Fase</w:t>
            </w:r>
          </w:p>
        </w:tc>
        <w:tc>
          <w:tcPr>
            <w:tcW w:type="dxa" w:w="1560"/>
            <w:shd w:fill="1F2D5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Período</w:t>
            </w:r>
          </w:p>
        </w:tc>
        <w:tc>
          <w:tcPr>
            <w:tcW w:type="dxa" w:w="4260"/>
            <w:shd w:fill="1F2D5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Entregáveis-chave</w:t>
            </w:r>
          </w:p>
        </w:tc>
        <w:tc>
          <w:tcPr>
            <w:tcW w:type="dxa" w:w="1560"/>
            <w:shd w:fill="1F2D5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Gate</w:t>
            </w:r>
          </w:p>
        </w:tc>
      </w:tr>
      <w:tr>
        <w:tc>
          <w:tcPr>
            <w:tcW w:type="dxa" w:w="198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0 · Diagnóstico</w:t>
            </w:r>
          </w:p>
        </w:tc>
        <w:tc>
          <w:tcPr>
            <w:tcW w:type="dxa" w:w="15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Semanas 1–3</w:t>
            </w:r>
          </w:p>
        </w:tc>
        <w:tc>
          <w:tcPr>
            <w:tcW w:type="dxa" w:w="42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Mapa da rede atual, dados de base, calibração de metas</w:t>
            </w:r>
          </w:p>
        </w:tc>
        <w:tc>
          <w:tcPr>
            <w:tcW w:type="dxa" w:w="15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Metas homologadas</w:t>
            </w:r>
          </w:p>
        </w:tc>
      </w:tr>
      <w:tr>
        <w:tc>
          <w:tcPr>
            <w:tcW w:type="dxa" w:w="1980"/>
            <w:shd w:fill="F2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 · Desenho</w:t>
            </w:r>
          </w:p>
        </w:tc>
        <w:tc>
          <w:tcPr>
            <w:tcW w:type="dxa" w:w="1560"/>
            <w:shd w:fill="F2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Semanas 3–7</w:t>
            </w:r>
          </w:p>
        </w:tc>
        <w:tc>
          <w:tcPr>
            <w:tcW w:type="dxa" w:w="4260"/>
            <w:shd w:fill="F2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Arquitetura de canal, política de comissões, manual do parceiro</w:t>
            </w:r>
          </w:p>
        </w:tc>
        <w:tc>
          <w:tcPr>
            <w:tcW w:type="dxa" w:w="1560"/>
            <w:shd w:fill="F2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Modelo aprovado</w:t>
            </w:r>
          </w:p>
        </w:tc>
      </w:tr>
      <w:tr>
        <w:tc>
          <w:tcPr>
            <w:tcW w:type="dxa" w:w="198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2 · Tecnologia</w:t>
            </w:r>
          </w:p>
        </w:tc>
        <w:tc>
          <w:tcPr>
            <w:tcW w:type="dxa" w:w="15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Semanas 5–13</w:t>
            </w:r>
          </w:p>
        </w:tc>
        <w:tc>
          <w:tcPr>
            <w:tcW w:type="dxa" w:w="42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Portal do parceiro (PRM), integrações e LMS</w:t>
            </w:r>
          </w:p>
        </w:tc>
        <w:tc>
          <w:tcPr>
            <w:tcW w:type="dxa" w:w="15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Homologação técnica</w:t>
            </w:r>
          </w:p>
        </w:tc>
      </w:tr>
      <w:tr>
        <w:tc>
          <w:tcPr>
            <w:tcW w:type="dxa" w:w="1980"/>
            <w:shd w:fill="F2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3 · Piloto</w:t>
            </w:r>
          </w:p>
        </w:tc>
        <w:tc>
          <w:tcPr>
            <w:tcW w:type="dxa" w:w="1560"/>
            <w:shd w:fill="F2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Semanas 12–17</w:t>
            </w:r>
          </w:p>
        </w:tc>
        <w:tc>
          <w:tcPr>
            <w:tcW w:type="dxa" w:w="4260"/>
            <w:shd w:fill="F2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Credenciamento e ativação dos primeiros 50 parceiros</w:t>
            </w:r>
          </w:p>
        </w:tc>
        <w:tc>
          <w:tcPr>
            <w:tcW w:type="dxa" w:w="1560"/>
            <w:shd w:fill="F2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Piloto validado</w:t>
            </w:r>
          </w:p>
        </w:tc>
      </w:tr>
      <w:tr>
        <w:tc>
          <w:tcPr>
            <w:tcW w:type="dxa" w:w="198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4 · Escala &amp; operação</w:t>
            </w:r>
          </w:p>
        </w:tc>
        <w:tc>
          <w:tcPr>
            <w:tcW w:type="dxa" w:w="15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Semanas 16–26</w:t>
            </w:r>
          </w:p>
        </w:tc>
        <w:tc>
          <w:tcPr>
            <w:tcW w:type="dxa" w:w="42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Rollout nacional, governança contínua, BI e otimização</w:t>
            </w:r>
          </w:p>
        </w:tc>
        <w:tc>
          <w:tcPr>
            <w:tcW w:type="dxa" w:w="15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Operação estável</w:t>
            </w:r>
          </w:p>
        </w:tc>
      </w:tr>
    </w:tbl>
    <w:p>
      <w:pPr>
        <w:spacing w:after="40"/>
      </w:pPr>
      <w:r>
        <w:rPr>
          <w:rFonts w:ascii="Calibri" w:cs="Calibri" w:eastAsia="Calibri" w:hAnsi="Calibri"/>
        </w:rPr>
        <w:t xml:space="preserve"/>
      </w:r>
    </w:p>
    <w:p>
      <w:pPr>
        <w:spacing w:after="120" w:line="276"/>
        <w:jc w:val="both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As fases têm sobreposição intencional (fast-tracking) para antecipar valor; cada gate é condição para liberar a fase seguinte.</w:t>
      </w:r>
    </w:p>
    <w:p>
      <w:r>
        <w:br w:type="page"/>
      </w:r>
    </w:p>
    <w:p>
      <w:pPr>
        <w:pStyle w:val="Heading1"/>
        <w:pBdr>
          <w:bottom w:val="single" w:color="C79A3B" w:sz="12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2D5A"/>
          <w:sz w:val="30"/>
          <w:szCs w:val="30"/>
        </w:rPr>
        <w:t xml:space="preserve">11. Papéis e Responsabilidades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 parceria opera sob modelo de co-responsabilidade: a Recon mantém a titularidade regulatória e do produto; a [Sua Empresa] entrega o desenho, a tecnologia e a operação do canal.</w:t>
      </w:r>
    </w:p>
    <w:tbl>
      <w:tblPr>
        <w:tblW w:type="dxa" w:w="9360"/>
        <w:tblBorders>
          <w:top w:val="single" w:color="D6DCE8" w:sz="2"/>
          <w:left w:val="none"/>
          <w:bottom w:val="single" w:color="D6DCE8" w:sz="2"/>
          <w:right w:val="none"/>
          <w:insideH w:val="single" w:color="E3E7F0" w:sz="2"/>
          <w:insideV w:val="none"/>
        </w:tblBorders>
      </w:tblPr>
      <w:tblGrid>
        <w:gridCol w:w="3360"/>
        <w:gridCol w:w="3000"/>
        <w:gridCol w:w="3000"/>
      </w:tblGrid>
      <w:tr>
        <w:trPr>
          <w:tblHeader/>
        </w:trPr>
        <w:tc>
          <w:tcPr>
            <w:tcW w:type="dxa" w:w="3360"/>
            <w:shd w:fill="1F2D5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Frente</w:t>
            </w:r>
          </w:p>
        </w:tc>
        <w:tc>
          <w:tcPr>
            <w:tcW w:type="dxa" w:w="3000"/>
            <w:shd w:fill="1F2D5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Recon</w:t>
            </w:r>
          </w:p>
        </w:tc>
        <w:tc>
          <w:tcPr>
            <w:tcW w:type="dxa" w:w="3000"/>
            <w:shd w:fill="1F2D5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[Sua Empresa] — Sócio Estratégico</w:t>
            </w:r>
          </w:p>
        </w:tc>
      </w:tr>
      <w:tr>
        <w:tc>
          <w:tcPr>
            <w:tcW w:type="dxa" w:w="33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Produto e regras de grupo</w:t>
            </w:r>
          </w:p>
        </w:tc>
        <w:tc>
          <w:tcPr>
            <w:tcW w:type="dxa" w:w="3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Responsável</w:t>
            </w:r>
          </w:p>
        </w:tc>
        <w:tc>
          <w:tcPr>
            <w:tcW w:type="dxa" w:w="3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Consultado</w:t>
            </w:r>
          </w:p>
        </w:tc>
      </w:tr>
      <w:tr>
        <w:tc>
          <w:tcPr>
            <w:tcW w:type="dxa" w:w="3360"/>
            <w:shd w:fill="F2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Conformidade regulatória (BACEN)</w:t>
            </w:r>
          </w:p>
        </w:tc>
        <w:tc>
          <w:tcPr>
            <w:tcW w:type="dxa" w:w="3000"/>
            <w:shd w:fill="F2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Responsável</w:t>
            </w:r>
          </w:p>
        </w:tc>
        <w:tc>
          <w:tcPr>
            <w:tcW w:type="dxa" w:w="3000"/>
            <w:shd w:fill="F2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Apoio e controles</w:t>
            </w:r>
          </w:p>
        </w:tc>
      </w:tr>
      <w:tr>
        <w:tc>
          <w:tcPr>
            <w:tcW w:type="dxa" w:w="33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Desenho do canal e comissões</w:t>
            </w:r>
          </w:p>
        </w:tc>
        <w:tc>
          <w:tcPr>
            <w:tcW w:type="dxa" w:w="3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Aprova</w:t>
            </w:r>
          </w:p>
        </w:tc>
        <w:tc>
          <w:tcPr>
            <w:tcW w:type="dxa" w:w="3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Responsável</w:t>
            </w:r>
          </w:p>
        </w:tc>
      </w:tr>
      <w:tr>
        <w:tc>
          <w:tcPr>
            <w:tcW w:type="dxa" w:w="3360"/>
            <w:shd w:fill="F2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Tecnologia (portal, integrações)</w:t>
            </w:r>
          </w:p>
        </w:tc>
        <w:tc>
          <w:tcPr>
            <w:tcW w:type="dxa" w:w="3000"/>
            <w:shd w:fill="F2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Aprova</w:t>
            </w:r>
          </w:p>
        </w:tc>
        <w:tc>
          <w:tcPr>
            <w:tcW w:type="dxa" w:w="3000"/>
            <w:shd w:fill="F2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Responsável</w:t>
            </w:r>
          </w:p>
        </w:tc>
      </w:tr>
      <w:tr>
        <w:tc>
          <w:tcPr>
            <w:tcW w:type="dxa" w:w="33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Credenciamento e treinamento</w:t>
            </w:r>
          </w:p>
        </w:tc>
        <w:tc>
          <w:tcPr>
            <w:tcW w:type="dxa" w:w="3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Aprova</w:t>
            </w:r>
          </w:p>
        </w:tc>
        <w:tc>
          <w:tcPr>
            <w:tcW w:type="dxa" w:w="3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Responsável / executa</w:t>
            </w:r>
          </w:p>
        </w:tc>
      </w:tr>
      <w:tr>
        <w:tc>
          <w:tcPr>
            <w:tcW w:type="dxa" w:w="3360"/>
            <w:shd w:fill="F2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Operação e suporte ao canal</w:t>
            </w:r>
          </w:p>
        </w:tc>
        <w:tc>
          <w:tcPr>
            <w:tcW w:type="dxa" w:w="3000"/>
            <w:shd w:fill="F2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Supervisiona</w:t>
            </w:r>
          </w:p>
        </w:tc>
        <w:tc>
          <w:tcPr>
            <w:tcW w:type="dxa" w:w="3000"/>
            <w:shd w:fill="F2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Responsável</w:t>
            </w:r>
          </w:p>
        </w:tc>
      </w:tr>
      <w:tr>
        <w:tc>
          <w:tcPr>
            <w:tcW w:type="dxa" w:w="33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BI, metas e melhoria contínua</w:t>
            </w:r>
          </w:p>
        </w:tc>
        <w:tc>
          <w:tcPr>
            <w:tcW w:type="dxa" w:w="3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Coautor</w:t>
            </w:r>
          </w:p>
        </w:tc>
        <w:tc>
          <w:tcPr>
            <w:tcW w:type="dxa" w:w="3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Responsável</w:t>
            </w:r>
          </w:p>
        </w:tc>
      </w:tr>
    </w:tbl>
    <w:p>
      <w:pPr>
        <w:spacing w:after="4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2E5AAC"/>
          <w:sz w:val="24"/>
          <w:szCs w:val="24"/>
        </w:rPr>
        <w:t xml:space="preserve">11.1. Comitê de governança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Reunião mensal de canal (Recon + Sócio Estratégico) para revisar KPIs, pipeline e compliance.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Comitê trimestral executivo para decisões de investimento, expansão e ajustes de política.</w:t>
      </w:r>
    </w:p>
    <w:p>
      <w:r>
        <w:br w:type="page"/>
      </w:r>
    </w:p>
    <w:p>
      <w:pPr>
        <w:pStyle w:val="Heading1"/>
        <w:pBdr>
          <w:bottom w:val="single" w:color="C79A3B" w:sz="12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2D5A"/>
          <w:sz w:val="30"/>
          <w:szCs w:val="30"/>
        </w:rPr>
        <w:t xml:space="preserve">12. Riscos e Mitigações</w:t>
      </w:r>
    </w:p>
    <w:tbl>
      <w:tblPr>
        <w:tblW w:type="dxa" w:w="9360"/>
        <w:tblBorders>
          <w:top w:val="single" w:color="D6DCE8" w:sz="2"/>
          <w:left w:val="none"/>
          <w:bottom w:val="single" w:color="D6DCE8" w:sz="2"/>
          <w:right w:val="none"/>
          <w:insideH w:val="single" w:color="E3E7F0" w:sz="2"/>
          <w:insideV w:val="none"/>
        </w:tblBorders>
      </w:tblPr>
      <w:tblGrid>
        <w:gridCol w:w="3360"/>
        <w:gridCol w:w="1400"/>
        <w:gridCol w:w="4600"/>
      </w:tblGrid>
      <w:tr>
        <w:trPr>
          <w:tblHeader/>
        </w:trPr>
        <w:tc>
          <w:tcPr>
            <w:tcW w:type="dxa" w:w="3360"/>
            <w:shd w:fill="1F2D5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Risco</w:t>
            </w:r>
          </w:p>
        </w:tc>
        <w:tc>
          <w:tcPr>
            <w:tcW w:type="dxa" w:w="1400"/>
            <w:shd w:fill="1F2D5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Impacto</w:t>
            </w:r>
          </w:p>
        </w:tc>
        <w:tc>
          <w:tcPr>
            <w:tcW w:type="dxa" w:w="4600"/>
            <w:shd w:fill="1F2D5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Mitigação</w:t>
            </w:r>
          </w:p>
        </w:tc>
      </w:tr>
      <w:tr>
        <w:tc>
          <w:tcPr>
            <w:tcW w:type="dxa" w:w="33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Discurso indevido do parceiro (promessa de contemplação)</w:t>
            </w:r>
          </w:p>
        </w:tc>
        <w:tc>
          <w:tcPr>
            <w:tcW w:type="dxa" w:w="1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Alto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Certificação obrigatória, monitoramento e sanções gradativas</w:t>
            </w:r>
          </w:p>
        </w:tc>
      </w:tr>
      <w:tr>
        <w:tc>
          <w:tcPr>
            <w:tcW w:type="dxa" w:w="3360"/>
            <w:shd w:fill="F2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Aumento de reclamações com a escala</w:t>
            </w:r>
          </w:p>
        </w:tc>
        <w:tc>
          <w:tcPr>
            <w:tcW w:type="dxa" w:w="1400"/>
            <w:shd w:fill="F2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Alto</w:t>
            </w:r>
          </w:p>
        </w:tc>
        <w:tc>
          <w:tcPr>
            <w:tcW w:type="dxa" w:w="4600"/>
            <w:shd w:fill="F2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Padronização, mystery shopping e Ouvidoria integrada</w:t>
            </w:r>
          </w:p>
        </w:tc>
      </w:tr>
      <w:tr>
        <w:tc>
          <w:tcPr>
            <w:tcW w:type="dxa" w:w="33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Inadimplência da carteira indicada</w:t>
            </w:r>
          </w:p>
        </w:tc>
        <w:tc>
          <w:tcPr>
            <w:tcW w:type="dxa" w:w="1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Médio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Bônus de permanência e clawback de comissão</w:t>
            </w:r>
          </w:p>
        </w:tc>
      </w:tr>
      <w:tr>
        <w:tc>
          <w:tcPr>
            <w:tcW w:type="dxa" w:w="3360"/>
            <w:shd w:fill="F2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Baixa adesão dos parceiros ao portal</w:t>
            </w:r>
          </w:p>
        </w:tc>
        <w:tc>
          <w:tcPr>
            <w:tcW w:type="dxa" w:w="1400"/>
            <w:shd w:fill="F2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Médio</w:t>
            </w:r>
          </w:p>
        </w:tc>
        <w:tc>
          <w:tcPr>
            <w:tcW w:type="dxa" w:w="4600"/>
            <w:shd w:fill="F2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UX simples, suporte dedicado e incentivos de ativação</w:t>
            </w:r>
          </w:p>
        </w:tc>
      </w:tr>
      <w:tr>
        <w:tc>
          <w:tcPr>
            <w:tcW w:type="dxa" w:w="33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Exposição de dados (LGPD)</w:t>
            </w:r>
          </w:p>
        </w:tc>
        <w:tc>
          <w:tcPr>
            <w:tcW w:type="dxa" w:w="1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Alto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Base legal, minimização, cofre documental e trilha de auditoria</w:t>
            </w:r>
          </w:p>
        </w:tc>
      </w:tr>
      <w:tr>
        <w:tc>
          <w:tcPr>
            <w:tcW w:type="dxa" w:w="3360"/>
            <w:shd w:fill="F2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Dependência tecnológica</w:t>
            </w:r>
          </w:p>
        </w:tc>
        <w:tc>
          <w:tcPr>
            <w:tcW w:type="dxa" w:w="1400"/>
            <w:shd w:fill="F2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Médio</w:t>
            </w:r>
          </w:p>
        </w:tc>
        <w:tc>
          <w:tcPr>
            <w:tcW w:type="dxa" w:w="4600"/>
            <w:shd w:fill="F2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Arquitetura modular e documentação de handover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79A3B" w:sz="12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2D5A"/>
          <w:sz w:val="30"/>
          <w:szCs w:val="30"/>
        </w:rPr>
        <w:t xml:space="preserve">13. Modelo de Investimento e Retorno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 remuneração da parceria pode combinar um componente de implantação (setup do canal e tecnologia) e um componente recorrente atrelado ao desempenho do canal, alinhando o sócio estratégico ao resultado da Recon.</w:t>
      </w:r>
    </w:p>
    <w:tbl>
      <w:tblPr>
        <w:tblW w:type="dxa" w:w="9360"/>
        <w:tblBorders>
          <w:top w:val="single" w:color="D6DCE8" w:sz="2"/>
          <w:left w:val="none"/>
          <w:bottom w:val="single" w:color="D6DCE8" w:sz="2"/>
          <w:right w:val="none"/>
          <w:insideH w:val="single" w:color="E3E7F0" w:sz="2"/>
          <w:insideV w:val="none"/>
        </w:tblBorders>
      </w:tblPr>
      <w:tblGrid>
        <w:gridCol w:w="2460"/>
        <w:gridCol w:w="4260"/>
        <w:gridCol w:w="2640"/>
      </w:tblGrid>
      <w:tr>
        <w:trPr>
          <w:tblHeader/>
        </w:trPr>
        <w:tc>
          <w:tcPr>
            <w:tcW w:type="dxa" w:w="2460"/>
            <w:shd w:fill="1F2D5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Bloco</w:t>
            </w:r>
          </w:p>
        </w:tc>
        <w:tc>
          <w:tcPr>
            <w:tcW w:type="dxa" w:w="4260"/>
            <w:shd w:fill="1F2D5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Escopo</w:t>
            </w:r>
          </w:p>
        </w:tc>
        <w:tc>
          <w:tcPr>
            <w:tcW w:type="dxa" w:w="2640"/>
            <w:shd w:fill="1F2D5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Modelo sugerido</w:t>
            </w:r>
          </w:p>
        </w:tc>
      </w:tr>
      <w:tr>
        <w:tc>
          <w:tcPr>
            <w:tcW w:type="dxa" w:w="24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Implantação</w:t>
            </w:r>
          </w:p>
        </w:tc>
        <w:tc>
          <w:tcPr>
            <w:tcW w:type="dxa" w:w="42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Diagnóstico, desenho, portal e piloto (Fases 0–3)</w:t>
            </w:r>
          </w:p>
        </w:tc>
        <w:tc>
          <w:tcPr>
            <w:tcW w:type="dxa" w:w="264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Valor fixo por fase (gate a gate)</w:t>
            </w:r>
          </w:p>
        </w:tc>
      </w:tr>
      <w:tr>
        <w:tc>
          <w:tcPr>
            <w:tcW w:type="dxa" w:w="2460"/>
            <w:shd w:fill="F2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Operação do canal</w:t>
            </w:r>
          </w:p>
        </w:tc>
        <w:tc>
          <w:tcPr>
            <w:tcW w:type="dxa" w:w="4260"/>
            <w:shd w:fill="F2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Gestão, suporte, treinamento e BI (Fase 4+)</w:t>
            </w:r>
          </w:p>
        </w:tc>
        <w:tc>
          <w:tcPr>
            <w:tcW w:type="dxa" w:w="2640"/>
            <w:shd w:fill="F2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Fee mensal + variável por performance</w:t>
            </w:r>
          </w:p>
        </w:tc>
      </w:tr>
      <w:tr>
        <w:tc>
          <w:tcPr>
            <w:tcW w:type="dxa" w:w="24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Sucesso (success fee)</w:t>
            </w:r>
          </w:p>
        </w:tc>
        <w:tc>
          <w:tcPr>
            <w:tcW w:type="dxa" w:w="42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Superação de metas de cotas e qualidade</w:t>
            </w:r>
          </w:p>
        </w:tc>
        <w:tc>
          <w:tcPr>
            <w:tcW w:type="dxa" w:w="264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% sobre resultado incremental</w:t>
            </w:r>
          </w:p>
        </w:tc>
      </w:tr>
    </w:tbl>
    <w:p>
      <w:pPr>
        <w:spacing w:after="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C79A3B" w:sz="24"/>
              <w:bottom w:val="none"/>
              <w:right w:val="none"/>
            </w:tcBorders>
            <w:shd w:fill="FBF6E9" w:color="auto" w:val="clear"/>
            <w:tcMar>
              <w:top w:type="dxa" w:w="130"/>
              <w:left w:type="dxa" w:w="180"/>
              <w:bottom w:type="dxa" w:w="13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2D5A"/>
                <w:sz w:val="20"/>
                <w:szCs w:val="20"/>
              </w:rPr>
              <w:t xml:space="preserve">Alinhamento de incentivos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2A2A2A"/>
                <w:sz w:val="20"/>
                <w:szCs w:val="20"/>
              </w:rPr>
              <w:t xml:space="preserve">Quanto mais o canal cresce com qualidade e conformidade, maior o retorno de ambas as partes. O componente de sucesso vincula o sócio estratégico ao mesmo objetivo da Recon: crescer sem arranhar a reputação.</w:t>
            </w:r>
          </w:p>
        </w:tc>
      </w:tr>
    </w:tbl>
    <w:p>
      <w:pPr>
        <w:spacing w:after="30"/>
      </w:pPr>
      <w:r>
        <w:rPr>
          <w:rFonts w:ascii="Calibri" w:cs="Calibri" w:eastAsia="Calibri" w:hAnsi="Calibri"/>
        </w:rPr>
        <w:t xml:space="preserve"/>
      </w:r>
    </w:p>
    <w:p>
      <w:pPr>
        <w:spacing w:after="120" w:line="276"/>
        <w:jc w:val="both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Valores específicos serão detalhados em proposta comercial anexa, após a calibração da Fase 0.</w:t>
      </w:r>
    </w:p>
    <w:p>
      <w:r>
        <w:br w:type="page"/>
      </w:r>
    </w:p>
    <w:p>
      <w:pPr>
        <w:pStyle w:val="Heading1"/>
        <w:pBdr>
          <w:bottom w:val="single" w:color="C79A3B" w:sz="12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2D5A"/>
          <w:sz w:val="30"/>
          <w:szCs w:val="30"/>
        </w:rPr>
        <w:t xml:space="preserve">14. Próximos Passos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Reunião de alinhamento executivo e assinatura do termo de confidencialidade (NDA).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Kickoff da Fase 0 (Diagnóstico) com acesso aos dados de base da rede atual.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Homologação das metas e do modelo de comissionamento pela diretoria da Recon.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Aprovação da proposta comercial e cronograma financeiro.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Início do desenho do canal e da construção do portal do parceiro.</w:t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E5AAC" w:sz="24"/>
              <w:bottom w:val="none"/>
              <w:right w:val="none"/>
            </w:tcBorders>
            <w:shd w:fill="EEF2FB" w:color="auto" w:val="clear"/>
            <w:tcMar>
              <w:top w:type="dxa" w:w="130"/>
              <w:left w:type="dxa" w:w="180"/>
              <w:bottom w:type="dxa" w:w="13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2D5A"/>
                <w:sz w:val="20"/>
                <w:szCs w:val="20"/>
              </w:rPr>
              <w:t xml:space="preserve">Contato</w:t>
            </w:r>
          </w:p>
          <w:p>
            <w:p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color w:val="1F2D5A"/>
                <w:sz w:val="20"/>
                <w:szCs w:val="20"/>
              </w:rPr>
              <w:t xml:space="preserve">[Sua Empresa] — Sócio Estratégico de Canais &amp; Distribuição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2A2A2A"/>
                <w:sz w:val="20"/>
                <w:szCs w:val="20"/>
              </w:rPr>
              <w:t xml:space="preserve">Responsável: [Nome]  ·  [e-mail]  ·  [telefone]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pPr>
        <w:spacing w:before="200"/>
        <w:jc w:val="center"/>
      </w:pPr>
      <w:r>
        <w:rPr>
          <w:rFonts w:ascii="Calibri" w:cs="Calibri" w:eastAsia="Calibri" w:hAnsi="Calibri"/>
          <w:i/>
          <w:iCs/>
          <w:color w:val="8A8A8A"/>
          <w:sz w:val="16"/>
          <w:szCs w:val="16"/>
        </w:rPr>
        <w:t xml:space="preserve">Documento confidencial — preparado para a Recon Administradora de Consórcios Ltda.</w:t>
      </w:r>
    </w:p>
    <w:sectPr>
      <w:headerReference w:type="default" r:id="rId7"/>
      <w:footerReference w:type="default" r:id="rId8"/>
      <w:pgSz w:w="11906" w:h="16838" w:orient="portrait"/>
      <w:pgMar w:top="13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DCE8" w:sz="6" w:space="4"/>
      </w:pBdr>
      <w:tabs>
        <w:tab w:val="right" w:pos="9360"/>
      </w:tabs>
    </w:pPr>
    <w:r>
      <w:rPr>
        <w:rFonts w:ascii="Calibri" w:cs="Calibri" w:eastAsia="Calibri" w:hAnsi="Calibri"/>
        <w:color w:val="8A8A8A"/>
        <w:sz w:val="15"/>
        <w:szCs w:val="15"/>
      </w:rPr>
      <w:t xml:space="preserve">Confidencial · v1.0 · Ago/2026</w:t>
    </w:r>
    <w:r>
      <w:rPr>
        <w:rFonts w:ascii="Calibri" w:cs="Calibri" w:eastAsia="Calibri" w:hAnsi="Calibri"/>
      </w:rPr>
      <w:t xml:space="preserve">	</w:t>
    </w:r>
    <w:r>
      <w:rPr>
        <w:rFonts w:ascii="Calibri" w:cs="Calibri" w:eastAsia="Calibri" w:hAnsi="Calibri"/>
        <w:color w:val="8A8A8A"/>
        <w:sz w:val="15"/>
        <w:szCs w:val="15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6DCE8" w:sz="6" w:space="4"/>
      </w:pBdr>
      <w:tabs>
        <w:tab w:val="right" w:pos="9360"/>
      </w:tabs>
    </w:pPr>
    <w:r>
      <w:rPr>
        <w:rFonts w:ascii="Calibri" w:cs="Calibri" w:eastAsia="Calibri" w:hAnsi="Calibri"/>
        <w:color w:val="8A8A8A"/>
        <w:sz w:val="16"/>
        <w:szCs w:val="16"/>
      </w:rPr>
      <w:t xml:space="preserve">Projeto de Abertura de Canal de Parceria</w:t>
    </w:r>
    <w:r>
      <w:rPr>
        <w:rFonts w:ascii="Calibri" w:cs="Calibri" w:eastAsia="Calibri" w:hAnsi="Calibri"/>
      </w:rPr>
      <w:t xml:space="preserve">	</w:t>
    </w:r>
    <w:r>
      <w:rPr>
        <w:rFonts w:ascii="Calibri" w:cs="Calibri" w:eastAsia="Calibri" w:hAnsi="Calibri"/>
        <w:color w:val="8A8A8A"/>
        <w:sz w:val="16"/>
        <w:szCs w:val="16"/>
      </w:rPr>
      <w:t xml:space="preserve">Recon Administradora de Consórcios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  <w:rPr>
        <w:color w:val="C79A3B"/>
      </w:rPr>
    </w:lvl>
    <w:lvl w:ilvl="1" w15:tentative="1">
      <w:start w:val="1"/>
      <w:numFmt w:val="bullet"/>
      <w:lvlText w:val="–"/>
      <w:lvlJc w:val="left"/>
      <w:pPr>
        <w:ind w:left="7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  <w:rPr>
        <w:b/>
        <w:bCs/>
        <w:color w:val="2E5AAC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Projeto de Abertura de Canal de Parceria — Recon</dc:title>
  <dc:creator>[Sua Empresa]</dc:creator>
  <dc:description>Projeto estratégico de estruturação do canal de parceiros do Consórcio Recon</dc:description>
  <cp:lastModifiedBy>Un-named</cp:lastModifiedBy>
  <cp:revision>1</cp:revision>
  <dcterms:created xsi:type="dcterms:W3CDTF">2026-08-05T18:02:37.954Z</dcterms:created>
  <dcterms:modified xsi:type="dcterms:W3CDTF">2026-08-05T18:02:37.954Z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