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 w:before="0"/>
        <w:jc w:val="center"/>
      </w:pPr>
      <w:r>
        <w:rPr>
          <w:rFonts w:ascii="Calibri" w:hAnsi="Calibri"/>
          <w:b/>
          <w:i w:val="0"/>
          <w:color w:val="E4571B"/>
          <w:sz w:val="26"/>
        </w:rPr>
        <w:t>PROPOSTA COMERCIAL</w:t>
      </w:r>
    </w:p>
    <w:p>
      <w:pPr>
        <w:spacing w:after="40" w:before="0"/>
        <w:jc w:val="center"/>
      </w:pPr>
      <w:r>
        <w:rPr>
          <w:rFonts w:ascii="Calibri" w:hAnsi="Calibri"/>
          <w:b/>
          <w:i w:val="0"/>
          <w:color w:val="0B1F3A"/>
          <w:sz w:val="60"/>
        </w:rPr>
        <w:t>Máquina de Venda de Franquias</w:t>
      </w:r>
    </w:p>
    <w:p>
      <w:pPr>
        <w:spacing w:after="360" w:before="0"/>
        <w:jc w:val="center"/>
      </w:pPr>
      <w:r>
        <w:rPr>
          <w:rFonts w:ascii="Calibri" w:hAnsi="Calibri"/>
          <w:b w:val="0"/>
          <w:i/>
          <w:color w:val="5A6372"/>
          <w:sz w:val="26"/>
        </w:rPr>
        <w:t>Estruturação e operação ponta a ponta do Go-to-Market de expansão de franquias</w:t>
      </w:r>
    </w:p>
    <w:p>
      <w:pPr>
        <w:spacing w:after="480" w:before="0"/>
        <w:jc w:val="center"/>
      </w:pPr>
      <w:r>
        <w:rPr>
          <w:rFonts w:ascii="Calibri" w:hAnsi="Calibri"/>
          <w:b/>
          <w:i w:val="0"/>
          <w:color w:val="0B1F3A"/>
          <w:sz w:val="22"/>
        </w:rPr>
        <w:t>Estratégia → Oferta → Aquisição → Conversão → CRM → Pré-vendas → Vendas → Gestão → Otimização → Escala</w:t>
      </w:r>
    </w:p>
    <w:p>
      <w:pPr>
        <w:spacing w:after="40" w:before="200"/>
        <w:jc w:val="center"/>
      </w:pPr>
      <w:r>
        <w:rPr>
          <w:rFonts w:ascii="Calibri" w:hAnsi="Calibri"/>
          <w:b/>
          <w:i w:val="0"/>
          <w:color w:val="5A6372"/>
          <w:sz w:val="22"/>
        </w:rPr>
        <w:t>PREPARADO PARA</w:t>
      </w:r>
    </w:p>
    <w:p>
      <w:pPr>
        <w:spacing w:after="20" w:before="0"/>
        <w:jc w:val="center"/>
      </w:pPr>
      <w:r>
        <w:rPr>
          <w:rFonts w:ascii="Calibri" w:hAnsi="Calibri"/>
          <w:b/>
          <w:i w:val="0"/>
          <w:color w:val="0B1F3A"/>
          <w:sz w:val="30"/>
        </w:rPr>
        <w:t>Rocket Soluções Financeiras (Rocket SF)</w:t>
      </w:r>
    </w:p>
    <w:p>
      <w:pPr>
        <w:spacing w:after="360" w:before="0"/>
        <w:jc w:val="center"/>
      </w:pPr>
      <w:r>
        <w:rPr>
          <w:rFonts w:ascii="Calibri" w:hAnsi="Calibri"/>
          <w:b w:val="0"/>
          <w:i w:val="0"/>
          <w:color w:val="5A6372"/>
          <w:sz w:val="20"/>
        </w:rPr>
        <w:t>Crédito inteligente e consórcio para o transporte rodoviário · Chapecó — SC</w:t>
      </w:r>
    </w:p>
    <w:p>
      <w:pPr>
        <w:spacing w:after="40" w:before="0"/>
        <w:jc w:val="center"/>
      </w:pPr>
      <w:r>
        <w:rPr>
          <w:rFonts w:ascii="Calibri" w:hAnsi="Calibri"/>
          <w:b/>
          <w:i w:val="0"/>
          <w:color w:val="5A6372"/>
          <w:sz w:val="22"/>
        </w:rPr>
        <w:t>APRESENTADO POR</w:t>
      </w:r>
    </w:p>
    <w:p>
      <w:pPr>
        <w:spacing w:after="20" w:before="0"/>
        <w:jc w:val="center"/>
      </w:pPr>
      <w:r>
        <w:rPr>
          <w:rFonts w:ascii="Calibri" w:hAnsi="Calibri"/>
          <w:b/>
          <w:i w:val="0"/>
          <w:color w:val="0B1F3A"/>
          <w:sz w:val="26"/>
        </w:rPr>
        <w:t>[Sua Empresa] — Parceiro de Go-to-Market &amp; Operação Comercial</w:t>
      </w:r>
    </w:p>
    <w:p>
      <w:pPr>
        <w:spacing w:after="480" w:before="0"/>
        <w:jc w:val="center"/>
      </w:pPr>
      <w:r>
        <w:rPr>
          <w:rFonts w:ascii="Calibri" w:hAnsi="Calibri"/>
          <w:b w:val="0"/>
          <w:i w:val="0"/>
          <w:color w:val="5A6372"/>
          <w:sz w:val="20"/>
        </w:rPr>
        <w:t>Responsável: [Nome]  ·  [e-mail]  ·  [telefone]</w:t>
      </w:r>
    </w:p>
    <w:p>
      <w:pPr>
        <w:spacing w:after="40" w:before="0"/>
        <w:jc w:val="center"/>
      </w:pPr>
      <w:r>
        <w:rPr>
          <w:rFonts w:ascii="Calibri" w:hAnsi="Calibri"/>
          <w:b w:val="0"/>
          <w:i/>
          <w:color w:val="5A6372"/>
          <w:sz w:val="19"/>
        </w:rPr>
        <w:t>Documento confidencial  ·  Versão 1.0  ·  Agosto de 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40"/>
      </w:pPr>
      <w:r>
        <w:rPr>
          <w:color w:val="0B1F3A"/>
          <w:sz w:val="21"/>
        </w:rPr>
        <w:t>1. Sumário Executivo</w:t>
      </w:r>
    </w:p>
    <w:p>
      <w:pPr>
        <w:spacing w:after="40"/>
      </w:pPr>
      <w:r>
        <w:rPr>
          <w:color w:val="0B1F3A"/>
          <w:sz w:val="21"/>
        </w:rPr>
        <w:t>2. Enquadramento — o que estamos (e o que não estamos) assumindo</w:t>
      </w:r>
    </w:p>
    <w:p>
      <w:pPr>
        <w:spacing w:after="40"/>
      </w:pPr>
      <w:r>
        <w:rPr>
          <w:color w:val="0B1F3A"/>
          <w:sz w:val="21"/>
        </w:rPr>
        <w:t>3. Estratégia e Go-to-Market</w:t>
      </w:r>
    </w:p>
    <w:p>
      <w:pPr>
        <w:spacing w:after="40"/>
      </w:pPr>
      <w:r>
        <w:rPr>
          <w:color w:val="0B1F3A"/>
          <w:sz w:val="21"/>
        </w:rPr>
        <w:t>4. Estrutura de Marketing</w:t>
      </w:r>
    </w:p>
    <w:p>
      <w:pPr>
        <w:spacing w:after="40"/>
      </w:pPr>
      <w:r>
        <w:rPr>
          <w:color w:val="0B1F3A"/>
          <w:sz w:val="21"/>
        </w:rPr>
        <w:t>5. Mídia e Aquisição</w:t>
      </w:r>
    </w:p>
    <w:p>
      <w:pPr>
        <w:spacing w:after="40"/>
      </w:pPr>
      <w:r>
        <w:rPr>
          <w:color w:val="0B1F3A"/>
          <w:sz w:val="21"/>
        </w:rPr>
        <w:t>6. Forecasting de Aquisição e Vendas</w:t>
      </w:r>
    </w:p>
    <w:p>
      <w:pPr>
        <w:spacing w:after="40"/>
      </w:pPr>
      <w:r>
        <w:rPr>
          <w:color w:val="0B1F3A"/>
          <w:sz w:val="21"/>
        </w:rPr>
        <w:t>7. Infraestrutura Comercial — CRM dedicado</w:t>
      </w:r>
    </w:p>
    <w:p>
      <w:pPr>
        <w:spacing w:after="40"/>
      </w:pPr>
      <w:r>
        <w:rPr>
          <w:color w:val="0B1F3A"/>
          <w:sz w:val="21"/>
        </w:rPr>
        <w:t>8. Construção do Time Comercial</w:t>
      </w:r>
    </w:p>
    <w:p>
      <w:pPr>
        <w:spacing w:after="40"/>
      </w:pPr>
      <w:r>
        <w:rPr>
          <w:color w:val="0B1F3A"/>
          <w:sz w:val="21"/>
        </w:rPr>
        <w:t>9. Processo de Venda</w:t>
      </w:r>
    </w:p>
    <w:p>
      <w:pPr>
        <w:spacing w:after="40"/>
      </w:pPr>
      <w:r>
        <w:rPr>
          <w:color w:val="0B1F3A"/>
          <w:sz w:val="21"/>
        </w:rPr>
        <w:t>10. Gestão e Otimização da Operação</w:t>
      </w:r>
    </w:p>
    <w:p>
      <w:pPr>
        <w:spacing w:after="40"/>
      </w:pPr>
      <w:r>
        <w:rPr>
          <w:color w:val="0B1F3A"/>
          <w:sz w:val="21"/>
        </w:rPr>
        <w:t>11. Árvore de Indicadores</w:t>
      </w:r>
    </w:p>
    <w:p>
      <w:pPr>
        <w:spacing w:after="40"/>
      </w:pPr>
      <w:r>
        <w:rPr>
          <w:color w:val="0B1F3A"/>
          <w:sz w:val="21"/>
        </w:rPr>
        <w:t>12. Cronograma de Implantação</w:t>
      </w:r>
    </w:p>
    <w:p>
      <w:pPr>
        <w:spacing w:after="40"/>
      </w:pPr>
      <w:r>
        <w:rPr>
          <w:color w:val="0B1F3A"/>
          <w:sz w:val="21"/>
        </w:rPr>
        <w:t>13. Matriz de Responsabilidades</w:t>
      </w:r>
    </w:p>
    <w:p>
      <w:pPr>
        <w:spacing w:after="40"/>
      </w:pPr>
      <w:r>
        <w:rPr>
          <w:color w:val="0B1F3A"/>
          <w:sz w:val="21"/>
        </w:rPr>
        <w:t>14. Custos da Operação</w:t>
      </w:r>
    </w:p>
    <w:p>
      <w:pPr>
        <w:spacing w:after="40"/>
      </w:pPr>
      <w:r>
        <w:rPr>
          <w:color w:val="0B1F3A"/>
          <w:sz w:val="21"/>
        </w:rPr>
        <w:t>15. Premissas e Limites</w:t>
      </w:r>
    </w:p>
    <w:p>
      <w:pPr>
        <w:spacing w:after="40"/>
      </w:pPr>
      <w:r>
        <w:rPr>
          <w:color w:val="0B1F3A"/>
          <w:sz w:val="21"/>
        </w:rPr>
        <w:t>16. Governança</w:t>
      </w:r>
    </w:p>
    <w:p>
      <w:pPr>
        <w:spacing w:after="40"/>
      </w:pPr>
      <w:r>
        <w:rPr>
          <w:color w:val="0B1F3A"/>
          <w:sz w:val="21"/>
        </w:rPr>
        <w:t>17. Plano de Escala</w:t>
      </w:r>
    </w:p>
    <w:p>
      <w:pPr>
        <w:spacing w:after="40"/>
      </w:pPr>
      <w:r>
        <w:rPr>
          <w:color w:val="0B1F3A"/>
          <w:sz w:val="21"/>
        </w:rPr>
        <w:t>18. Perguntas-chave respondidas</w:t>
      </w:r>
    </w:p>
    <w:p>
      <w:pPr>
        <w:spacing w:after="40"/>
      </w:pPr>
      <w:r>
        <w:rPr>
          <w:color w:val="0B1F3A"/>
          <w:sz w:val="21"/>
        </w:rPr>
        <w:t>19. Próximos Passos</w:t>
      </w:r>
    </w:p>
    <w:p>
      <w:pPr>
        <w:spacing w:after="40"/>
      </w:pPr>
      <w:r>
        <w:rPr>
          <w:color w:val="0B1F3A"/>
          <w:sz w:val="21"/>
        </w:rPr>
        <w:t>20. Pontos que ainda precisam ser definidos antes do envio da proposta</w:t>
      </w:r>
    </w:p>
    <w:p>
      <w:r>
        <w:br w:type="page"/>
      </w:r>
    </w:p>
    <w:p>
      <w:pPr>
        <w:pStyle w:val="Heading1"/>
      </w:pPr>
      <w:r>
        <w:t>1. Sumário Executivo</w:t>
      </w:r>
    </w:p>
    <w:p>
      <w:pPr>
        <w:spacing w:after="120"/>
      </w:pPr>
      <w:r>
        <w:rPr>
          <w:b w:val="0"/>
          <w:i w:val="0"/>
          <w:sz w:val="21"/>
        </w:rPr>
        <w:t>A Rocket Soluções Financeiras (Rocket SF) construiu um modelo de negócio validado em crédito inteligente e consórcio para o setor de transporte rodoviário e decidiu expandir sua operação por meio da venda de franquias. O desafio dessa expansão não é apenas gerar interesse: é transformar, de forma previsível e escalável, investimento em mídia em novos franqueados assinados, prontos para operar a marca.</w:t>
      </w:r>
    </w:p>
    <w:p>
      <w:pPr>
        <w:spacing w:after="120"/>
      </w:pPr>
      <w:r>
        <w:rPr>
          <w:b w:val="0"/>
          <w:i w:val="0"/>
          <w:sz w:val="21"/>
        </w:rPr>
        <w:t>Esta proposta apresenta a terceirização da construção e da operação dessa máquina de expansão. Não entramos como agência de marketing, consultor pontual ou fornecedor de leads. Assumimos o Go-to-Market completo da venda de franquias — da estratégia à escala — construindo e operando cada nó da jornada que separa o investimento em mídia da assinatura de um novo franqueado.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4571B"/>
          </w:tcPr>
          <w:p>
            <w:r/>
            <w:r>
              <w:rPr>
                <w:b/>
                <w:color w:val="FFFFFF"/>
                <w:sz w:val="21"/>
              </w:rPr>
              <w:t>Proposta de valor em uma frase</w:t>
            </w:r>
          </w:p>
          <w:p>
            <w:r>
              <w:rPr>
                <w:color w:val="FFFFFF"/>
                <w:sz w:val="19"/>
              </w:rPr>
              <w:t>Uma máquina de expansão de franquias previsível, mensurável e governada — construída, operada e otimizada de ponta a ponta por um parceiro dedicado — que converte investimento em mídia em franqueados assinados, com custo de aquisição conhecido e capacidade de escala.</w:t>
            </w:r>
          </w:p>
        </w:tc>
      </w:tr>
    </w:tbl>
    <w:p>
      <w:pPr>
        <w:spacing w:after="40"/>
      </w:pPr>
    </w:p>
    <w:p>
      <w:pPr>
        <w:pStyle w:val="Heading2"/>
      </w:pPr>
      <w:r>
        <w:t>O ciclo que assumimos</w:t>
      </w:r>
    </w:p>
    <w:p>
      <w:pPr>
        <w:spacing w:after="120"/>
      </w:pPr>
      <w:r>
        <w:rPr>
          <w:b/>
          <w:i w:val="0"/>
          <w:color w:val="0B1F3A"/>
          <w:sz w:val="21"/>
        </w:rPr>
        <w:t>Estratégia → Oferta → Aquisição → Conversão → CRM → Pré-vendas → Vendas → Gestão → Otimização → Escala.</w:t>
      </w:r>
    </w:p>
    <w:p>
      <w:pPr>
        <w:spacing w:after="120"/>
      </w:pPr>
      <w:r>
        <w:rPr>
          <w:b w:val="0"/>
          <w:i w:val="0"/>
          <w:sz w:val="21"/>
        </w:rPr>
        <w:t>Cada elo desse ciclo é um entregável concreto desta operação, descrito nas seções a seguir. O ponto de partida do investimento em mídia é de aproximadamente R$ 10.000/mês, escalado progressivamente conforme os resultados do funil e a capacidade comercial instalada.</w:t>
      </w:r>
    </w:p>
    <w:p>
      <w:pPr>
        <w:spacing w:after="40"/>
      </w:pPr>
      <w:r>
        <w:rPr>
          <w:i/>
          <w:color w:val="5A6372"/>
          <w:sz w:val="18"/>
        </w:rPr>
        <w:t>Metas quantitativas de funil e de vendas serão consolidadas no forecasting (Seção 6), a partir dos dados de oferta, ticket e capacidade fornecidos pela Rocket SF. Nenhum número de resultado é assumido sem essa calibração.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Indicador de referência</w:t>
            </w:r>
          </w:p>
        </w:tc>
        <w:tc>
          <w:tcPr>
            <w:tcW w:type="dxa" w:w="283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Situação inicial</w:t>
            </w:r>
          </w:p>
        </w:tc>
        <w:tc>
          <w:tcPr>
            <w:tcW w:type="dxa" w:w="3402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Investimento inicial em mídia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≈ R$ 10.000 / mês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Escala progressiva orientada a resultado</w:t>
            </w:r>
          </w:p>
        </w:tc>
      </w:tr>
      <w:tr>
        <w:tc>
          <w:tcPr>
            <w:tcW w:type="dxa" w:w="368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Time comercial inicial</w:t>
            </w:r>
          </w:p>
        </w:tc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0 dedicado à franquia</w:t>
            </w:r>
          </w:p>
        </w:tc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 pré-vendas + 1 closer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CRM de franquias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Inexistente / compartilhado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CRM dedicado e governado</w:t>
            </w:r>
          </w:p>
        </w:tc>
      </w:tr>
      <w:tr>
        <w:tc>
          <w:tcPr>
            <w:tcW w:type="dxa" w:w="368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Máquina de aquisição</w:t>
            </w:r>
          </w:p>
        </w:tc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 construir</w:t>
            </w:r>
          </w:p>
        </w:tc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Campanhas no ar em ~[X] semanas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Metas de funil (leads → franquias)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 calibrar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Ver Seção 6 — Forecasting</w:t>
            </w:r>
          </w:p>
        </w:tc>
      </w:tr>
    </w:tbl>
    <w:p>
      <w:pPr>
        <w:spacing w:after="40"/>
      </w:pPr>
    </w:p>
    <w:p>
      <w:pPr>
        <w:pStyle w:val="Heading1"/>
      </w:pPr>
      <w:r>
        <w:t>2. Enquadramento — o que estamos (e o que não estamos) assumindo</w:t>
      </w:r>
    </w:p>
    <w:p>
      <w:pPr>
        <w:spacing w:after="120"/>
      </w:pPr>
      <w:r>
        <w:rPr>
          <w:b w:val="0"/>
          <w:i w:val="0"/>
          <w:sz w:val="21"/>
        </w:rPr>
        <w:t>Para que não reste ambiguidade sobre a natureza do vínculo, o quadro abaixo delimita o escopo antes de detalhá-lo. A percepção correta é: a Rocket SF terceiriza para este parceiro a construção e a operação da sua máquina de expansão de franquias.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961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Estamos assumindo</w:t>
            </w:r>
          </w:p>
        </w:tc>
        <w:tc>
          <w:tcPr>
            <w:tcW w:type="dxa" w:w="4961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Não estamos assumindo</w:t>
            </w:r>
          </w:p>
        </w:tc>
      </w:tr>
      <w:tr>
        <w:tc>
          <w:tcPr>
            <w:tcW w:type="dxa" w:w="496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Desenho completo do Go-to-Market da expansão de franquias</w:t>
            </w:r>
          </w:p>
        </w:tc>
        <w:tc>
          <w:tcPr>
            <w:tcW w:type="dxa" w:w="496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 concessão jurídica da franquia e a titularidade da marca (permanecem com a Rocket SF)</w:t>
            </w:r>
          </w:p>
        </w:tc>
      </w:tr>
      <w:tr>
        <w:tc>
          <w:tcPr>
            <w:tcW w:type="dxa" w:w="496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Construção e gestão da estrutura de marketing (copy, design, tráfego)</w:t>
            </w:r>
          </w:p>
        </w:tc>
        <w:tc>
          <w:tcPr>
            <w:tcW w:type="dxa" w:w="496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Definição do modelo de negócio, taxas e regras da franquia (competência da Rocket SF)</w:t>
            </w:r>
          </w:p>
        </w:tc>
      </w:tr>
      <w:tr>
        <w:tc>
          <w:tcPr>
            <w:tcW w:type="dxa" w:w="496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Operação de mídia e aquisição de candidatos</w:t>
            </w:r>
          </w:p>
        </w:tc>
        <w:tc>
          <w:tcPr>
            <w:tcW w:type="dxa" w:w="496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Elaboração da COF e dos instrumentos jurídicos (advogado/jurídico da Rocket SF)</w:t>
            </w:r>
          </w:p>
        </w:tc>
      </w:tr>
      <w:tr>
        <w:tc>
          <w:tcPr>
            <w:tcW w:type="dxa" w:w="496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Implantação e operação do CRM dedicado de franquias</w:t>
            </w:r>
          </w:p>
        </w:tc>
        <w:tc>
          <w:tcPr>
            <w:tcW w:type="dxa" w:w="496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Aprovação final de cada candidato a franqueado (decisão da Rocket SF)</w:t>
            </w:r>
          </w:p>
        </w:tc>
      </w:tr>
      <w:tr>
        <w:tc>
          <w:tcPr>
            <w:tcW w:type="dxa" w:w="496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Construção, gestão e performance do time de pré-vendas e vendas</w:t>
            </w:r>
          </w:p>
        </w:tc>
        <w:tc>
          <w:tcPr>
            <w:tcW w:type="dxa" w:w="496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Implantação, treinamento operacional e onboarding do franqueado após a assinatura</w:t>
            </w:r>
          </w:p>
        </w:tc>
      </w:tr>
      <w:tr>
        <w:tc>
          <w:tcPr>
            <w:tcW w:type="dxa" w:w="496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Gestão e otimização contínua de todo o funil comercial</w:t>
            </w:r>
          </w:p>
        </w:tc>
        <w:tc>
          <w:tcPr>
            <w:tcW w:type="dxa" w:w="496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Garantia de um número específico de vendas independente das variáveis da Seção 15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B1F3A"/>
          </w:tcPr>
          <w:p>
            <w:r/>
            <w:r>
              <w:rPr>
                <w:b/>
                <w:color w:val="FFFFFF"/>
                <w:sz w:val="21"/>
              </w:rPr>
              <w:t>Posicionamento</w:t>
            </w:r>
          </w:p>
          <w:p>
            <w:r>
              <w:rPr>
                <w:color w:val="FFFFFF"/>
                <w:sz w:val="19"/>
              </w:rPr>
              <w:t>Isto não é uma prestação de serviço de marketing avulsa. É a operação terceirizada de uma área comercial inteira — a máquina de expansão de franquias da Rocket SF — com responsabilidade sobre a construção, a implantação, a gestão e a otimização do sistema que gera franqueados.</w:t>
            </w:r>
          </w:p>
        </w:tc>
      </w:tr>
    </w:tbl>
    <w:p>
      <w:pPr>
        <w:spacing w:after="40"/>
      </w:pPr>
    </w:p>
    <w:p>
      <w:pPr>
        <w:pStyle w:val="Heading1"/>
      </w:pPr>
      <w:r>
        <w:t>3. Estratégia e Go-to-Market</w:t>
      </w:r>
    </w:p>
    <w:p>
      <w:pPr>
        <w:spacing w:after="120"/>
      </w:pPr>
      <w:r>
        <w:rPr>
          <w:b w:val="0"/>
          <w:i w:val="0"/>
          <w:sz w:val="21"/>
        </w:rPr>
        <w:t>O primeiro bloco de trabalho é estratégico: construímos a fundação comercial completa da expansão. Sem essa camada, mídia vira custo; com ela, mídia vira franquias vendidas. Construiremos todos os nós da jornada necessários para transformar investimento em mídia em franquias assinadas.</w:t>
      </w:r>
    </w:p>
    <w:p>
      <w:pPr>
        <w:pStyle w:val="Heading2"/>
      </w:pPr>
      <w:r>
        <w:t>3.1. Entregáveis da estratégia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Bloco</w:t>
            </w:r>
          </w:p>
        </w:tc>
        <w:tc>
          <w:tcPr>
            <w:tcW w:type="dxa" w:w="7087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O que construímos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ICP do franqueado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Perfil ideal do franqueado (capacidade de investimento, perfil empreendedor, região, aderência ao setor de transporte/financeiro)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Personas prioritárias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Personas de decisão e seus contextos (investidor, operador, empresário do setor, profissional em transição de carreira)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Gatilhos de compra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Principais motivadores que levam alguém a comprar uma franquia da Rocket SF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Proposta de valor da franquia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Articulação clara do porquê investir na Rocket SF versus alternativas de investimento e outras franquias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Argumentos comerciais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Repositório de argumentos por persona e por etapa do funil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Objeções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Mapa das principais objeções (preço, retorno, risco, território) e respostas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Estruturação da oferta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Formatação da oferta de franquia para maximizar conversão (condições, ancoragem, urgência legítima, prova)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Canais de aquisição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Definição e priorização dos canais (Meta, Google, LinkedIn, portais de franquia, indicação, outbound)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Jornada do candidato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Desenho completo do caminho do primeiro clique à assinatura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Funil comercial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Estágios do funil, critérios de passagem e metas por etapa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Metas e indicadores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Metas por etapa e árvore de indicadores (Seção 11)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Estratégia de escala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Regras objetivas para crescer mídia e time (Seção 17)</w:t>
            </w:r>
          </w:p>
        </w:tc>
      </w:tr>
    </w:tbl>
    <w:p>
      <w:pPr>
        <w:spacing w:after="40"/>
      </w:pPr>
    </w:p>
    <w:p>
      <w:pPr>
        <w:pStyle w:val="Heading2"/>
      </w:pPr>
      <w:r>
        <w:t>3.2. BoltAI na construção e operação da jornada</w:t>
      </w:r>
    </w:p>
    <w:p>
      <w:pPr>
        <w:spacing w:after="120"/>
      </w:pPr>
      <w:r>
        <w:rPr>
          <w:b w:val="0"/>
          <w:i w:val="0"/>
          <w:sz w:val="21"/>
        </w:rPr>
        <w:t>Utilizaremos o BoltAI como camada de apoio à construção, automação, análise e otimização da jornada: aceleração da produção de ativos (ângulos, copies, variações de criativo e páginas), automação de etapas do funil e das cadências, análise de dados de conversão e geração de hipóteses de otimização. O BoltAI amplia a velocidade e a profundidade da operação — não substitui a governança humana das decisões comerciais e de compliance.</w:t>
      </w:r>
    </w:p>
    <w:p>
      <w:pPr>
        <w:pStyle w:val="Heading1"/>
      </w:pPr>
      <w:r>
        <w:t>4. Estrutura de Marketing</w:t>
      </w:r>
    </w:p>
    <w:p>
      <w:pPr>
        <w:spacing w:after="120"/>
      </w:pPr>
      <w:r>
        <w:rPr>
          <w:b w:val="0"/>
          <w:i w:val="0"/>
          <w:sz w:val="21"/>
        </w:rPr>
        <w:t>Montamos e gerimos a estrutura de marketing necessária para a aquisição de candidatos. Isso inclui a contratação e a gestão dos profissionais e a responsabilidade por toda a produção de aquisição.</w:t>
      </w:r>
    </w:p>
    <w:p>
      <w:pPr>
        <w:pStyle w:val="Heading2"/>
      </w:pPr>
      <w:r>
        <w:t>4.1. Profissionais 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7370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Responsabilidades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Copywriter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Conceitos, ângulos, copies de anúncios, páginas e cadências</w:t>
            </w:r>
          </w:p>
        </w:tc>
      </w:tr>
      <w:tr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Designer</w:t>
            </w:r>
          </w:p>
        </w:tc>
        <w:tc>
          <w:tcPr>
            <w:tcW w:type="dxa" w:w="737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Criativos estáticos e em vídeo, identidade das campanhas, layout das landing pages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Gestor de tráfego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Estruturação, veiculação, otimização e escala das campanhas de mídia paga e remarketing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Entregáveis dessa frente: criação das campanhas; desenvolvimento de conceitos e ângulos; copies; criativos; landing pages; páginas/formulários de captação; campanhas de aquisição; remarketing; testes de ofertas; testes de criativos; e otimização contínua.</w:t>
      </w:r>
    </w:p>
    <w:p>
      <w:pPr>
        <w:pStyle w:val="Heading2"/>
      </w:pPr>
      <w:r>
        <w:t>4.2. Quem contrata, gere e paga</w:t>
      </w:r>
    </w:p>
    <w:p>
      <w:pPr>
        <w:spacing w:after="40"/>
      </w:pPr>
      <w:r>
        <w:rPr>
          <w:i/>
          <w:color w:val="5A6372"/>
          <w:sz w:val="18"/>
        </w:rPr>
        <w:t>A responsabilidade pela seleção e gestão desses profissionais é de [Sua Empresa]. A definição de quem arca com a remuneração de cada um — se está incluída na remuneração da operação ou é custo à parte da Rocket SF — é consolidada na Seção 14 (Custos da Operação).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402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Contratação / Gestão</w:t>
            </w:r>
          </w:p>
        </w:tc>
        <w:tc>
          <w:tcPr>
            <w:tcW w:type="dxa" w:w="368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Pagamento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Copywriter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[a definir — ver Seção 14]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Designer</w:t>
            </w:r>
          </w:p>
        </w:tc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</w:t>
            </w:r>
          </w:p>
        </w:tc>
        <w:tc>
          <w:tcPr>
            <w:tcW w:type="dxa" w:w="368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[a definir — ver Seção 14]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Gestor de tráfego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[a definir — ver Seção 14]</w:t>
            </w:r>
          </w:p>
        </w:tc>
      </w:tr>
    </w:tbl>
    <w:p>
      <w:pPr>
        <w:spacing w:after="40"/>
      </w:pPr>
    </w:p>
    <w:p>
      <w:pPr>
        <w:pStyle w:val="Heading1"/>
      </w:pPr>
      <w:r>
        <w:t>5. Mídia e Aquisição</w:t>
      </w:r>
    </w:p>
    <w:p>
      <w:pPr>
        <w:spacing w:after="120"/>
      </w:pPr>
      <w:r>
        <w:rPr>
          <w:b w:val="0"/>
          <w:i w:val="0"/>
          <w:sz w:val="21"/>
        </w:rPr>
        <w:t>A operação começa com aproximadamente R$ 10.000/mês de investimento em mídia. Esse valor é o ponto de partida e será escalado progressivamente conforme os resultados do funil e a capacidade do time comercial de absorver o volume — nunca antes de o funil comprovar eficiência.</w:t>
      </w:r>
    </w:p>
    <w:p>
      <w:pPr>
        <w:spacing w:after="120"/>
      </w:pPr>
      <w:r>
        <w:rPr>
          <w:b/>
          <w:i w:val="0"/>
          <w:color w:val="0B1F3A"/>
          <w:sz w:val="21"/>
        </w:rPr>
        <w:t>A lógica de aquisição segue a cadeia abaixo. Ela conecta cada real investido ao resultado final e é o que permite decidir, com dado, quando escalar: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Etapa da cadeia</w:t>
            </w:r>
          </w:p>
        </w:tc>
        <w:tc>
          <w:tcPr>
            <w:tcW w:type="dxa" w:w="6520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O que mede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Investimento em mídia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Capital alocado em aquisição no período</w:t>
            </w:r>
          </w:p>
        </w:tc>
      </w:tr>
      <w:tr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Leads</w:t>
            </w:r>
          </w:p>
        </w:tc>
        <w:tc>
          <w:tcPr>
            <w:tcW w:type="dxa" w:w="652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Candidatos captados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Leads qualificados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Candidatos com fit de perfil e capacidade de investimento</w:t>
            </w:r>
          </w:p>
        </w:tc>
      </w:tr>
      <w:tr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Reuniões</w:t>
            </w:r>
          </w:p>
        </w:tc>
        <w:tc>
          <w:tcPr>
            <w:tcW w:type="dxa" w:w="652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Reuniões de apresentação realizadas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Propostas / aprovações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Candidatos que avançam para proposta e aprovação</w:t>
            </w:r>
          </w:p>
        </w:tc>
      </w:tr>
      <w:tr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Franquias vendidas</w:t>
            </w:r>
          </w:p>
        </w:tc>
        <w:tc>
          <w:tcPr>
            <w:tcW w:type="dxa" w:w="652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Contratos de franquia assinados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CAC por franquia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Custo total de aquisição dividido pelas franquias vendidas</w:t>
            </w:r>
          </w:p>
        </w:tc>
      </w:tr>
      <w:tr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Receita gerada</w:t>
            </w:r>
          </w:p>
        </w:tc>
        <w:tc>
          <w:tcPr>
            <w:tcW w:type="dxa" w:w="652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Receita de taxa de franquia e recorrências decorrentes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A modelagem quantitativa dessa cadeia — volumes, taxas de conversão e valores — é apresentada no forecasting (Seção 6), a ser fornecido separadamente. Nenhum número é assumido nesta proposta além do investimento inicial de mídia informado pela Rocket SF.</w:t>
      </w:r>
    </w:p>
    <w:p>
      <w:pPr>
        <w:pStyle w:val="Heading1"/>
      </w:pPr>
      <w:r>
        <w:t>6. Forecasting de Aquisição e Vendas</w:t>
      </w:r>
    </w:p>
    <w:p>
      <w:pPr>
        <w:spacing w:after="120"/>
      </w:pPr>
      <w:r>
        <w:rPr>
          <w:b w:val="0"/>
          <w:i w:val="0"/>
          <w:sz w:val="21"/>
        </w:rPr>
        <w:t>Esta seção é o espaço reservado para incorporar o forecasting de aquisição e vendas, fornecido separadamente. A estrutura abaixo espelha a cadeia da Seção 5 e será preenchida com os números calibrados a partir da oferta, do ticket da franquia e da capacidade comercial.</w:t>
      </w:r>
    </w:p>
    <w:p>
      <w:pPr>
        <w:spacing w:after="40"/>
      </w:pPr>
      <w:r>
        <w:rPr>
          <w:i/>
          <w:color w:val="5A6372"/>
          <w:sz w:val="18"/>
        </w:rPr>
        <w:t>Campos a preencher com o forecasting fornecido pela Rocket SF / [Sua Empresa]. Os valores são premissas de planejamento, revisadas mensalmente contra o realizado (Seção 16 — Governança).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66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120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Mês 1</w:t>
            </w:r>
          </w:p>
        </w:tc>
        <w:tc>
          <w:tcPr>
            <w:tcW w:type="dxa" w:w="120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Mês 2</w:t>
            </w:r>
          </w:p>
        </w:tc>
        <w:tc>
          <w:tcPr>
            <w:tcW w:type="dxa" w:w="120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Mês 3</w:t>
            </w:r>
          </w:p>
        </w:tc>
        <w:tc>
          <w:tcPr>
            <w:tcW w:type="dxa" w:w="120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Mês 4</w:t>
            </w:r>
          </w:p>
        </w:tc>
        <w:tc>
          <w:tcPr>
            <w:tcW w:type="dxa" w:w="120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Mês 5</w:t>
            </w:r>
          </w:p>
        </w:tc>
        <w:tc>
          <w:tcPr>
            <w:tcW w:type="dxa" w:w="120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Mês 6</w:t>
            </w:r>
          </w:p>
        </w:tc>
      </w:tr>
      <w:tr>
        <w:tc>
          <w:tcPr>
            <w:tcW w:type="dxa" w:w="266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Investimento em mídia (R$)</w:t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6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Leads</w:t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6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Leads qualificados</w:t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6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Reuniões realizadas</w:t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6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Propostas / aprovações</w:t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6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Franquias vendidas</w:t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6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CAC por franquia (R$)</w:t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6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Receita gerada (R$)</w:t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B1F3A"/>
          </w:tcPr>
          <w:p>
            <w:r/>
            <w:r>
              <w:rPr>
                <w:b/>
                <w:color w:val="FFFFFF"/>
                <w:sz w:val="21"/>
              </w:rPr>
              <w:t>Como leremos o forecasting</w:t>
            </w:r>
          </w:p>
          <w:p>
            <w:r>
              <w:rPr>
                <w:color w:val="FFFFFF"/>
                <w:sz w:val="19"/>
              </w:rPr>
              <w:t>O forecasting é um instrumento de gestão, não uma promessa de resultado. Ele define as premissas de conversão por etapa; a operação existe justamente para perseguir e, quando possível, superar essas taxas — e para recalibrá-las quando o mercado responder diferente do previsto.</w:t>
            </w:r>
          </w:p>
        </w:tc>
      </w:tr>
    </w:tbl>
    <w:p>
      <w:pPr>
        <w:spacing w:after="40"/>
      </w:pPr>
    </w:p>
    <w:p>
      <w:pPr>
        <w:pStyle w:val="Heading1"/>
      </w:pPr>
      <w:r>
        <w:t>7. Infraestrutura Comercial — CRM dedicado</w:t>
      </w:r>
    </w:p>
    <w:p>
      <w:pPr>
        <w:spacing w:after="120"/>
      </w:pPr>
      <w:r>
        <w:rPr>
          <w:b w:val="0"/>
          <w:i w:val="0"/>
          <w:sz w:val="21"/>
        </w:rPr>
        <w:t>Implantamos um CRM separado e dedicado exclusivamente à venda de franquias — isolado das demais operações da Rocket SF —, garantindo que o pipeline de expansão tenha dados limpos, rastreáveis e próprios. O projeto contempla:</w:t>
      </w:r>
    </w:p>
    <w:p>
      <w:pPr>
        <w:pStyle w:val="ListBullet"/>
        <w:spacing w:after="40"/>
      </w:pPr>
      <w:r>
        <w:rPr>
          <w:sz w:val="21"/>
        </w:rPr>
        <w:t>Definição das etapas do pipeline;</w:t>
      </w:r>
    </w:p>
    <w:p>
      <w:pPr>
        <w:pStyle w:val="ListBullet"/>
        <w:spacing w:after="40"/>
      </w:pPr>
      <w:r>
        <w:rPr>
          <w:sz w:val="21"/>
        </w:rPr>
        <w:t>Configuração do CRM;</w:t>
      </w:r>
    </w:p>
    <w:p>
      <w:pPr>
        <w:pStyle w:val="ListBullet"/>
        <w:spacing w:after="40"/>
      </w:pPr>
      <w:r>
        <w:rPr>
          <w:sz w:val="21"/>
        </w:rPr>
        <w:t>Integração dos canais de aquisição (formulários, landing pages, mídia);</w:t>
      </w:r>
    </w:p>
    <w:p>
      <w:pPr>
        <w:pStyle w:val="ListBullet"/>
        <w:spacing w:after="40"/>
      </w:pPr>
      <w:r>
        <w:rPr>
          <w:sz w:val="21"/>
        </w:rPr>
        <w:t>Distribuição dos leads (roteamento e rodízio entre pré-vendas);</w:t>
      </w:r>
    </w:p>
    <w:p>
      <w:pPr>
        <w:pStyle w:val="ListBullet"/>
        <w:spacing w:after="40"/>
      </w:pPr>
      <w:r>
        <w:rPr>
          <w:sz w:val="21"/>
        </w:rPr>
        <w:t>Automações;</w:t>
      </w:r>
    </w:p>
    <w:p>
      <w:pPr>
        <w:pStyle w:val="ListBullet"/>
        <w:spacing w:after="40"/>
      </w:pPr>
      <w:r>
        <w:rPr>
          <w:sz w:val="21"/>
        </w:rPr>
        <w:t>Cadências comerciais;</w:t>
      </w:r>
    </w:p>
    <w:p>
      <w:pPr>
        <w:pStyle w:val="ListBullet"/>
        <w:spacing w:after="40"/>
      </w:pPr>
      <w:r>
        <w:rPr>
          <w:sz w:val="21"/>
        </w:rPr>
        <w:t>Tarefas e SLAs;</w:t>
      </w:r>
    </w:p>
    <w:p>
      <w:pPr>
        <w:pStyle w:val="ListBullet"/>
        <w:spacing w:after="40"/>
      </w:pPr>
      <w:r>
        <w:rPr>
          <w:sz w:val="21"/>
        </w:rPr>
        <w:t>Motivos de perda;</w:t>
      </w:r>
    </w:p>
    <w:p>
      <w:pPr>
        <w:pStyle w:val="ListBullet"/>
        <w:spacing w:after="40"/>
      </w:pPr>
      <w:r>
        <w:rPr>
          <w:sz w:val="21"/>
        </w:rPr>
        <w:t>Dashboards;</w:t>
      </w:r>
    </w:p>
    <w:p>
      <w:pPr>
        <w:pStyle w:val="ListBullet"/>
        <w:spacing w:after="40"/>
      </w:pPr>
      <w:r>
        <w:rPr>
          <w:sz w:val="21"/>
        </w:rPr>
        <w:t>Acompanhamento de conversão por etapa;</w:t>
      </w:r>
    </w:p>
    <w:p>
      <w:pPr>
        <w:pStyle w:val="ListBullet"/>
        <w:spacing w:after="40"/>
      </w:pPr>
      <w:r>
        <w:rPr>
          <w:sz w:val="21"/>
        </w:rPr>
        <w:t>Acompanhamento da produtividade comercial.</w:t>
      </w:r>
    </w:p>
    <w:p>
      <w:pPr>
        <w:pStyle w:val="Heading2"/>
      </w:pPr>
      <w:r>
        <w:t>7.1. Pipeline de referência</w:t>
      </w:r>
    </w:p>
    <w:p>
      <w:pPr>
        <w:spacing w:after="40"/>
      </w:pPr>
      <w:r>
        <w:rPr>
          <w:i/>
          <w:color w:val="5A6372"/>
          <w:sz w:val="18"/>
        </w:rPr>
        <w:t>As etapas são calibradas na Fase 1 conforme o ciclo real de venda da franquia Rocket SF.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Etapa do pipeline</w:t>
            </w:r>
          </w:p>
        </w:tc>
        <w:tc>
          <w:tcPr>
            <w:tcW w:type="dxa" w:w="6803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Definição / gatilho de avanço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Novo lead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Candidato captado, ainda não trabalhado</w:t>
            </w:r>
          </w:p>
        </w:tc>
      </w:tr>
      <w:tr>
        <w:tc>
          <w:tcPr>
            <w:tcW w:type="dxa" w:w="3118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Em qualificação</w:t>
            </w:r>
          </w:p>
        </w:tc>
        <w:tc>
          <w:tcPr>
            <w:tcW w:type="dxa" w:w="6803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Pré-vendas em contato para validar fit e capacidade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Qualificado (MQL→SQL)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Fit e capacidade confirmados; apto a reunião</w:t>
            </w:r>
          </w:p>
        </w:tc>
      </w:tr>
      <w:tr>
        <w:tc>
          <w:tcPr>
            <w:tcW w:type="dxa" w:w="3118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Reunião agendada</w:t>
            </w:r>
          </w:p>
        </w:tc>
        <w:tc>
          <w:tcPr>
            <w:tcW w:type="dxa" w:w="6803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Reunião de apresentação marcada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Reunião realizada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Apresentação da franquia concluída</w:t>
            </w:r>
          </w:p>
        </w:tc>
      </w:tr>
      <w:tr>
        <w:tc>
          <w:tcPr>
            <w:tcW w:type="dxa" w:w="3118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Em análise/proposta</w:t>
            </w:r>
          </w:p>
        </w:tc>
        <w:tc>
          <w:tcPr>
            <w:tcW w:type="dxa" w:w="6803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Candidato em análise e proposta apresentada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Negociação / documentação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Negociação e trâmite de COF/instrumentos, quando aplicável</w:t>
            </w:r>
          </w:p>
        </w:tc>
      </w:tr>
      <w:tr>
        <w:tc>
          <w:tcPr>
            <w:tcW w:type="dxa" w:w="3118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Fechado — ganho</w:t>
            </w:r>
          </w:p>
        </w:tc>
        <w:tc>
          <w:tcPr>
            <w:tcW w:type="dxa" w:w="6803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Contrato assinado; handoff para implantação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Fechado — perdido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Registro com motivo de perda estruturado</w:t>
            </w:r>
          </w:p>
        </w:tc>
      </w:tr>
    </w:tbl>
    <w:p>
      <w:pPr>
        <w:spacing w:after="40"/>
      </w:pPr>
    </w:p>
    <w:p>
      <w:pPr>
        <w:pStyle w:val="Heading1"/>
      </w:pPr>
      <w:r>
        <w:t>8. Construção do Time Comercial</w:t>
      </w:r>
    </w:p>
    <w:p>
      <w:pPr>
        <w:spacing w:after="120"/>
      </w:pPr>
      <w:r>
        <w:rPr>
          <w:b w:val="0"/>
          <w:i w:val="0"/>
          <w:sz w:val="21"/>
        </w:rPr>
        <w:t>Estruturamos inicialmente um time dedicado composto por 2 profissionais de pré-vendas (SDRs) + 1 closer, responsável por conduzir o candidato da qualificação ao fechamento.</w:t>
      </w:r>
    </w:p>
    <w:p>
      <w:pPr>
        <w:pStyle w:val="Heading2"/>
      </w:pPr>
      <w:r>
        <w:t>8.1. Nossa responsabilidade sobre o time</w:t>
      </w:r>
    </w:p>
    <w:p>
      <w:pPr>
        <w:pStyle w:val="ListBullet"/>
        <w:spacing w:after="40"/>
      </w:pPr>
      <w:r>
        <w:rPr>
          <w:sz w:val="21"/>
        </w:rPr>
        <w:t>Definição do perfil das vagas;</w:t>
      </w:r>
    </w:p>
    <w:p>
      <w:pPr>
        <w:pStyle w:val="ListBullet"/>
        <w:spacing w:after="40"/>
      </w:pPr>
      <w:r>
        <w:rPr>
          <w:sz w:val="21"/>
        </w:rPr>
        <w:t>Apoio e condução do recrutamento;</w:t>
      </w:r>
    </w:p>
    <w:p>
      <w:pPr>
        <w:pStyle w:val="ListBullet"/>
        <w:spacing w:after="40"/>
      </w:pPr>
      <w:r>
        <w:rPr>
          <w:sz w:val="21"/>
        </w:rPr>
        <w:t>Seleção;</w:t>
      </w:r>
    </w:p>
    <w:p>
      <w:pPr>
        <w:pStyle w:val="ListBullet"/>
        <w:spacing w:after="40"/>
      </w:pPr>
      <w:r>
        <w:rPr>
          <w:sz w:val="21"/>
        </w:rPr>
        <w:t>Onboarding;</w:t>
      </w:r>
    </w:p>
    <w:p>
      <w:pPr>
        <w:pStyle w:val="ListBullet"/>
        <w:spacing w:after="40"/>
      </w:pPr>
      <w:r>
        <w:rPr>
          <w:sz w:val="21"/>
        </w:rPr>
        <w:t>Treinamento;</w:t>
      </w:r>
    </w:p>
    <w:p>
      <w:pPr>
        <w:pStyle w:val="ListBullet"/>
        <w:spacing w:after="40"/>
      </w:pPr>
      <w:r>
        <w:rPr>
          <w:sz w:val="21"/>
        </w:rPr>
        <w:t>Scripts;</w:t>
      </w:r>
    </w:p>
    <w:p>
      <w:pPr>
        <w:pStyle w:val="ListBullet"/>
        <w:spacing w:after="40"/>
      </w:pPr>
      <w:r>
        <w:rPr>
          <w:sz w:val="21"/>
        </w:rPr>
        <w:t>Playbook comercial;</w:t>
      </w:r>
    </w:p>
    <w:p>
      <w:pPr>
        <w:pStyle w:val="ListBullet"/>
        <w:spacing w:after="40"/>
      </w:pPr>
      <w:r>
        <w:rPr>
          <w:sz w:val="21"/>
        </w:rPr>
        <w:t>Cadências;</w:t>
      </w:r>
    </w:p>
    <w:p>
      <w:pPr>
        <w:pStyle w:val="ListBullet"/>
        <w:spacing w:after="40"/>
      </w:pPr>
      <w:r>
        <w:rPr>
          <w:sz w:val="21"/>
        </w:rPr>
        <w:t>Definição de metas;</w:t>
      </w:r>
    </w:p>
    <w:p>
      <w:pPr>
        <w:pStyle w:val="ListBullet"/>
        <w:spacing w:after="40"/>
      </w:pPr>
      <w:r>
        <w:rPr>
          <w:sz w:val="21"/>
        </w:rPr>
        <w:t>Definição dos KPIs;</w:t>
      </w:r>
    </w:p>
    <w:p>
      <w:pPr>
        <w:pStyle w:val="ListBullet"/>
        <w:spacing w:after="40"/>
      </w:pPr>
      <w:r>
        <w:rPr>
          <w:sz w:val="21"/>
        </w:rPr>
        <w:t>Rotina de gestão;</w:t>
      </w:r>
    </w:p>
    <w:p>
      <w:pPr>
        <w:pStyle w:val="ListBullet"/>
        <w:spacing w:after="40"/>
      </w:pPr>
      <w:r>
        <w:rPr>
          <w:sz w:val="21"/>
        </w:rPr>
        <w:t>Acompanhamento da performance.</w:t>
      </w:r>
    </w:p>
    <w:p>
      <w:pPr>
        <w:spacing w:after="120"/>
      </w:pPr>
      <w:r>
        <w:rPr>
          <w:b w:val="0"/>
          <w:i w:val="0"/>
          <w:sz w:val="21"/>
        </w:rPr>
        <w:t>Nós gerimos esse time no dia a dia. A definição de quem arca com a remuneração (salário/variável) de cada profissional é consolidada na Seção 14.</w:t>
      </w:r>
    </w:p>
    <w:p>
      <w:pPr>
        <w:pStyle w:val="Heading2"/>
      </w:pPr>
      <w:r>
        <w:t>8.2. Estrutura inicial e crescimento</w:t>
      </w:r>
    </w:p>
    <w:p>
      <w:pPr>
        <w:spacing w:after="40"/>
      </w:pPr>
      <w:r>
        <w:rPr>
          <w:i/>
          <w:color w:val="5A6372"/>
          <w:sz w:val="18"/>
        </w:rPr>
        <w:t>A estrutura cresce puxada pelo funil: só se adiciona capacidade comercial quando o gargalo comprovadamente migra para a etapa correspondente. Critérios objetivos na Seção 17.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3402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Estrutura comercial</w:t>
            </w:r>
          </w:p>
        </w:tc>
        <w:tc>
          <w:tcPr>
            <w:tcW w:type="dxa" w:w="453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Gatilho de expansão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Lançamento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 pré-vendas + 1 closer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984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Escala 1</w:t>
            </w:r>
          </w:p>
        </w:tc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+1 pré-venda</w:t>
            </w:r>
          </w:p>
        </w:tc>
        <w:tc>
          <w:tcPr>
            <w:tcW w:type="dxa" w:w="453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Volume de leads qualificados acima da capacidade de contato/SLA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Escala 2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+1 closer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Reuniões qualificadas acima da capacidade de fechamento do closer atual</w:t>
            </w:r>
          </w:p>
        </w:tc>
      </w:tr>
      <w:tr>
        <w:tc>
          <w:tcPr>
            <w:tcW w:type="dxa" w:w="1984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Escala 3</w:t>
            </w:r>
          </w:p>
        </w:tc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Coordenação/liderança comercial</w:t>
            </w:r>
          </w:p>
        </w:tc>
        <w:tc>
          <w:tcPr>
            <w:tcW w:type="dxa" w:w="453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Time atinge tamanho que exige gestão dedicada em camada</w:t>
            </w:r>
          </w:p>
        </w:tc>
      </w:tr>
    </w:tbl>
    <w:p>
      <w:pPr>
        <w:spacing w:after="40"/>
      </w:pPr>
    </w:p>
    <w:p>
      <w:pPr>
        <w:pStyle w:val="Heading1"/>
      </w:pPr>
      <w:r>
        <w:t>9. Processo de Venda</w:t>
      </w:r>
    </w:p>
    <w:p>
      <w:pPr>
        <w:spacing w:after="120"/>
      </w:pPr>
      <w:r>
        <w:rPr>
          <w:b w:val="0"/>
          <w:i w:val="0"/>
          <w:sz w:val="21"/>
        </w:rPr>
        <w:t>Estruturamos a jornada comercial completa, do primeiro contato à assinatura do novo franqueado, com início e fim de responsabilidade explícitos.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54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5499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226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Responsável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Lead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Entrada do candidato pelos canais de aquisição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Marketing</w:t>
            </w:r>
          </w:p>
        </w:tc>
      </w:tr>
      <w:tr>
        <w:tc>
          <w:tcPr>
            <w:tcW w:type="dxa" w:w="2154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Qualificação</w:t>
            </w:r>
          </w:p>
        </w:tc>
        <w:tc>
          <w:tcPr>
            <w:tcW w:type="dxa" w:w="5499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Validação de fit, perfil e capacidade de investimento</w:t>
            </w:r>
          </w:p>
        </w:tc>
        <w:tc>
          <w:tcPr>
            <w:tcW w:type="dxa" w:w="226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Pré-vendas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Contato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Abordagem e engajamento dentro do SLA de primeira resposta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Pré-vendas</w:t>
            </w:r>
          </w:p>
        </w:tc>
      </w:tr>
      <w:tr>
        <w:tc>
          <w:tcPr>
            <w:tcW w:type="dxa" w:w="2154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Reunião</w:t>
            </w:r>
          </w:p>
        </w:tc>
        <w:tc>
          <w:tcPr>
            <w:tcW w:type="dxa" w:w="5499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Agendamento e realização da reunião</w:t>
            </w:r>
          </w:p>
        </w:tc>
        <w:tc>
          <w:tcPr>
            <w:tcW w:type="dxa" w:w="226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Pré-vendas → Closer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Apresentação da franquia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Apresentação do modelo, retorno e condições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Closer</w:t>
            </w:r>
          </w:p>
        </w:tc>
      </w:tr>
      <w:tr>
        <w:tc>
          <w:tcPr>
            <w:tcW w:type="dxa" w:w="2154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Análise do candidato</w:t>
            </w:r>
          </w:p>
        </w:tc>
        <w:tc>
          <w:tcPr>
            <w:tcW w:type="dxa" w:w="5499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Avaliação de aderência e capacidade</w:t>
            </w:r>
          </w:p>
        </w:tc>
        <w:tc>
          <w:tcPr>
            <w:tcW w:type="dxa" w:w="226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Closer + Rocket SF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Follow-up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Cadência de acompanhamento até a decisão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Closer</w:t>
            </w:r>
          </w:p>
        </w:tc>
      </w:tr>
      <w:tr>
        <w:tc>
          <w:tcPr>
            <w:tcW w:type="dxa" w:w="2154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Negociação</w:t>
            </w:r>
          </w:p>
        </w:tc>
        <w:tc>
          <w:tcPr>
            <w:tcW w:type="dxa" w:w="5499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Ajuste de condições e alinhamento final</w:t>
            </w:r>
          </w:p>
        </w:tc>
        <w:tc>
          <w:tcPr>
            <w:tcW w:type="dxa" w:w="226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Closer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Documentação / COF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Entrega da COF e instrumentos jurídicos, quando aplicável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Rocket SF (jurídico)</w:t>
            </w:r>
          </w:p>
        </w:tc>
      </w:tr>
      <w:tr>
        <w:tc>
          <w:tcPr>
            <w:tcW w:type="dxa" w:w="2154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Fechamento</w:t>
            </w:r>
          </w:p>
        </w:tc>
        <w:tc>
          <w:tcPr>
            <w:tcW w:type="dxa" w:w="5499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Aprovação final do candidato</w:t>
            </w:r>
          </w:p>
        </w:tc>
        <w:tc>
          <w:tcPr>
            <w:tcW w:type="dxa" w:w="226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Rocket SF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Assinatura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Assinatura do contrato de franquia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Rocket SF + Closer</w:t>
            </w:r>
          </w:p>
        </w:tc>
      </w:tr>
      <w:tr>
        <w:tc>
          <w:tcPr>
            <w:tcW w:type="dxa" w:w="2154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Handoff</w:t>
            </w:r>
          </w:p>
        </w:tc>
        <w:tc>
          <w:tcPr>
            <w:tcW w:type="dxa" w:w="5499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Passagem para implantação/onboarding do franqueado</w:t>
            </w:r>
          </w:p>
        </w:tc>
        <w:tc>
          <w:tcPr>
            <w:tcW w:type="dxa" w:w="226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 → Rocket SF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B1F3A"/>
          </w:tcPr>
          <w:p>
            <w:r/>
            <w:r>
              <w:rPr>
                <w:b/>
                <w:color w:val="FFFFFF"/>
                <w:sz w:val="21"/>
              </w:rPr>
              <w:t>Onde começa e onde termina a operação comercial</w:t>
            </w:r>
          </w:p>
          <w:p>
            <w:r>
              <w:rPr>
                <w:color w:val="FFFFFF"/>
                <w:sz w:val="19"/>
              </w:rPr>
              <w:t>Começa no lead (primeiro contato gerado pela máquina de aquisição). Termina no handoff — a passagem do franqueado assinado para a equipe de implantação/onboarding da Rocket SF. A entrega operacional da franquia (treinamento, sistemas, abertura da unidade) é responsabilidade da franqueadora.</w:t>
            </w:r>
          </w:p>
        </w:tc>
      </w:tr>
    </w:tbl>
    <w:p>
      <w:pPr>
        <w:spacing w:after="40"/>
      </w:pPr>
    </w:p>
    <w:p>
      <w:pPr>
        <w:pStyle w:val="Heading1"/>
      </w:pPr>
      <w:r>
        <w:t>10. Gestão e Otimização da Operação</w:t>
      </w:r>
    </w:p>
    <w:p>
      <w:pPr>
        <w:spacing w:after="120"/>
      </w:pPr>
      <w:r>
        <w:rPr>
          <w:b w:val="0"/>
          <w:i w:val="0"/>
          <w:sz w:val="21"/>
        </w:rPr>
        <w:t>A operação não termina na implantação. Depois de colocar a máquina no ar, assumimos a gestão e a otimização contínua do funil. A rotina de gestão inclui: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Frente de gestão</w:t>
            </w:r>
          </w:p>
        </w:tc>
        <w:tc>
          <w:tcPr>
            <w:tcW w:type="dxa" w:w="7370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O que fazemos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Ritmo de acompanhamento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Reuniões de acompanhamento e análise semanal do funil</w:t>
            </w:r>
          </w:p>
        </w:tc>
      </w:tr>
      <w:tr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Marketing</w:t>
            </w:r>
          </w:p>
        </w:tc>
        <w:tc>
          <w:tcPr>
            <w:tcW w:type="dxa" w:w="737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Gestão da estrutura de mídia, criativos e páginas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Pré-vendas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Gestão dos SDRs, SLAs, cadências e qualificação</w:t>
            </w:r>
          </w:p>
        </w:tc>
      </w:tr>
      <w:tr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Vendas</w:t>
            </w:r>
          </w:p>
        </w:tc>
        <w:tc>
          <w:tcPr>
            <w:tcW w:type="dxa" w:w="737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Gestão do closer, taxa de fechamento e ciclo de venda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Conversão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Análise de conversão por etapa e identificação de gargalos</w:t>
            </w:r>
          </w:p>
        </w:tc>
      </w:tr>
      <w:tr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Objeções</w:t>
            </w:r>
          </w:p>
        </w:tc>
        <w:tc>
          <w:tcPr>
            <w:tcW w:type="dxa" w:w="737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Análise das principais objeções e ajuste de argumentos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Scripts e campanhas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Revisão de scripts e revisão das campanhas</w:t>
            </w:r>
          </w:p>
        </w:tc>
      </w:tr>
      <w:tr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Eficiência</w:t>
            </w:r>
          </w:p>
        </w:tc>
        <w:tc>
          <w:tcPr>
            <w:tcW w:type="dxa" w:w="737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Otimização de CAC e das taxas de conversão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Decisões de mídia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Decisões de aumento/redução de investimento por dado</w:t>
            </w:r>
          </w:p>
        </w:tc>
      </w:tr>
      <w:tr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Planejamento</w:t>
            </w:r>
          </w:p>
        </w:tc>
        <w:tc>
          <w:tcPr>
            <w:tcW w:type="dxa" w:w="737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Forecasting e plano de ação periódico</w:t>
            </w:r>
          </w:p>
        </w:tc>
      </w:tr>
    </w:tbl>
    <w:p>
      <w:pPr>
        <w:spacing w:after="40"/>
      </w:pPr>
    </w:p>
    <w:p>
      <w:pPr>
        <w:pStyle w:val="Heading1"/>
      </w:pPr>
      <w:r>
        <w:t>11. Árvore de Indicadores</w:t>
      </w:r>
    </w:p>
    <w:p>
      <w:pPr>
        <w:spacing w:after="120"/>
      </w:pPr>
      <w:r>
        <w:rPr>
          <w:b w:val="0"/>
          <w:i w:val="0"/>
          <w:sz w:val="21"/>
        </w:rPr>
        <w:t>A operação é gerida por uma árvore de indicadores que conecta mídia, pré-vendas, vendas e economia. É por ela que sabemos se o Go-to-Market está funcionando.</w:t>
      </w:r>
    </w:p>
    <w:p>
      <w:pPr>
        <w:pStyle w:val="Heading2"/>
      </w:pPr>
      <w:r>
        <w:t>11.1. Marketing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7087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Investimento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Capital aplicado em mídia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Impressões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Volume de exibições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CTR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Taxa de cliques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CPC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Custo por clique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Leads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Candidatos captados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CPL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Custo por lead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Conversão das páginas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Taxa de conversão das landing pages</w:t>
            </w:r>
          </w:p>
        </w:tc>
      </w:tr>
    </w:tbl>
    <w:p>
      <w:pPr>
        <w:spacing w:after="40"/>
      </w:pPr>
    </w:p>
    <w:p>
      <w:pPr>
        <w:pStyle w:val="Heading2"/>
      </w:pPr>
      <w:r>
        <w:t>11.2. Pré-vendas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7087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Leads trabalhados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Volume de leads efetivamente trabalhados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Tempo de primeira resposta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Velocidade do primeiro contato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Taxa de contato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de leads contatados com sucesso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Taxa de qualificação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de leads que se tornam qualificados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Reuniões agendadas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Volume de reuniões marcadas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Show rate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de comparecimento às reuniões</w:t>
            </w:r>
          </w:p>
        </w:tc>
      </w:tr>
    </w:tbl>
    <w:p>
      <w:pPr>
        <w:spacing w:after="40"/>
      </w:pPr>
    </w:p>
    <w:p>
      <w:pPr>
        <w:pStyle w:val="Heading2"/>
      </w:pPr>
      <w:r>
        <w:t>11.3. Vendas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7087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Reuniões realizadas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Reuniões efetivamente concluídas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Taxa de avanço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de reuniões que avançam no funil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Propostas / candidatos aprovados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Volume de propostas e aprovações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Taxa de fechamento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de fechamento sobre oportunidades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Ciclo médio de venda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Tempo médio do lead à assinatura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Franquias vendidas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Contratos assinados no período</w:t>
            </w:r>
          </w:p>
        </w:tc>
      </w:tr>
    </w:tbl>
    <w:p>
      <w:pPr>
        <w:spacing w:after="40"/>
      </w:pPr>
    </w:p>
    <w:p>
      <w:pPr>
        <w:pStyle w:val="Heading2"/>
      </w:pPr>
      <w:r>
        <w:t>11.4. Economia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7087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CAC por franquia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Custo de aquisição por franquia vendida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Investimento total de aquisição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Soma de mídia, time e ferramentas alocados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Receita de taxa de franquia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Receita gerada pelas assinaturas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Payback da aquisição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Tempo para recuperar o investimento de aquisição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ROI / ROAS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Retorno sobre investimento/mídia, quando fizer sentido</w:t>
            </w:r>
          </w:p>
        </w:tc>
      </w:tr>
    </w:tbl>
    <w:p>
      <w:pPr>
        <w:spacing w:after="40"/>
      </w:pPr>
    </w:p>
    <w:p>
      <w:pPr>
        <w:pStyle w:val="Heading1"/>
      </w:pPr>
      <w:r>
        <w:t>12. Cronograma de Implantação</w:t>
      </w:r>
    </w:p>
    <w:p>
      <w:pPr>
        <w:spacing w:after="120"/>
      </w:pPr>
      <w:r>
        <w:rPr>
          <w:b w:val="0"/>
          <w:i w:val="0"/>
          <w:sz w:val="21"/>
        </w:rPr>
        <w:t>O cronograma abaixo detalha as primeiras semanas, com dependências, entregáveis e critério de conclusão por fase. Os prazos são estimativas de implantação; a geração de resultado (primeiras vendas) depende do ciclo de venda da franquia e das variáveis da Seção 15 — e por isso é diferenciada explicitamente do prazo de montagem.</w:t>
      </w:r>
    </w:p>
    <w:p>
      <w:pPr>
        <w:pStyle w:val="Heading2"/>
      </w:pPr>
      <w:r>
        <w:t>12.1. Visão geral</w:t>
      </w:r>
    </w:p>
    <w:p>
      <w:pPr>
        <w:spacing w:after="40"/>
      </w:pPr>
      <w:r>
        <w:rPr>
          <w:i/>
          <w:color w:val="5A6372"/>
          <w:sz w:val="18"/>
        </w:rPr>
        <w:t>Prazos com sobreposição intencional entre fases para antecipar valor. Datas exatas dependem da velocidade de resposta e disponibilização de informações pela Rocket SF (Seção 13).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1814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Prazo estimado</w:t>
            </w:r>
          </w:p>
        </w:tc>
        <w:tc>
          <w:tcPr>
            <w:tcW w:type="dxa" w:w="4989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Foco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Fase 1 — Estratégia e preparação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Semanas 1–3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Diagnóstico, GTM, ICP, oferta, jornada, funil, forecasting, metas</w:t>
            </w:r>
          </w:p>
        </w:tc>
      </w:tr>
      <w:tr>
        <w:tc>
          <w:tcPr>
            <w:tcW w:type="dxa" w:w="3118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Fase 2 — Construção</w:t>
            </w:r>
          </w:p>
        </w:tc>
        <w:tc>
          <w:tcPr>
            <w:tcW w:type="dxa" w:w="1814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Semanas 2–6</w:t>
            </w:r>
          </w:p>
        </w:tc>
        <w:tc>
          <w:tcPr>
            <w:tcW w:type="dxa" w:w="4989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Contratações, CRM, integrações, landing pages, criativos, scripts, playbook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Fase 3 — Go Live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Semanas 5–7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Campanhas no ar, primeiros leads, operação dos SDRs, primeiras reuniões</w:t>
            </w:r>
          </w:p>
        </w:tc>
      </w:tr>
      <w:tr>
        <w:tc>
          <w:tcPr>
            <w:tcW w:type="dxa" w:w="3118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Fase 4 — Otimização e escala</w:t>
            </w:r>
          </w:p>
        </w:tc>
        <w:tc>
          <w:tcPr>
            <w:tcW w:type="dxa" w:w="1814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Semana 8 em diante</w:t>
            </w:r>
          </w:p>
        </w:tc>
        <w:tc>
          <w:tcPr>
            <w:tcW w:type="dxa" w:w="4989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Análise de conversão, ajustes, treinamento, escala do investimento</w:t>
            </w:r>
          </w:p>
        </w:tc>
      </w:tr>
    </w:tbl>
    <w:p>
      <w:pPr>
        <w:spacing w:after="40"/>
      </w:pPr>
    </w:p>
    <w:p>
      <w:pPr>
        <w:pStyle w:val="Heading2"/>
      </w:pPr>
      <w:r>
        <w:t>12.2. Detalhamento por fase</w:t>
      </w:r>
    </w:p>
    <w:p>
      <w:pPr>
        <w:pStyle w:val="Heading3"/>
      </w:pPr>
      <w:r>
        <w:t>Fase 1 — Estratégia e preparação (Semanas 1–3)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60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Entregável</w:t>
            </w:r>
          </w:p>
        </w:tc>
        <w:tc>
          <w:tcPr>
            <w:tcW w:type="dxa" w:w="192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type="dxa" w:w="2551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Dependências</w:t>
            </w:r>
          </w:p>
        </w:tc>
        <w:tc>
          <w:tcPr>
            <w:tcW w:type="dxa" w:w="283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Critério de conclusão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Diagnóstico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Acesso a dados e sócios da Rocket SF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Diagnóstico consolidado e validado</w:t>
            </w:r>
          </w:p>
        </w:tc>
      </w:tr>
      <w:tr>
        <w:tc>
          <w:tcPr>
            <w:tcW w:type="dxa" w:w="26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GTM + ICP + personas</w:t>
            </w:r>
          </w:p>
        </w:tc>
        <w:tc>
          <w:tcPr>
            <w:tcW w:type="dxa" w:w="192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</w:t>
            </w:r>
          </w:p>
        </w:tc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Diagnóstico</w:t>
            </w:r>
          </w:p>
        </w:tc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GTM aprovado pela Rocket SF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Oferta da franquia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 + Rocket SF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Modelo, taxas e condições da franquia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Oferta homologada</w:t>
            </w:r>
          </w:p>
        </w:tc>
      </w:tr>
      <w:tr>
        <w:tc>
          <w:tcPr>
            <w:tcW w:type="dxa" w:w="26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Jornada + funil</w:t>
            </w:r>
          </w:p>
        </w:tc>
        <w:tc>
          <w:tcPr>
            <w:tcW w:type="dxa" w:w="192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</w:t>
            </w:r>
          </w:p>
        </w:tc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GTM e oferta</w:t>
            </w:r>
          </w:p>
        </w:tc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Jornada e funil aprovados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Forecasting + metas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 + Rocket SF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Ticket e capacidade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Forecasting e metas homologados</w:t>
            </w:r>
          </w:p>
        </w:tc>
      </w:tr>
    </w:tbl>
    <w:p>
      <w:pPr>
        <w:spacing w:after="40"/>
      </w:pPr>
    </w:p>
    <w:p>
      <w:pPr>
        <w:pStyle w:val="Heading3"/>
      </w:pPr>
      <w:r>
        <w:t>Fase 2 — Construção (Semanas 2–6)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60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Entregável</w:t>
            </w:r>
          </w:p>
        </w:tc>
        <w:tc>
          <w:tcPr>
            <w:tcW w:type="dxa" w:w="192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type="dxa" w:w="2551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Dependências</w:t>
            </w:r>
          </w:p>
        </w:tc>
        <w:tc>
          <w:tcPr>
            <w:tcW w:type="dxa" w:w="283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Critério de conclusão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Copywriter, designer, gestor de tráfego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GTM aprovado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Profissionais contratados e integrados</w:t>
            </w:r>
          </w:p>
        </w:tc>
      </w:tr>
      <w:tr>
        <w:tc>
          <w:tcPr>
            <w:tcW w:type="dxa" w:w="26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SDRs + closer</w:t>
            </w:r>
          </w:p>
        </w:tc>
        <w:tc>
          <w:tcPr>
            <w:tcW w:type="dxa" w:w="192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</w:t>
            </w:r>
          </w:p>
        </w:tc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Perfil de vagas + orçamento</w:t>
            </w:r>
          </w:p>
        </w:tc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Time contratado e em onboarding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CRM + integrações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Definição de pipeline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CRM configurado e integrado aos canais</w:t>
            </w:r>
          </w:p>
        </w:tc>
      </w:tr>
      <w:tr>
        <w:tc>
          <w:tcPr>
            <w:tcW w:type="dxa" w:w="26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Landing pages + criativos</w:t>
            </w:r>
          </w:p>
        </w:tc>
        <w:tc>
          <w:tcPr>
            <w:tcW w:type="dxa" w:w="192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</w:t>
            </w:r>
          </w:p>
        </w:tc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Oferta e conceitos aprovados</w:t>
            </w:r>
          </w:p>
        </w:tc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Páginas e criativos aprovados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Scripts + playbook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Jornada e oferta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Playbook e scripts prontos e treinados</w:t>
            </w:r>
          </w:p>
        </w:tc>
      </w:tr>
    </w:tbl>
    <w:p>
      <w:pPr>
        <w:spacing w:after="40"/>
      </w:pPr>
    </w:p>
    <w:p>
      <w:pPr>
        <w:pStyle w:val="Heading3"/>
      </w:pPr>
      <w:r>
        <w:t>Fase 3 — Go Live (Semanas 5–7)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60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Entregável</w:t>
            </w:r>
          </w:p>
        </w:tc>
        <w:tc>
          <w:tcPr>
            <w:tcW w:type="dxa" w:w="192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type="dxa" w:w="2551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Dependências</w:t>
            </w:r>
          </w:p>
        </w:tc>
        <w:tc>
          <w:tcPr>
            <w:tcW w:type="dxa" w:w="283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Critério de conclusão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Campanhas no ar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Criativos, páginas, verba de mídia liberada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Campanhas ativas veiculando</w:t>
            </w:r>
          </w:p>
        </w:tc>
      </w:tr>
      <w:tr>
        <w:tc>
          <w:tcPr>
            <w:tcW w:type="dxa" w:w="26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Primeiros leads</w:t>
            </w:r>
          </w:p>
        </w:tc>
        <w:tc>
          <w:tcPr>
            <w:tcW w:type="dxa" w:w="192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</w:t>
            </w:r>
          </w:p>
        </w:tc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Campanhas no ar</w:t>
            </w:r>
          </w:p>
        </w:tc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Leads entrando no CRM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Operação dos SDRs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Time treinado + CRM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SDRs trabalhando leads dentro do SLA</w:t>
            </w:r>
          </w:p>
        </w:tc>
      </w:tr>
      <w:tr>
        <w:tc>
          <w:tcPr>
            <w:tcW w:type="dxa" w:w="26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Primeiras reuniões</w:t>
            </w:r>
          </w:p>
        </w:tc>
        <w:tc>
          <w:tcPr>
            <w:tcW w:type="dxa" w:w="192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 + Rocket SF</w:t>
            </w:r>
          </w:p>
        </w:tc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Leads qualificados</w:t>
            </w:r>
          </w:p>
        </w:tc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Reuniões de apresentação realizadas</w:t>
            </w:r>
          </w:p>
        </w:tc>
      </w:tr>
    </w:tbl>
    <w:p>
      <w:pPr>
        <w:spacing w:after="40"/>
      </w:pPr>
    </w:p>
    <w:p>
      <w:pPr>
        <w:pStyle w:val="Heading3"/>
      </w:pPr>
      <w:r>
        <w:t>Fase 4 — Otimização e escala (Semana 8 em diante)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60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Entregável</w:t>
            </w:r>
          </w:p>
        </w:tc>
        <w:tc>
          <w:tcPr>
            <w:tcW w:type="dxa" w:w="192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type="dxa" w:w="2551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Dependências</w:t>
            </w:r>
          </w:p>
        </w:tc>
        <w:tc>
          <w:tcPr>
            <w:tcW w:type="dxa" w:w="283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Critério de conclusão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Análise de conversão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Volume mínimo de dados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Gargalos identificados por etapa</w:t>
            </w:r>
          </w:p>
        </w:tc>
      </w:tr>
      <w:tr>
        <w:tc>
          <w:tcPr>
            <w:tcW w:type="dxa" w:w="26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Ajustes de mídia/oferta/copy</w:t>
            </w:r>
          </w:p>
        </w:tc>
        <w:tc>
          <w:tcPr>
            <w:tcW w:type="dxa" w:w="192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</w:t>
            </w:r>
          </w:p>
        </w:tc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Análise de conversão</w:t>
            </w:r>
          </w:p>
        </w:tc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Ajustes implementados e medidos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Ajustes comerciais + treinamento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Análise do time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Scripts e cadências revisados</w:t>
            </w:r>
          </w:p>
        </w:tc>
      </w:tr>
      <w:tr>
        <w:tc>
          <w:tcPr>
            <w:tcW w:type="dxa" w:w="260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Escala do investimento</w:t>
            </w:r>
          </w:p>
        </w:tc>
        <w:tc>
          <w:tcPr>
            <w:tcW w:type="dxa" w:w="192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 + Rocket SF</w:t>
            </w:r>
          </w:p>
        </w:tc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Eficiência comprovada (Seção 17)</w:t>
            </w:r>
          </w:p>
        </w:tc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Mídia escalada com CAC controlado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B1F3A"/>
          </w:tcPr>
          <w:p>
            <w:r/>
            <w:r>
              <w:rPr>
                <w:b/>
                <w:color w:val="FFFFFF"/>
                <w:sz w:val="21"/>
              </w:rPr>
              <w:t>Prazo de implantação ≠ prazo de resultado</w:t>
            </w:r>
          </w:p>
          <w:p>
            <w:r>
              <w:rPr>
                <w:color w:val="FFFFFF"/>
                <w:sz w:val="19"/>
              </w:rPr>
              <w:t>A montagem da máquina segue os prazos acima. A maturação do resultado (primeiras vendas de franquia) acompanha o ciclo de venda — que envolve análise, aprovação e documentação — e será estimada no forecasting. Não prometemos datas de venda; comprometemo-nos com a construção, a operação e a otimização diligente da máquina que as produz.</w:t>
            </w:r>
          </w:p>
        </w:tc>
      </w:tr>
    </w:tbl>
    <w:p>
      <w:pPr>
        <w:spacing w:after="40"/>
      </w:pPr>
    </w:p>
    <w:p>
      <w:pPr>
        <w:pStyle w:val="Heading1"/>
      </w:pPr>
      <w:r>
        <w:t>13. Matriz de Responsabilidades</w:t>
      </w:r>
    </w:p>
    <w:p>
      <w:pPr>
        <w:spacing w:after="120"/>
      </w:pPr>
      <w:r>
        <w:rPr>
          <w:b w:val="0"/>
          <w:i w:val="0"/>
          <w:sz w:val="21"/>
        </w:rPr>
        <w:t>O resultado depende de um conjunto de obrigações de ambas as partes. A matriz abaixo elimina dependências implícitas.</w:t>
      </w:r>
    </w:p>
    <w:p>
      <w:pPr>
        <w:spacing w:after="40"/>
      </w:pPr>
      <w:r>
        <w:rPr>
          <w:i/>
          <w:color w:val="5A6372"/>
          <w:sz w:val="18"/>
        </w:rPr>
        <w:t>* A definição de custeio da remuneração do time é consolidada na Seção 14.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Frente</w:t>
            </w:r>
          </w:p>
        </w:tc>
        <w:tc>
          <w:tcPr>
            <w:tcW w:type="dxa" w:w="368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[Sua Empresa]</w:t>
            </w:r>
          </w:p>
        </w:tc>
        <w:tc>
          <w:tcPr>
            <w:tcW w:type="dxa" w:w="3402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Rocket SF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Estratégia e GTM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Responsável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Aprova / fornece informações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Estrutura de marketing</w:t>
            </w:r>
          </w:p>
        </w:tc>
        <w:tc>
          <w:tcPr>
            <w:tcW w:type="dxa" w:w="368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Responsável (contrata e gere)</w:t>
            </w:r>
          </w:p>
        </w:tc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Aprova materiais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Mídia e aquisição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Responsável (opera)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Disponibiliza verba de mídia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CRM e ferramentas</w:t>
            </w:r>
          </w:p>
        </w:tc>
        <w:tc>
          <w:tcPr>
            <w:tcW w:type="dxa" w:w="368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Implanta e opera</w:t>
            </w:r>
          </w:p>
        </w:tc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Custeia ferramentas / aprova stack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Time comercial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Recruta, treina e gere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Aprova estrutura / custeia remuneração*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Processo de venda</w:t>
            </w:r>
          </w:p>
        </w:tc>
        <w:tc>
          <w:tcPr>
            <w:tcW w:type="dxa" w:w="368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Conduz até o handoff</w:t>
            </w:r>
          </w:p>
        </w:tc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Aprova candidatos e assina contratos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Documentação da franquia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Apoia o fluxo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Fornece COF e instrumentos jurídicos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Informações financeiras/modelo</w:t>
            </w:r>
          </w:p>
        </w:tc>
        <w:tc>
          <w:tcPr>
            <w:tcW w:type="dxa" w:w="368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Consome para a oferta</w:t>
            </w:r>
          </w:p>
        </w:tc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Disponibiliza dados da franquia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Aprovação de candidatos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Encaminha qualificados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Disponibilidade para aprovar em SLA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Onboarding do franqueado</w:t>
            </w:r>
          </w:p>
        </w:tc>
        <w:tc>
          <w:tcPr>
            <w:tcW w:type="dxa" w:w="368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Faz o handoff</w:t>
            </w:r>
          </w:p>
        </w:tc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Estrutura para receber novos franqueados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Governança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Conduz e reporta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Participação de sócios/lideranças</w:t>
            </w:r>
          </w:p>
        </w:tc>
      </w:tr>
    </w:tbl>
    <w:p>
      <w:pPr>
        <w:spacing w:after="40"/>
      </w:pPr>
    </w:p>
    <w:p>
      <w:pPr>
        <w:pStyle w:val="Heading2"/>
      </w:pPr>
      <w:r>
        <w:t>13.1. Compromissos da Rocket SF</w:t>
      </w:r>
    </w:p>
    <w:p>
      <w:pPr>
        <w:pStyle w:val="ListBullet"/>
        <w:spacing w:after="40"/>
      </w:pPr>
      <w:r>
        <w:rPr>
          <w:sz w:val="21"/>
        </w:rPr>
        <w:t>Aprovação tempestiva de materiais e campanhas;</w:t>
      </w:r>
    </w:p>
    <w:p>
      <w:pPr>
        <w:pStyle w:val="ListBullet"/>
        <w:spacing w:after="40"/>
      </w:pPr>
      <w:r>
        <w:rPr>
          <w:sz w:val="21"/>
        </w:rPr>
        <w:t>Disponibilização de informações do modelo, oferta e mercado;</w:t>
      </w:r>
    </w:p>
    <w:p>
      <w:pPr>
        <w:pStyle w:val="ListBullet"/>
        <w:spacing w:after="40"/>
      </w:pPr>
      <w:r>
        <w:rPr>
          <w:sz w:val="21"/>
        </w:rPr>
        <w:t>Participação dos sócios/lideranças na governança e em reuniões-chave;</w:t>
      </w:r>
    </w:p>
    <w:p>
      <w:pPr>
        <w:pStyle w:val="ListBullet"/>
        <w:spacing w:after="40"/>
      </w:pPr>
      <w:r>
        <w:rPr>
          <w:sz w:val="21"/>
        </w:rPr>
        <w:t>Documentação da franquia (COF e instrumentos jurídicos);</w:t>
      </w:r>
    </w:p>
    <w:p>
      <w:pPr>
        <w:pStyle w:val="ListBullet"/>
        <w:spacing w:after="40"/>
      </w:pPr>
      <w:r>
        <w:rPr>
          <w:sz w:val="21"/>
        </w:rPr>
        <w:t>Informações financeiras necessárias à construção da oferta;</w:t>
      </w:r>
    </w:p>
    <w:p>
      <w:pPr>
        <w:pStyle w:val="ListBullet"/>
        <w:spacing w:after="40"/>
      </w:pPr>
      <w:r>
        <w:rPr>
          <w:sz w:val="21"/>
        </w:rPr>
        <w:t>Disponibilidade para aprovação de candidatos quando necessário;</w:t>
      </w:r>
    </w:p>
    <w:p>
      <w:pPr>
        <w:pStyle w:val="ListBullet"/>
        <w:spacing w:after="40"/>
      </w:pPr>
      <w:r>
        <w:rPr>
          <w:sz w:val="21"/>
        </w:rPr>
        <w:t>Verba de mídia;</w:t>
      </w:r>
    </w:p>
    <w:p>
      <w:pPr>
        <w:pStyle w:val="ListBullet"/>
        <w:spacing w:after="40"/>
      </w:pPr>
      <w:r>
        <w:rPr>
          <w:sz w:val="21"/>
        </w:rPr>
        <w:t>Custos das ferramentas e do CRM;</w:t>
      </w:r>
    </w:p>
    <w:p>
      <w:pPr>
        <w:pStyle w:val="ListBullet"/>
        <w:spacing w:after="40"/>
      </w:pPr>
      <w:r>
        <w:rPr>
          <w:sz w:val="21"/>
        </w:rPr>
        <w:t>Velocidade de resposta compatível com o ritmo da operação;</w:t>
      </w:r>
    </w:p>
    <w:p>
      <w:pPr>
        <w:pStyle w:val="ListBullet"/>
        <w:spacing w:after="40"/>
      </w:pPr>
      <w:r>
        <w:rPr>
          <w:sz w:val="21"/>
        </w:rPr>
        <w:t>Estrutura necessária para receber e implantar os novos franqueados.</w:t>
      </w:r>
    </w:p>
    <w:p>
      <w:pPr>
        <w:pStyle w:val="Heading1"/>
      </w:pPr>
      <w:r>
        <w:t>14. Custos da Operação</w:t>
      </w:r>
    </w:p>
    <w:p>
      <w:pPr>
        <w:spacing w:after="120"/>
      </w:pPr>
      <w:r>
        <w:rPr>
          <w:b w:val="0"/>
          <w:i w:val="0"/>
          <w:sz w:val="21"/>
        </w:rPr>
        <w:t>Os custos são apresentados de forma segregada, para que não haja sobreposição entre remuneração do trabalho, investimento em mídia e custos de estrutura. Os valores ainda não fornecidos ficam como campos a preencher.</w:t>
      </w:r>
    </w:p>
    <w:p>
      <w:pPr>
        <w:spacing w:after="40"/>
      </w:pPr>
      <w:r>
        <w:rPr>
          <w:i/>
          <w:color w:val="5A6372"/>
          <w:sz w:val="18"/>
        </w:rPr>
        <w:t>Os campos [a definir] serão preenchidos com os valores fornecidos pela Rocket SF / [Sua Empresa]. Nenhum valor é presumido. A única referência numérica assumida é o investimento inicial de mídia (≈ R$ 10.000/mês), informado pela Rocket SF.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1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Item de custo</w:t>
            </w:r>
          </w:p>
        </w:tc>
        <w:tc>
          <w:tcPr>
            <w:tcW w:type="dxa" w:w="1814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Natureza</w:t>
            </w:r>
          </w:p>
        </w:tc>
        <w:tc>
          <w:tcPr>
            <w:tcW w:type="dxa" w:w="1701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Quem paga</w:t>
            </w:r>
          </w:p>
        </w:tc>
        <w:tc>
          <w:tcPr>
            <w:tcW w:type="dxa" w:w="283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Remuneração pelo nosso trabalho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Fee da operação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Rocket SF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R$ ________ [a definir]</w:t>
            </w:r>
          </w:p>
        </w:tc>
      </w:tr>
      <w:tr>
        <w:tc>
          <w:tcPr>
            <w:tcW w:type="dxa" w:w="454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11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Investimento em mídia</w:t>
            </w:r>
          </w:p>
        </w:tc>
        <w:tc>
          <w:tcPr>
            <w:tcW w:type="dxa" w:w="1814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Verba de aquisição</w:t>
            </w:r>
          </w:p>
        </w:tc>
        <w:tc>
          <w:tcPr>
            <w:tcW w:type="dxa" w:w="170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Rocket SF</w:t>
            </w:r>
          </w:p>
        </w:tc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≈ R$ 10.000/mês (inicial) → escala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Salários/remuneração do time comercial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SDRs + closer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[a definir]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R$ ________ [a definir]</w:t>
            </w:r>
          </w:p>
        </w:tc>
      </w:tr>
      <w:tr>
        <w:tc>
          <w:tcPr>
            <w:tcW w:type="dxa" w:w="454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11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Ferramentas e CRM</w:t>
            </w:r>
          </w:p>
        </w:tc>
        <w:tc>
          <w:tcPr>
            <w:tcW w:type="dxa" w:w="1814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Stack comercial</w:t>
            </w:r>
          </w:p>
        </w:tc>
        <w:tc>
          <w:tcPr>
            <w:tcW w:type="dxa" w:w="170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[a definir]</w:t>
            </w:r>
          </w:p>
        </w:tc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R$ ________ [a definir]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Copywriter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Produção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[a definir]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R$ ________ [a definir]</w:t>
            </w:r>
          </w:p>
        </w:tc>
      </w:tr>
      <w:tr>
        <w:tc>
          <w:tcPr>
            <w:tcW w:type="dxa" w:w="454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11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Designer</w:t>
            </w:r>
          </w:p>
        </w:tc>
        <w:tc>
          <w:tcPr>
            <w:tcW w:type="dxa" w:w="1814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Produção</w:t>
            </w:r>
          </w:p>
        </w:tc>
        <w:tc>
          <w:tcPr>
            <w:tcW w:type="dxa" w:w="170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[a definir]</w:t>
            </w:r>
          </w:p>
        </w:tc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R$ ________ [a definir]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Gestor de tráfego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Aquisição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[a definir]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R$ ________ [a definir]</w:t>
            </w:r>
          </w:p>
        </w:tc>
      </w:tr>
      <w:tr>
        <w:tc>
          <w:tcPr>
            <w:tcW w:type="dxa" w:w="454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118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Outros fornecedores necessários</w:t>
            </w:r>
          </w:p>
        </w:tc>
        <w:tc>
          <w:tcPr>
            <w:tcW w:type="dxa" w:w="1814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Sob demanda</w:t>
            </w:r>
          </w:p>
        </w:tc>
        <w:tc>
          <w:tcPr>
            <w:tcW w:type="dxa" w:w="170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[a definir]</w:t>
            </w:r>
          </w:p>
        </w:tc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R$ ________ [a definir]</w:t>
            </w:r>
          </w:p>
        </w:tc>
      </w:tr>
    </w:tbl>
    <w:p>
      <w:pPr>
        <w:spacing w:after="40"/>
      </w:pPr>
    </w:p>
    <w:p>
      <w:pPr>
        <w:pStyle w:val="Heading1"/>
      </w:pPr>
      <w:r>
        <w:t>15. Premissas e Limites</w:t>
      </w:r>
    </w:p>
    <w:p>
      <w:pPr>
        <w:spacing w:after="120"/>
      </w:pPr>
      <w:r>
        <w:rPr>
          <w:b w:val="0"/>
          <w:i w:val="0"/>
          <w:sz w:val="21"/>
        </w:rPr>
        <w:t>Assumimos responsabilidade integral pela construção, implantação, gestão e otimização da máquina comercial. O volume de franquias vendidas, contudo, é um resultado de sistema: depende também de fatores que estão fora do alcance da operação comercial e que compõem, em conjunto, a competitividade da oferta no mercado. Reconhecê-los explicitamente é o que torna as metas realistas e a parceria sustentável.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Fator</w:t>
            </w:r>
          </w:p>
        </w:tc>
        <w:tc>
          <w:tcPr>
            <w:tcW w:type="dxa" w:w="6803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Por que impacta o resultado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Competitividade da franquia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Atratividade do modelo frente a outras oportunidades de investimento</w:t>
            </w:r>
          </w:p>
        </w:tc>
      </w:tr>
      <w:tr>
        <w:tc>
          <w:tcPr>
            <w:tcW w:type="dxa" w:w="3118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Oferta e preço</w:t>
            </w:r>
          </w:p>
        </w:tc>
        <w:tc>
          <w:tcPr>
            <w:tcW w:type="dxa" w:w="6803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Condições comerciais e ticket influenciam diretamente a conversão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Capacidade de investimento dos candidatos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Perfil financeiro do público disponível no período</w:t>
            </w:r>
          </w:p>
        </w:tc>
      </w:tr>
      <w:tr>
        <w:tc>
          <w:tcPr>
            <w:tcW w:type="dxa" w:w="3118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Disponibilidade de territórios</w:t>
            </w:r>
          </w:p>
        </w:tc>
        <w:tc>
          <w:tcPr>
            <w:tcW w:type="dxa" w:w="6803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Regiões abertas para novas unidades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Velocidade de aprovação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Agilidade da Rocket SF em analisar e aprovar candidatos</w:t>
            </w:r>
          </w:p>
        </w:tc>
      </w:tr>
      <w:tr>
        <w:tc>
          <w:tcPr>
            <w:tcW w:type="dxa" w:w="3118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Capacidade operacional da franqueadora</w:t>
            </w:r>
          </w:p>
        </w:tc>
        <w:tc>
          <w:tcPr>
            <w:tcW w:type="dxa" w:w="6803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Capacidade de implantar e sustentar novos franqueados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Investimento em mídia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Volume de topo de funil disponível</w:t>
            </w:r>
          </w:p>
        </w:tc>
      </w:tr>
      <w:tr>
        <w:tc>
          <w:tcPr>
            <w:tcW w:type="dxa" w:w="3118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Condições de mercado</w:t>
            </w:r>
          </w:p>
        </w:tc>
        <w:tc>
          <w:tcPr>
            <w:tcW w:type="dxa" w:w="6803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Cenário econômico e de crédito do período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Cumprimento das responsabilidades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Entrega das obrigações de ambas as partes (Seção 13)</w:t>
            </w:r>
          </w:p>
        </w:tc>
      </w:tr>
    </w:tbl>
    <w:p>
      <w:pPr>
        <w:spacing w:after="40"/>
      </w:pPr>
    </w:p>
    <w:p>
      <w:pPr>
        <w:pStyle w:val="Heading1"/>
      </w:pPr>
      <w:r>
        <w:t>16. Governança</w:t>
      </w:r>
    </w:p>
    <w:p>
      <w:pPr>
        <w:spacing w:after="120"/>
      </w:pPr>
      <w:r>
        <w:rPr>
          <w:b w:val="0"/>
          <w:i w:val="0"/>
          <w:sz w:val="21"/>
        </w:rPr>
        <w:t>A operação é conduzida sob um modelo de governança simples e disciplinado, que mantém a Rocket SF informada e no controle das decisões estratégicas.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Instância</w:t>
            </w:r>
          </w:p>
        </w:tc>
        <w:tc>
          <w:tcPr>
            <w:tcW w:type="dxa" w:w="2551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Frequência</w:t>
            </w:r>
          </w:p>
        </w:tc>
        <w:tc>
          <w:tcPr>
            <w:tcW w:type="dxa" w:w="4819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Acompanhamento operacional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Semanal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Análise do funil, KPIs da semana e plano de ação</w:t>
            </w:r>
          </w:p>
        </w:tc>
      </w:tr>
      <w:tr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Dashboard / relatório</w:t>
            </w:r>
          </w:p>
        </w:tc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Contínuo + fechamento semanal</w:t>
            </w:r>
          </w:p>
        </w:tc>
        <w:tc>
          <w:tcPr>
            <w:tcW w:type="dxa" w:w="4819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Indicadores de marketing, pré-vendas, vendas e economia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Reunião executiva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Periódica (mensal)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Revisão do forecasting, resultados e prioridades</w:t>
            </w:r>
          </w:p>
        </w:tc>
      </w:tr>
      <w:tr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Decisões de escala</w:t>
            </w:r>
          </w:p>
        </w:tc>
        <w:tc>
          <w:tcPr>
            <w:tcW w:type="dxa" w:w="2551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Sob gatilho</w:t>
            </w:r>
          </w:p>
        </w:tc>
        <w:tc>
          <w:tcPr>
            <w:tcW w:type="dxa" w:w="4819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Aumento de mídia e/ou do time comercial (Seção 17)</w:t>
            </w:r>
          </w:p>
        </w:tc>
      </w:tr>
    </w:tbl>
    <w:p>
      <w:pPr>
        <w:spacing w:after="40"/>
      </w:pPr>
    </w:p>
    <w:p>
      <w:pPr>
        <w:pStyle w:val="Heading1"/>
      </w:pPr>
      <w:r>
        <w:t>17. Plano de Escala</w:t>
      </w:r>
    </w:p>
    <w:p>
      <w:pPr>
        <w:spacing w:after="120"/>
      </w:pPr>
      <w:r>
        <w:rPr>
          <w:b w:val="0"/>
          <w:i w:val="0"/>
          <w:sz w:val="21"/>
        </w:rPr>
        <w:t>A proposta não termina no lançamento. Depois de encontrar eficiência, a máquina é escalada segundo uma lógica objetiva:</w:t>
      </w:r>
    </w:p>
    <w:p>
      <w:pPr>
        <w:spacing w:after="120"/>
      </w:pPr>
      <w:r>
        <w:rPr>
          <w:b/>
          <w:i w:val="0"/>
          <w:color w:val="0B1F3A"/>
          <w:sz w:val="21"/>
        </w:rPr>
        <w:t>Validar → Encontrar gargalos → Corrigir → Aumentar conversão → Aumentar mídia → Aumentar capacidade comercial → Escalar vendas de franquias.</w:t>
      </w:r>
    </w:p>
    <w:p>
      <w:pPr>
        <w:spacing w:after="40"/>
      </w:pPr>
      <w:r>
        <w:rPr>
          <w:i/>
          <w:color w:val="5A6372"/>
          <w:sz w:val="18"/>
        </w:rPr>
        <w:t>Escala é consequência de eficiência comprovada, nunca aposta. Só se aumenta mídia quando o funil converte; só se aumenta time quando o gargalo migra para a etapa correspondente.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6803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Critério objetivo para acionar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Aumentar investimento em mídia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CAC por franquia dentro do alvo e capacidade comercial disponível para absorver o volume adicional</w:t>
            </w:r>
          </w:p>
        </w:tc>
      </w:tr>
      <w:tr>
        <w:tc>
          <w:tcPr>
            <w:tcW w:type="dxa" w:w="3118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Contratar +1 pré-venda</w:t>
            </w:r>
          </w:p>
        </w:tc>
        <w:tc>
          <w:tcPr>
            <w:tcW w:type="dxa" w:w="6803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Volume de leads qualificados excede a capacidade de contato dentro do SLA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Contratar +1 closer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Reuniões qualificadas excedem a capacidade de fechamento do closer atual</w:t>
            </w:r>
          </w:p>
        </w:tc>
      </w:tr>
      <w:tr>
        <w:tc>
          <w:tcPr>
            <w:tcW w:type="dxa" w:w="3118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Abrir novo canal de aquisição</w:t>
            </w:r>
          </w:p>
        </w:tc>
        <w:tc>
          <w:tcPr>
            <w:tcW w:type="dxa" w:w="6803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Canal atual próximo da saturação com CAC ainda eficiente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Adicionar camada de gestão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Time comercial atinge tamanho que exige coordenação dedicada</w:t>
            </w:r>
          </w:p>
        </w:tc>
      </w:tr>
    </w:tbl>
    <w:p>
      <w:pPr>
        <w:spacing w:after="40"/>
      </w:pPr>
    </w:p>
    <w:p>
      <w:pPr>
        <w:pStyle w:val="Heading1"/>
      </w:pPr>
      <w:r>
        <w:t>18. Perguntas-chave respondidas</w:t>
      </w:r>
    </w:p>
    <w:p>
      <w:pPr>
        <w:spacing w:after="120"/>
      </w:pPr>
      <w:r>
        <w:rPr>
          <w:b w:val="0"/>
          <w:i w:val="0"/>
          <w:sz w:val="21"/>
        </w:rPr>
        <w:t>Síntese das definições que não podem ficar ambíguas.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Pergunta</w:t>
            </w:r>
          </w:p>
        </w:tc>
        <w:tc>
          <w:tcPr>
            <w:tcW w:type="dxa" w:w="6520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Resposta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O que exatamente estamos assumindo?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 Go-to-Market completo da venda de franquias: estratégia, marketing, mídia, CRM, pré-vendas, vendas, gestão e otimização.</w:t>
            </w:r>
          </w:p>
        </w:tc>
      </w:tr>
      <w:tr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O que não estamos assumindo?</w:t>
            </w:r>
          </w:p>
        </w:tc>
        <w:tc>
          <w:tcPr>
            <w:tcW w:type="dxa" w:w="652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 concessão jurídica da franquia, a COF, a aprovação final de candidatos e a implantação/onboarding do franqueado após a assinatura.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O que será construído?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GTM, oferta, jornada, funil, estrutura de marketing, CRM dedicado, time comercial, scripts e playbook.</w:t>
            </w:r>
          </w:p>
        </w:tc>
      </w:tr>
      <w:tr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O que será operado continuamente?</w:t>
            </w:r>
          </w:p>
        </w:tc>
        <w:tc>
          <w:tcPr>
            <w:tcW w:type="dxa" w:w="652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Mídia, pré-vendas, vendas, CRM, gestão do funil e otimização.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Quem será contratado?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Copywriter, designer, gestor de tráfego, 2 pré-vendas e 1 closer.</w:t>
            </w:r>
          </w:p>
        </w:tc>
      </w:tr>
      <w:tr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Quem gerencia essas pessoas?</w:t>
            </w:r>
          </w:p>
        </w:tc>
        <w:tc>
          <w:tcPr>
            <w:tcW w:type="dxa" w:w="652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[Sua Empresa].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Quem paga essas pessoas?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 definir na Seção 14 (campos abertos).</w:t>
            </w:r>
          </w:p>
        </w:tc>
      </w:tr>
      <w:tr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Quem paga mídia?</w:t>
            </w:r>
          </w:p>
        </w:tc>
        <w:tc>
          <w:tcPr>
            <w:tcW w:type="dxa" w:w="652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 Rocket SF (verba de aquisição, ≈ R$ 10.000/mês inicial).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Quem paga ferramentas?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 definir na Seção 14 (custo de ferramentas/CRM).</w:t>
            </w:r>
          </w:p>
        </w:tc>
      </w:tr>
      <w:tr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Quanto tempo leva para montar a operação?</w:t>
            </w:r>
          </w:p>
        </w:tc>
        <w:tc>
          <w:tcPr>
            <w:tcW w:type="dxa" w:w="652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Aproximadamente [X] semanas (Fases 1–2 do cronograma).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Quando as campanhas entram no ar?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Na Fase 3 (Go Live), por volta das semanas 5–7.</w:t>
            </w:r>
          </w:p>
        </w:tc>
      </w:tr>
      <w:tr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Quando o time começa a trabalhar?</w:t>
            </w:r>
          </w:p>
        </w:tc>
        <w:tc>
          <w:tcPr>
            <w:tcW w:type="dxa" w:w="652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Após onboarding na Fase 2, operando na Fase 3.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Quais são as dependências da Rocket SF?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As obrigações listadas na Seção 13.</w:t>
            </w:r>
          </w:p>
        </w:tc>
      </w:tr>
      <w:tr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Quais indicadores serão acompanhados?</w:t>
            </w:r>
          </w:p>
        </w:tc>
        <w:tc>
          <w:tcPr>
            <w:tcW w:type="dxa" w:w="652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 árvore completa da Seção 11.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Como saberemos se o GTM está funcionando?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Pelos indicadores de funil e economia versus forecasting, revisados semanalmente.</w:t>
            </w:r>
          </w:p>
        </w:tc>
      </w:tr>
      <w:tr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Em qual momento aumentamos mídia?</w:t>
            </w:r>
          </w:p>
        </w:tc>
        <w:tc>
          <w:tcPr>
            <w:tcW w:type="dxa" w:w="652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Quando o CAC está no alvo e há capacidade comercial (Seção 17).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Em qual momento aumentamos o time?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Quando o gargalo migra para contato ou fechamento (Seção 17).</w:t>
            </w:r>
          </w:p>
        </w:tc>
      </w:tr>
      <w:tr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Como acontece o handoff de uma franquia vendida?</w:t>
            </w:r>
          </w:p>
        </w:tc>
        <w:tc>
          <w:tcPr>
            <w:tcW w:type="dxa" w:w="652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Passagem estruturada do franqueado assinado para a implantação/onboarding da Rocket SF.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Quais entregáveis ficam com a Rocket SF?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GTM, oferta, jornada, funil, CRM configurado, playbook, scripts, dashboards e forecasting.</w:t>
            </w:r>
          </w:p>
        </w:tc>
      </w:tr>
      <w:tr>
        <w:tc>
          <w:tcPr>
            <w:tcW w:type="dxa" w:w="3402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Como será a governança?</w:t>
            </w:r>
          </w:p>
        </w:tc>
        <w:tc>
          <w:tcPr>
            <w:tcW w:type="dxa" w:w="6520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Acompanhamento semanal + reunião executiva periódica + dashboards (Seção 16).</w:t>
            </w:r>
          </w:p>
        </w:tc>
      </w:tr>
    </w:tbl>
    <w:p>
      <w:pPr>
        <w:spacing w:after="40"/>
      </w:pPr>
    </w:p>
    <w:p>
      <w:pPr>
        <w:pStyle w:val="Heading1"/>
      </w:pPr>
      <w:r>
        <w:t>19. Próximos Passos</w:t>
      </w:r>
    </w:p>
    <w:p>
      <w:pPr>
        <w:pStyle w:val="ListBullet"/>
        <w:spacing w:after="40"/>
      </w:pPr>
      <w:r>
        <w:rPr>
          <w:sz w:val="21"/>
        </w:rPr>
        <w:t>Alinhamento executivo e assinatura de NDA;</w:t>
      </w:r>
    </w:p>
    <w:p>
      <w:pPr>
        <w:pStyle w:val="ListBullet"/>
        <w:spacing w:after="40"/>
      </w:pPr>
      <w:r>
        <w:rPr>
          <w:sz w:val="21"/>
        </w:rPr>
        <w:t>Preenchimento das informações pendentes (Seção 20);</w:t>
      </w:r>
    </w:p>
    <w:p>
      <w:pPr>
        <w:pStyle w:val="ListBullet"/>
        <w:spacing w:after="40"/>
      </w:pPr>
      <w:r>
        <w:rPr>
          <w:sz w:val="21"/>
        </w:rPr>
        <w:t>Homologação do escopo, do modelo de remuneração e dos custos;</w:t>
      </w:r>
    </w:p>
    <w:p>
      <w:pPr>
        <w:pStyle w:val="ListBullet"/>
        <w:spacing w:after="40"/>
      </w:pPr>
      <w:r>
        <w:rPr>
          <w:sz w:val="21"/>
        </w:rPr>
        <w:t>Kickoff da Fase 1 (Estratégia e preparação);</w:t>
      </w:r>
    </w:p>
    <w:p>
      <w:pPr>
        <w:pStyle w:val="ListBullet"/>
        <w:spacing w:after="40"/>
      </w:pPr>
      <w:r>
        <w:rPr>
          <w:sz w:val="21"/>
        </w:rPr>
        <w:t>Início da construção da máquina de expansão.</w:t>
      </w:r>
    </w:p>
    <w:p>
      <w:pPr>
        <w:pStyle w:val="Heading1"/>
      </w:pPr>
      <w:r>
        <w:t>20. Pontos que ainda precisam ser definidos antes do envio da proposta</w:t>
      </w:r>
    </w:p>
    <w:p>
      <w:pPr>
        <w:spacing w:after="120"/>
      </w:pPr>
      <w:r>
        <w:rPr>
          <w:b w:val="0"/>
          <w:i w:val="0"/>
          <w:sz w:val="21"/>
        </w:rPr>
        <w:t>Para transformar este documento em uma proposta comercial pronta para assinatura, é necessário definir/fornecer: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7087"/>
            <w:shd w:val="clear" w:fill="0B1F3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O que falta definir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Remuneração da operação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Modelo (fee fixo, variável, success fee) e valores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Custeio do time comercial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Quem paga salários/variável dos SDRs e do closer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Custeio de produção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Quem paga copywriter, designer e gestor de tráfego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Ferramentas e CRM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Qual stack e quem custeia as licenças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Forecasting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Volumes e taxas de conversão por etapa (Seção 6)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Oferta da franquia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Ticket, taxas, royalties e condições comerciais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Territórios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Regiões disponíveis e regras de exclusividade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COF e jurídico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Status da documentação e instrumentos legais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Capacidade de aprovação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SLA da Rocket SF para analisar/aprovar candidatos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Capacidade de implantação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Quantos franqueados a Rocket SF absorve por mês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Duração e vigência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Prazo do contrato, ciclo mínimo e condições de renovação/saída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Metas contratuais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 haverá metas pactuadas e como se relacionam ao variável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Prazo exato de implantação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Confirmação do [X] semanas conforme disponibilidade da Rocket SF</w:t>
            </w:r>
          </w:p>
        </w:tc>
      </w:tr>
      <w:tr>
        <w:tc>
          <w:tcPr>
            <w:tcW w:type="dxa" w:w="2835"/>
            <w:shd w:val="clear" w:fill="EEF1F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Dados institucionais</w:t>
            </w:r>
          </w:p>
        </w:tc>
        <w:tc>
          <w:tcPr>
            <w:tcW w:type="dxa" w:w="7087"/>
            <w:shd w:val="clear" w:fill="EEF1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CNPJ, razão social e responsáveis para o cabeçalho da proposta</w:t>
            </w:r>
          </w:p>
        </w:tc>
      </w:tr>
    </w:tbl>
    <w:p>
      <w:pPr>
        <w:spacing w:after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B1F3A"/>
          </w:tcPr>
          <w:p>
            <w:r/>
            <w:r>
              <w:rPr>
                <w:b/>
                <w:color w:val="FFFFFF"/>
                <w:sz w:val="22"/>
              </w:rPr>
              <w:t>Contato</w:t>
            </w:r>
          </w:p>
          <w:p>
            <w:r>
              <w:rPr>
                <w:color w:val="FFFFFF"/>
                <w:sz w:val="19"/>
              </w:rPr>
              <w:t>[Sua Empresa] — Parceiro de Go-to-Market &amp; Operação Comercial</w:t>
              <w:br/>
              <w:t>Responsável: [Nome]  ·  [e-mail]  ·  [telefone]</w:t>
            </w:r>
          </w:p>
        </w:tc>
      </w:tr>
    </w:tbl>
    <w:p>
      <w:pPr>
        <w:spacing w:after="120"/>
        <w:jc w:val="center"/>
      </w:pPr>
      <w:r>
        <w:rPr>
          <w:b w:val="0"/>
          <w:i/>
          <w:color w:val="5A6372"/>
          <w:sz w:val="18"/>
        </w:rPr>
        <w:t>Documento confidencial — preparado para a Rocket Soluções Financeiras (Rocket SF).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B1F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4571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